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C5EA8E">
      <w:pPr>
        <w:ind w:left="0" w:leftChars="0" w:firstLine="0" w:firstLineChars="0"/>
        <w:jc w:val="center"/>
        <w:rPr>
          <w:rFonts w:hint="eastAsia" w:eastAsia="宋体"/>
          <w:b/>
          <w:bCs/>
          <w:color w:val="0000FF"/>
          <w:sz w:val="24"/>
          <w:szCs w:val="22"/>
          <w:lang w:val="en-US" w:eastAsia="zh-CN"/>
        </w:rPr>
      </w:pPr>
      <w:r>
        <w:rPr>
          <w:rFonts w:hint="eastAsia"/>
          <w:b/>
          <w:bCs/>
          <w:color w:val="0000FF"/>
          <w:sz w:val="24"/>
          <w:szCs w:val="22"/>
          <w:lang w:val="en-US" w:eastAsia="zh-CN"/>
        </w:rPr>
        <w:t xml:space="preserve"> </w:t>
      </w:r>
    </w:p>
    <w:p w14:paraId="3254FC3B">
      <w:pPr>
        <w:jc w:val="center"/>
        <w:rPr>
          <w:rFonts w:hint="eastAsia"/>
          <w:b/>
          <w:bCs/>
          <w:color w:val="0000FF"/>
          <w:sz w:val="24"/>
          <w:szCs w:val="22"/>
        </w:rPr>
      </w:pPr>
    </w:p>
    <w:p w14:paraId="46A46537">
      <w:pPr>
        <w:jc w:val="center"/>
        <w:rPr>
          <w:rFonts w:hint="eastAsia"/>
          <w:b/>
          <w:bCs/>
          <w:color w:val="0000FF"/>
          <w:sz w:val="24"/>
          <w:szCs w:val="22"/>
        </w:rPr>
      </w:pPr>
    </w:p>
    <w:p w14:paraId="63B51382">
      <w:pPr>
        <w:jc w:val="center"/>
        <w:rPr>
          <w:rFonts w:hint="eastAsia"/>
          <w:b/>
          <w:bCs/>
          <w:color w:val="0000FF"/>
          <w:sz w:val="24"/>
          <w:szCs w:val="22"/>
        </w:rPr>
      </w:pPr>
    </w:p>
    <w:p w14:paraId="43C454BA">
      <w:pPr>
        <w:jc w:val="center"/>
        <w:rPr>
          <w:rFonts w:hint="eastAsia"/>
          <w:b/>
          <w:bCs/>
          <w:color w:val="0000FF"/>
          <w:sz w:val="24"/>
          <w:szCs w:val="22"/>
        </w:rPr>
      </w:pPr>
    </w:p>
    <w:p w14:paraId="1D65E1F9">
      <w:pPr>
        <w:jc w:val="center"/>
        <w:rPr>
          <w:rFonts w:hint="eastAsia"/>
          <w:b/>
          <w:bCs/>
          <w:color w:val="auto"/>
          <w:sz w:val="24"/>
          <w:szCs w:val="22"/>
        </w:rPr>
      </w:pPr>
    </w:p>
    <w:p w14:paraId="25615CDD">
      <w:pPr>
        <w:jc w:val="center"/>
        <w:rPr>
          <w:rFonts w:hint="eastAsia"/>
          <w:b/>
          <w:bCs/>
          <w:color w:val="auto"/>
          <w:sz w:val="24"/>
          <w:szCs w:val="22"/>
        </w:rPr>
      </w:pPr>
    </w:p>
    <w:p w14:paraId="03B48509">
      <w:pPr>
        <w:jc w:val="center"/>
        <w:rPr>
          <w:rFonts w:hint="eastAsia"/>
          <w:b/>
          <w:bCs/>
          <w:color w:val="auto"/>
          <w:sz w:val="24"/>
          <w:szCs w:val="22"/>
        </w:rPr>
      </w:pPr>
    </w:p>
    <w:p w14:paraId="79E918CF">
      <w:pPr>
        <w:jc w:val="center"/>
        <w:rPr>
          <w:rFonts w:hint="default" w:ascii="Times New Roman" w:hAnsi="Times New Roman" w:cs="Times New Roman"/>
          <w:b/>
          <w:bCs/>
          <w:color w:val="auto"/>
          <w:sz w:val="72"/>
          <w:szCs w:val="56"/>
        </w:rPr>
      </w:pPr>
      <w:r>
        <w:rPr>
          <w:rFonts w:hint="eastAsia"/>
          <w:b/>
          <w:bCs/>
          <w:color w:val="auto"/>
          <w:sz w:val="72"/>
          <w:szCs w:val="56"/>
        </w:rPr>
        <w:t>建设项目环境</w:t>
      </w:r>
      <w:r>
        <w:rPr>
          <w:rFonts w:hint="default" w:ascii="Times New Roman" w:hAnsi="Times New Roman" w:cs="Times New Roman"/>
          <w:b/>
          <w:bCs/>
          <w:color w:val="auto"/>
          <w:sz w:val="72"/>
          <w:szCs w:val="56"/>
        </w:rPr>
        <w:t>影响报告表</w:t>
      </w:r>
    </w:p>
    <w:p w14:paraId="08CFD085">
      <w:pPr>
        <w:jc w:val="center"/>
        <w:rPr>
          <w:rFonts w:hint="default" w:ascii="Times New Roman" w:hAnsi="Times New Roman" w:cs="Times New Roman"/>
          <w:b/>
          <w:bCs/>
          <w:color w:val="auto"/>
          <w:sz w:val="48"/>
          <w:szCs w:val="44"/>
        </w:rPr>
      </w:pPr>
      <w:r>
        <w:rPr>
          <w:rFonts w:hint="default" w:ascii="Times New Roman" w:hAnsi="Times New Roman" w:cs="Times New Roman"/>
          <w:b/>
          <w:bCs/>
          <w:color w:val="auto"/>
          <w:sz w:val="48"/>
          <w:szCs w:val="44"/>
        </w:rPr>
        <w:t>（污染影响类）</w:t>
      </w:r>
    </w:p>
    <w:p w14:paraId="2F2CAEDA">
      <w:pPr>
        <w:rPr>
          <w:rFonts w:hint="default" w:ascii="Times New Roman" w:hAnsi="Times New Roman" w:cs="Times New Roman"/>
          <w:color w:val="auto"/>
        </w:rPr>
      </w:pPr>
    </w:p>
    <w:p w14:paraId="420F536B">
      <w:pPr>
        <w:rPr>
          <w:rFonts w:hint="default" w:ascii="Times New Roman" w:hAnsi="Times New Roman" w:cs="Times New Roman"/>
          <w:color w:val="auto"/>
        </w:rPr>
      </w:pPr>
    </w:p>
    <w:p w14:paraId="57A5C2DB">
      <w:pPr>
        <w:rPr>
          <w:rFonts w:hint="default" w:ascii="Times New Roman" w:hAnsi="Times New Roman" w:cs="Times New Roman"/>
          <w:color w:val="auto"/>
        </w:rPr>
      </w:pPr>
    </w:p>
    <w:p w14:paraId="03480333">
      <w:pPr>
        <w:rPr>
          <w:rFonts w:hint="default" w:ascii="Times New Roman" w:hAnsi="Times New Roman" w:cs="Times New Roman"/>
          <w:color w:val="auto"/>
        </w:rPr>
      </w:pPr>
    </w:p>
    <w:p w14:paraId="7AB0834E">
      <w:pPr>
        <w:rPr>
          <w:rFonts w:hint="default" w:ascii="Times New Roman" w:hAnsi="Times New Roman" w:cs="Times New Roman"/>
          <w:color w:val="auto"/>
        </w:rPr>
      </w:pPr>
    </w:p>
    <w:p w14:paraId="5F4EB79B">
      <w:pPr>
        <w:rPr>
          <w:rFonts w:hint="default" w:ascii="Times New Roman" w:hAnsi="Times New Roman" w:cs="Times New Roman"/>
          <w:color w:val="auto"/>
        </w:rPr>
      </w:pPr>
    </w:p>
    <w:p w14:paraId="56315E70">
      <w:pPr>
        <w:rPr>
          <w:rFonts w:hint="default" w:ascii="Times New Roman" w:hAnsi="Times New Roman" w:cs="Times New Roman"/>
          <w:color w:val="auto"/>
        </w:rPr>
      </w:pPr>
    </w:p>
    <w:p w14:paraId="76C61F45">
      <w:pPr>
        <w:rPr>
          <w:rFonts w:hint="default" w:ascii="Times New Roman" w:hAnsi="Times New Roman" w:cs="Times New Roman"/>
          <w:color w:val="auto"/>
        </w:rPr>
      </w:pPr>
    </w:p>
    <w:p w14:paraId="55018ABC">
      <w:pPr>
        <w:rPr>
          <w:rFonts w:hint="default" w:ascii="Times New Roman" w:hAnsi="Times New Roman" w:cs="Times New Roman"/>
          <w:color w:val="auto"/>
        </w:rPr>
      </w:pPr>
    </w:p>
    <w:p w14:paraId="058221D8">
      <w:pPr>
        <w:rPr>
          <w:rFonts w:hint="default" w:ascii="Times New Roman" w:hAnsi="Times New Roman" w:cs="Times New Roman"/>
          <w:color w:val="auto"/>
        </w:rPr>
      </w:pPr>
    </w:p>
    <w:p w14:paraId="7866ADF8">
      <w:pPr>
        <w:rPr>
          <w:rFonts w:hint="default" w:ascii="Times New Roman" w:hAnsi="Times New Roman" w:cs="Times New Roman"/>
          <w:color w:val="auto"/>
        </w:rPr>
      </w:pPr>
    </w:p>
    <w:p w14:paraId="2BB5B269">
      <w:pPr>
        <w:rPr>
          <w:rFonts w:hint="default" w:ascii="Times New Roman" w:hAnsi="Times New Roman" w:cs="Times New Roman"/>
          <w:color w:val="auto"/>
        </w:rPr>
      </w:pPr>
    </w:p>
    <w:p w14:paraId="5AFA3F69">
      <w:pPr>
        <w:rPr>
          <w:rFonts w:hint="eastAsia" w:ascii="Times New Roman" w:hAnsi="Times New Roman" w:eastAsia="宋体" w:cs="Times New Roman"/>
          <w:color w:val="auto"/>
          <w:lang w:val="en-US" w:eastAsia="zh-CN"/>
        </w:rPr>
      </w:pPr>
      <w:r>
        <w:rPr>
          <w:rFonts w:hint="eastAsia" w:cs="Times New Roman"/>
          <w:color w:val="auto"/>
          <w:lang w:val="en-US" w:eastAsia="zh-CN"/>
        </w:rPr>
        <w:t xml:space="preserve"> </w:t>
      </w:r>
    </w:p>
    <w:p w14:paraId="081EE72D">
      <w:pPr>
        <w:ind w:firstLine="720" w:firstLineChars="200"/>
        <w:rPr>
          <w:rFonts w:hint="default" w:ascii="Times New Roman" w:hAnsi="Times New Roman" w:eastAsia="宋体" w:cs="Times New Roman"/>
          <w:b w:val="0"/>
          <w:bCs w:val="0"/>
          <w:color w:val="auto"/>
          <w:sz w:val="32"/>
          <w:szCs w:val="28"/>
          <w:u w:val="single"/>
          <w:lang w:val="en-US" w:eastAsia="zh-CN"/>
        </w:rPr>
      </w:pPr>
      <w:r>
        <w:rPr>
          <w:rFonts w:hint="default" w:ascii="Times New Roman" w:hAnsi="Times New Roman" w:eastAsia="宋体" w:cs="Times New Roman"/>
          <w:color w:val="auto"/>
          <w:kern w:val="2"/>
          <w:sz w:val="36"/>
          <w:szCs w:val="36"/>
          <w:lang w:eastAsia="zh-CN"/>
        </w:rPr>
        <w:t>项目名称：</w:t>
      </w:r>
      <w:r>
        <w:rPr>
          <w:rFonts w:hint="eastAsia" w:cs="Times New Roman"/>
          <w:b w:val="0"/>
          <w:bCs w:val="0"/>
          <w:color w:val="auto"/>
          <w:sz w:val="32"/>
          <w:szCs w:val="28"/>
          <w:u w:val="single"/>
          <w:lang w:val="en-US" w:eastAsia="zh-CN"/>
        </w:rPr>
        <w:t>年产3万套新型PP管材和环保设施生产项目</w:t>
      </w:r>
      <w:r>
        <w:rPr>
          <w:rFonts w:hint="eastAsia" w:eastAsia="宋体" w:cs="Times New Roman"/>
          <w:b w:val="0"/>
          <w:bCs w:val="0"/>
          <w:color w:val="auto"/>
          <w:sz w:val="32"/>
          <w:szCs w:val="28"/>
          <w:u w:val="single"/>
          <w:lang w:val="en-US" w:eastAsia="zh-CN"/>
        </w:rPr>
        <w:t xml:space="preserve">            </w:t>
      </w:r>
    </w:p>
    <w:p w14:paraId="7519B0C2">
      <w:pPr>
        <w:ind w:firstLine="720" w:firstLineChars="200"/>
        <w:rPr>
          <w:rFonts w:hint="default" w:ascii="Times New Roman" w:hAnsi="Times New Roman" w:eastAsia="宋体" w:cs="Times New Roman"/>
          <w:b w:val="0"/>
          <w:bCs w:val="0"/>
          <w:color w:val="auto"/>
          <w:sz w:val="32"/>
          <w:szCs w:val="28"/>
          <w:u w:val="single"/>
          <w:lang w:val="en-US"/>
        </w:rPr>
      </w:pPr>
      <w:r>
        <w:rPr>
          <w:rFonts w:hint="default" w:ascii="Times New Roman" w:hAnsi="Times New Roman" w:eastAsia="宋体" w:cs="Times New Roman"/>
          <w:b w:val="0"/>
          <w:bCs w:val="0"/>
          <w:color w:val="auto"/>
          <w:kern w:val="2"/>
          <w:sz w:val="36"/>
          <w:szCs w:val="36"/>
          <w:lang w:eastAsia="zh-CN"/>
        </w:rPr>
        <w:t>建设单位：</w:t>
      </w:r>
      <w:r>
        <w:rPr>
          <w:rFonts w:hint="default" w:ascii="Times New Roman" w:hAnsi="Times New Roman" w:eastAsia="宋体" w:cs="Times New Roman"/>
          <w:b w:val="0"/>
          <w:bCs w:val="0"/>
          <w:color w:val="auto"/>
          <w:sz w:val="32"/>
          <w:szCs w:val="28"/>
          <w:u w:val="single"/>
        </w:rPr>
        <w:t xml:space="preserve"> </w:t>
      </w:r>
      <w:r>
        <w:rPr>
          <w:rFonts w:hint="default" w:ascii="Times New Roman" w:hAnsi="Times New Roman" w:eastAsia="宋体" w:cs="Times New Roman"/>
          <w:b w:val="0"/>
          <w:bCs w:val="0"/>
          <w:color w:val="auto"/>
          <w:sz w:val="32"/>
          <w:szCs w:val="28"/>
          <w:u w:val="single"/>
          <w:lang w:val="en-US" w:eastAsia="zh-CN"/>
        </w:rPr>
        <w:t xml:space="preserve">    </w:t>
      </w:r>
      <w:r>
        <w:rPr>
          <w:rFonts w:hint="eastAsia" w:eastAsia="宋体" w:cs="Times New Roman"/>
          <w:b w:val="0"/>
          <w:bCs w:val="0"/>
          <w:color w:val="auto"/>
          <w:sz w:val="32"/>
          <w:szCs w:val="28"/>
          <w:u w:val="single"/>
          <w:lang w:val="en-US" w:eastAsia="zh-CN"/>
        </w:rPr>
        <w:t xml:space="preserve"> </w:t>
      </w:r>
      <w:bookmarkStart w:id="0" w:name="OLE_LINK11"/>
      <w:r>
        <w:rPr>
          <w:rFonts w:hint="eastAsia" w:eastAsia="宋体" w:cs="Times New Roman"/>
          <w:b w:val="0"/>
          <w:bCs w:val="0"/>
          <w:color w:val="auto"/>
          <w:sz w:val="32"/>
          <w:szCs w:val="28"/>
          <w:u w:val="single"/>
          <w:lang w:val="en-US" w:eastAsia="zh-CN"/>
        </w:rPr>
        <w:t xml:space="preserve"> </w:t>
      </w:r>
      <w:r>
        <w:rPr>
          <w:rFonts w:hint="eastAsia" w:cs="Times New Roman"/>
          <w:b w:val="0"/>
          <w:bCs w:val="0"/>
          <w:color w:val="auto"/>
          <w:sz w:val="32"/>
          <w:szCs w:val="28"/>
          <w:u w:val="single"/>
          <w:lang w:val="en-US" w:eastAsia="zh-CN"/>
        </w:rPr>
        <w:t xml:space="preserve">   安徽省三江塑业有限公司</w:t>
      </w:r>
      <w:r>
        <w:rPr>
          <w:rFonts w:hint="eastAsia" w:eastAsia="宋体" w:cs="Times New Roman"/>
          <w:b w:val="0"/>
          <w:bCs w:val="0"/>
          <w:color w:val="auto"/>
          <w:sz w:val="32"/>
          <w:szCs w:val="28"/>
          <w:u w:val="single"/>
          <w:lang w:val="en-US" w:eastAsia="zh-CN"/>
        </w:rPr>
        <w:t xml:space="preserve"> </w:t>
      </w:r>
      <w:bookmarkEnd w:id="0"/>
      <w:r>
        <w:rPr>
          <w:rFonts w:hint="eastAsia" w:eastAsia="宋体" w:cs="Times New Roman"/>
          <w:b w:val="0"/>
          <w:bCs w:val="0"/>
          <w:color w:val="auto"/>
          <w:sz w:val="32"/>
          <w:szCs w:val="28"/>
          <w:u w:val="single"/>
          <w:lang w:val="en-US" w:eastAsia="zh-CN"/>
        </w:rPr>
        <w:t xml:space="preserve"> </w:t>
      </w:r>
      <w:r>
        <w:rPr>
          <w:rFonts w:hint="eastAsia" w:cs="Times New Roman"/>
          <w:b w:val="0"/>
          <w:bCs w:val="0"/>
          <w:color w:val="auto"/>
          <w:sz w:val="32"/>
          <w:szCs w:val="28"/>
          <w:u w:val="single"/>
          <w:lang w:val="en-US" w:eastAsia="zh-CN"/>
        </w:rPr>
        <w:t xml:space="preserve"> </w:t>
      </w:r>
      <w:r>
        <w:rPr>
          <w:rFonts w:hint="default" w:ascii="Times New Roman" w:hAnsi="Times New Roman" w:eastAsia="宋体" w:cs="Times New Roman"/>
          <w:b w:val="0"/>
          <w:bCs w:val="0"/>
          <w:color w:val="auto"/>
          <w:sz w:val="32"/>
          <w:szCs w:val="28"/>
          <w:u w:val="single"/>
          <w:lang w:val="en-US" w:eastAsia="zh-CN"/>
        </w:rPr>
        <w:t xml:space="preserve"> </w:t>
      </w:r>
      <w:r>
        <w:rPr>
          <w:rFonts w:hint="eastAsia" w:eastAsia="宋体" w:cs="Times New Roman"/>
          <w:b w:val="0"/>
          <w:bCs w:val="0"/>
          <w:color w:val="auto"/>
          <w:sz w:val="32"/>
          <w:szCs w:val="28"/>
          <w:u w:val="single"/>
          <w:lang w:val="en-US" w:eastAsia="zh-CN"/>
        </w:rPr>
        <w:t xml:space="preserve"> </w:t>
      </w:r>
      <w:r>
        <w:rPr>
          <w:rFonts w:hint="default" w:ascii="Times New Roman" w:hAnsi="Times New Roman" w:eastAsia="宋体" w:cs="Times New Roman"/>
          <w:b w:val="0"/>
          <w:bCs w:val="0"/>
          <w:color w:val="auto"/>
          <w:sz w:val="32"/>
          <w:szCs w:val="28"/>
          <w:u w:val="single"/>
          <w:lang w:val="en-US" w:eastAsia="zh-CN"/>
        </w:rPr>
        <w:t xml:space="preserve">    </w:t>
      </w:r>
    </w:p>
    <w:p w14:paraId="0900B80C">
      <w:pPr>
        <w:ind w:firstLine="720" w:firstLineChars="200"/>
        <w:rPr>
          <w:rFonts w:hint="default" w:ascii="Times New Roman" w:hAnsi="Times New Roman" w:eastAsia="宋体" w:cs="Times New Roman"/>
          <w:b/>
          <w:bCs/>
          <w:color w:val="auto"/>
          <w:sz w:val="32"/>
          <w:szCs w:val="28"/>
        </w:rPr>
      </w:pPr>
      <w:r>
        <w:rPr>
          <w:rFonts w:hint="default" w:ascii="Times New Roman" w:hAnsi="Times New Roman" w:eastAsia="宋体" w:cs="Times New Roman"/>
          <w:b w:val="0"/>
          <w:bCs w:val="0"/>
          <w:color w:val="auto"/>
          <w:kern w:val="2"/>
          <w:sz w:val="36"/>
          <w:szCs w:val="36"/>
          <w:lang w:eastAsia="zh-CN"/>
        </w:rPr>
        <w:t>编制日期：</w:t>
      </w:r>
      <w:r>
        <w:rPr>
          <w:rFonts w:hint="default" w:ascii="Times New Roman" w:hAnsi="Times New Roman" w:eastAsia="宋体" w:cs="Times New Roman"/>
          <w:b w:val="0"/>
          <w:bCs w:val="0"/>
          <w:i w:val="0"/>
          <w:iCs w:val="0"/>
          <w:color w:val="auto"/>
          <w:sz w:val="32"/>
          <w:szCs w:val="28"/>
          <w:u w:val="single"/>
        </w:rPr>
        <w:t xml:space="preserve">    </w:t>
      </w:r>
      <w:r>
        <w:rPr>
          <w:rFonts w:hint="default" w:ascii="Times New Roman" w:hAnsi="Times New Roman" w:eastAsia="宋体" w:cs="Times New Roman"/>
          <w:b w:val="0"/>
          <w:bCs w:val="0"/>
          <w:i w:val="0"/>
          <w:iCs w:val="0"/>
          <w:color w:val="auto"/>
          <w:sz w:val="32"/>
          <w:szCs w:val="28"/>
          <w:u w:val="single"/>
          <w:lang w:val="en-US" w:eastAsia="zh-CN"/>
        </w:rPr>
        <w:t xml:space="preserve"> </w:t>
      </w:r>
      <w:r>
        <w:rPr>
          <w:rFonts w:hint="eastAsia" w:eastAsia="宋体" w:cs="Times New Roman"/>
          <w:b w:val="0"/>
          <w:bCs w:val="0"/>
          <w:i w:val="0"/>
          <w:iCs w:val="0"/>
          <w:color w:val="auto"/>
          <w:sz w:val="32"/>
          <w:szCs w:val="28"/>
          <w:u w:val="single"/>
          <w:lang w:val="en-US" w:eastAsia="zh-CN"/>
        </w:rPr>
        <w:t xml:space="preserve"> </w:t>
      </w:r>
      <w:r>
        <w:rPr>
          <w:rFonts w:hint="eastAsia" w:cs="Times New Roman"/>
          <w:b w:val="0"/>
          <w:bCs w:val="0"/>
          <w:i w:val="0"/>
          <w:iCs w:val="0"/>
          <w:color w:val="auto"/>
          <w:sz w:val="32"/>
          <w:szCs w:val="28"/>
          <w:u w:val="single"/>
          <w:lang w:val="en-US" w:eastAsia="zh-CN"/>
        </w:rPr>
        <w:t xml:space="preserve">    </w:t>
      </w:r>
      <w:r>
        <w:rPr>
          <w:rFonts w:hint="default" w:ascii="Times New Roman" w:hAnsi="Times New Roman" w:eastAsia="宋体" w:cs="Times New Roman"/>
          <w:b w:val="0"/>
          <w:bCs w:val="0"/>
          <w:i w:val="0"/>
          <w:iCs w:val="0"/>
          <w:color w:val="auto"/>
          <w:sz w:val="32"/>
          <w:szCs w:val="28"/>
          <w:u w:val="single"/>
          <w:lang w:val="en-US" w:eastAsia="zh-CN"/>
        </w:rPr>
        <w:t xml:space="preserve"> </w:t>
      </w:r>
      <w:r>
        <w:rPr>
          <w:rFonts w:hint="default" w:ascii="Times New Roman" w:hAnsi="Times New Roman" w:eastAsia="宋体" w:cs="Times New Roman"/>
          <w:b w:val="0"/>
          <w:bCs w:val="0"/>
          <w:i w:val="0"/>
          <w:iCs w:val="0"/>
          <w:color w:val="auto"/>
          <w:sz w:val="32"/>
          <w:szCs w:val="28"/>
          <w:u w:val="single"/>
        </w:rPr>
        <w:t>二〇</w:t>
      </w:r>
      <w:r>
        <w:rPr>
          <w:rFonts w:hint="default" w:ascii="Times New Roman" w:hAnsi="Times New Roman" w:eastAsia="宋体" w:cs="Times New Roman"/>
          <w:b w:val="0"/>
          <w:bCs w:val="0"/>
          <w:i w:val="0"/>
          <w:iCs w:val="0"/>
          <w:color w:val="auto"/>
          <w:sz w:val="32"/>
          <w:szCs w:val="28"/>
          <w:u w:val="single"/>
          <w:lang w:eastAsia="zh-CN"/>
        </w:rPr>
        <w:t>二</w:t>
      </w:r>
      <w:r>
        <w:rPr>
          <w:rFonts w:hint="eastAsia" w:eastAsia="宋体" w:cs="Times New Roman"/>
          <w:b w:val="0"/>
          <w:bCs w:val="0"/>
          <w:i w:val="0"/>
          <w:iCs w:val="0"/>
          <w:color w:val="auto"/>
          <w:sz w:val="32"/>
          <w:szCs w:val="28"/>
          <w:u w:val="single"/>
          <w:lang w:val="en-US" w:eastAsia="zh-CN"/>
        </w:rPr>
        <w:t>五</w:t>
      </w:r>
      <w:r>
        <w:rPr>
          <w:rFonts w:hint="default" w:ascii="Times New Roman" w:hAnsi="Times New Roman" w:eastAsia="宋体" w:cs="Times New Roman"/>
          <w:b w:val="0"/>
          <w:bCs w:val="0"/>
          <w:i w:val="0"/>
          <w:iCs w:val="0"/>
          <w:color w:val="auto"/>
          <w:sz w:val="32"/>
          <w:szCs w:val="28"/>
          <w:u w:val="single"/>
        </w:rPr>
        <w:t>年</w:t>
      </w:r>
      <w:r>
        <w:rPr>
          <w:rFonts w:hint="eastAsia" w:eastAsia="宋体" w:cs="Times New Roman"/>
          <w:b w:val="0"/>
          <w:bCs w:val="0"/>
          <w:i w:val="0"/>
          <w:iCs w:val="0"/>
          <w:color w:val="auto"/>
          <w:sz w:val="32"/>
          <w:szCs w:val="28"/>
          <w:u w:val="single"/>
          <w:lang w:val="en-US" w:eastAsia="zh-CN"/>
        </w:rPr>
        <w:t>十</w:t>
      </w:r>
      <w:r>
        <w:rPr>
          <w:rFonts w:hint="eastAsia" w:cs="Times New Roman"/>
          <w:b w:val="0"/>
          <w:bCs w:val="0"/>
          <w:i w:val="0"/>
          <w:iCs w:val="0"/>
          <w:color w:val="auto"/>
          <w:sz w:val="32"/>
          <w:szCs w:val="28"/>
          <w:u w:val="single"/>
          <w:lang w:val="en-US" w:eastAsia="zh-CN"/>
        </w:rPr>
        <w:t>二</w:t>
      </w:r>
      <w:r>
        <w:rPr>
          <w:rFonts w:hint="default" w:ascii="Times New Roman" w:hAnsi="Times New Roman" w:eastAsia="宋体" w:cs="Times New Roman"/>
          <w:b w:val="0"/>
          <w:bCs w:val="0"/>
          <w:i w:val="0"/>
          <w:iCs w:val="0"/>
          <w:color w:val="auto"/>
          <w:sz w:val="32"/>
          <w:szCs w:val="28"/>
          <w:u w:val="single"/>
        </w:rPr>
        <w:t>月</w:t>
      </w:r>
      <w:r>
        <w:rPr>
          <w:rFonts w:hint="eastAsia" w:eastAsia="宋体" w:cs="Times New Roman"/>
          <w:b w:val="0"/>
          <w:bCs w:val="0"/>
          <w:i w:val="0"/>
          <w:iCs w:val="0"/>
          <w:color w:val="auto"/>
          <w:sz w:val="32"/>
          <w:szCs w:val="28"/>
          <w:u w:val="single"/>
          <w:lang w:val="en-US" w:eastAsia="zh-CN"/>
        </w:rPr>
        <w:t xml:space="preserve"> </w:t>
      </w:r>
      <w:r>
        <w:rPr>
          <w:rFonts w:hint="default" w:ascii="Times New Roman" w:hAnsi="Times New Roman" w:eastAsia="宋体" w:cs="Times New Roman"/>
          <w:b w:val="0"/>
          <w:bCs w:val="0"/>
          <w:i w:val="0"/>
          <w:iCs w:val="0"/>
          <w:color w:val="auto"/>
          <w:sz w:val="32"/>
          <w:szCs w:val="28"/>
          <w:u w:val="single"/>
        </w:rPr>
        <w:t xml:space="preserve">  </w:t>
      </w:r>
      <w:r>
        <w:rPr>
          <w:rFonts w:hint="eastAsia" w:eastAsia="宋体" w:cs="Times New Roman"/>
          <w:b w:val="0"/>
          <w:bCs w:val="0"/>
          <w:i w:val="0"/>
          <w:iCs w:val="0"/>
          <w:color w:val="auto"/>
          <w:sz w:val="32"/>
          <w:szCs w:val="28"/>
          <w:u w:val="single"/>
          <w:lang w:val="en-US" w:eastAsia="zh-CN"/>
        </w:rPr>
        <w:t xml:space="preserve"> </w:t>
      </w:r>
      <w:r>
        <w:rPr>
          <w:rFonts w:hint="default" w:ascii="Times New Roman" w:hAnsi="Times New Roman" w:eastAsia="宋体" w:cs="Times New Roman"/>
          <w:b w:val="0"/>
          <w:bCs w:val="0"/>
          <w:i w:val="0"/>
          <w:iCs w:val="0"/>
          <w:color w:val="auto"/>
          <w:sz w:val="32"/>
          <w:szCs w:val="28"/>
          <w:u w:val="single"/>
          <w:lang w:val="en-US" w:eastAsia="zh-CN"/>
        </w:rPr>
        <w:t xml:space="preserve"> </w:t>
      </w:r>
      <w:r>
        <w:rPr>
          <w:rFonts w:hint="eastAsia" w:eastAsia="宋体" w:cs="Times New Roman"/>
          <w:b w:val="0"/>
          <w:bCs w:val="0"/>
          <w:i w:val="0"/>
          <w:iCs w:val="0"/>
          <w:color w:val="auto"/>
          <w:sz w:val="32"/>
          <w:szCs w:val="28"/>
          <w:u w:val="single"/>
          <w:lang w:val="en-US" w:eastAsia="zh-CN"/>
        </w:rPr>
        <w:t xml:space="preserve"> </w:t>
      </w:r>
      <w:r>
        <w:rPr>
          <w:rFonts w:hint="eastAsia" w:cs="Times New Roman"/>
          <w:b w:val="0"/>
          <w:bCs w:val="0"/>
          <w:i w:val="0"/>
          <w:iCs w:val="0"/>
          <w:color w:val="auto"/>
          <w:sz w:val="32"/>
          <w:szCs w:val="28"/>
          <w:u w:val="single"/>
          <w:lang w:val="en-US" w:eastAsia="zh-CN"/>
        </w:rPr>
        <w:t xml:space="preserve">   </w:t>
      </w:r>
      <w:r>
        <w:rPr>
          <w:rFonts w:hint="eastAsia" w:eastAsia="宋体" w:cs="Times New Roman"/>
          <w:b w:val="0"/>
          <w:bCs w:val="0"/>
          <w:i w:val="0"/>
          <w:iCs w:val="0"/>
          <w:color w:val="auto"/>
          <w:sz w:val="32"/>
          <w:szCs w:val="28"/>
          <w:u w:val="single"/>
          <w:lang w:val="en-US" w:eastAsia="zh-CN"/>
        </w:rPr>
        <w:t xml:space="preserve"> </w:t>
      </w:r>
      <w:r>
        <w:rPr>
          <w:rFonts w:hint="default" w:ascii="Times New Roman" w:hAnsi="Times New Roman" w:eastAsia="宋体" w:cs="Times New Roman"/>
          <w:b w:val="0"/>
          <w:bCs w:val="0"/>
          <w:i w:val="0"/>
          <w:iCs w:val="0"/>
          <w:color w:val="auto"/>
          <w:sz w:val="32"/>
          <w:szCs w:val="28"/>
          <w:u w:val="single"/>
          <w:lang w:val="en-US" w:eastAsia="zh-CN"/>
        </w:rPr>
        <w:t xml:space="preserve"> </w:t>
      </w:r>
      <w:r>
        <w:rPr>
          <w:rFonts w:hint="default" w:ascii="Times New Roman" w:hAnsi="Times New Roman" w:eastAsia="宋体" w:cs="Times New Roman"/>
          <w:b w:val="0"/>
          <w:bCs w:val="0"/>
          <w:i w:val="0"/>
          <w:iCs w:val="0"/>
          <w:color w:val="auto"/>
          <w:sz w:val="32"/>
          <w:szCs w:val="28"/>
          <w:u w:val="single"/>
        </w:rPr>
        <w:t xml:space="preserve">   </w:t>
      </w:r>
    </w:p>
    <w:p w14:paraId="411C93B1">
      <w:pPr>
        <w:rPr>
          <w:rFonts w:hint="default" w:ascii="Times New Roman" w:hAnsi="Times New Roman" w:cs="Times New Roman"/>
          <w:color w:val="auto"/>
        </w:rPr>
      </w:pPr>
    </w:p>
    <w:p w14:paraId="56859BC6">
      <w:pPr>
        <w:rPr>
          <w:rFonts w:hint="default" w:ascii="Times New Roman" w:hAnsi="Times New Roman" w:cs="Times New Roman"/>
          <w:color w:val="auto"/>
        </w:rPr>
      </w:pPr>
    </w:p>
    <w:p w14:paraId="76B456FA">
      <w:pPr>
        <w:rPr>
          <w:rFonts w:hint="default" w:ascii="Times New Roman" w:hAnsi="Times New Roman" w:cs="Times New Roman"/>
          <w:color w:val="auto"/>
        </w:rPr>
      </w:pPr>
    </w:p>
    <w:p w14:paraId="49F0D910">
      <w:pPr>
        <w:rPr>
          <w:rFonts w:hint="default" w:ascii="Times New Roman" w:hAnsi="Times New Roman" w:cs="Times New Roman"/>
          <w:color w:val="auto"/>
        </w:rPr>
      </w:pPr>
    </w:p>
    <w:p w14:paraId="3C3F557E">
      <w:pPr>
        <w:rPr>
          <w:rFonts w:hint="default" w:ascii="Times New Roman" w:hAnsi="Times New Roman" w:cs="Times New Roman"/>
          <w:color w:val="auto"/>
        </w:rPr>
      </w:pPr>
    </w:p>
    <w:p w14:paraId="0450E95D">
      <w:pPr>
        <w:adjustRightInd w:val="0"/>
        <w:snapToGrid w:val="0"/>
        <w:spacing w:line="288" w:lineRule="auto"/>
        <w:jc w:val="center"/>
        <w:rPr>
          <w:rFonts w:hint="default" w:ascii="Times New Roman" w:hAnsi="Times New Roman" w:eastAsia="楷体_GB2312" w:cs="Times New Roman"/>
          <w:color w:val="auto"/>
          <w:kern w:val="2"/>
          <w:sz w:val="36"/>
          <w:szCs w:val="36"/>
          <w:lang w:eastAsia="zh-CN"/>
        </w:rPr>
      </w:pPr>
      <w:r>
        <w:rPr>
          <w:rFonts w:hint="default" w:ascii="Times New Roman" w:hAnsi="Times New Roman" w:eastAsia="楷体_GB2312" w:cs="Times New Roman"/>
          <w:color w:val="auto"/>
          <w:kern w:val="2"/>
          <w:sz w:val="36"/>
          <w:szCs w:val="36"/>
          <w:lang w:eastAsia="zh-CN"/>
        </w:rPr>
        <w:t>中华人民共和国生态环境部制</w:t>
      </w:r>
    </w:p>
    <w:p w14:paraId="372D14EF">
      <w:pPr>
        <w:jc w:val="both"/>
        <w:rPr>
          <w:rFonts w:hint="default" w:ascii="Times New Roman" w:hAnsi="Times New Roman" w:cs="Times New Roman"/>
          <w:color w:val="auto"/>
          <w:sz w:val="32"/>
          <w:szCs w:val="28"/>
        </w:rPr>
      </w:pPr>
    </w:p>
    <w:p w14:paraId="10CE8669">
      <w:pPr>
        <w:rPr>
          <w:rFonts w:hint="default" w:ascii="Times New Roman" w:hAnsi="Times New Roman" w:cs="Times New Roman"/>
          <w:color w:val="auto"/>
        </w:rPr>
      </w:pPr>
    </w:p>
    <w:p w14:paraId="27EDEF3C">
      <w:pPr>
        <w:bidi w:val="0"/>
        <w:rPr>
          <w:rFonts w:hint="default"/>
        </w:rPr>
      </w:pPr>
    </w:p>
    <w:p w14:paraId="2AFD2219">
      <w:pPr>
        <w:jc w:val="center"/>
        <w:rPr>
          <w:rFonts w:hint="eastAsia"/>
          <w:b/>
          <w:bCs/>
          <w:color w:val="auto"/>
          <w:u w:val="none"/>
          <w:lang w:val="en-US" w:eastAsia="zh-CN"/>
        </w:rPr>
        <w:sectPr>
          <w:pgSz w:w="11906" w:h="16838"/>
          <w:pgMar w:top="1417" w:right="1417" w:bottom="1417" w:left="1417" w:header="851" w:footer="992" w:gutter="0"/>
          <w:cols w:space="720" w:num="1"/>
          <w:rtlGutter w:val="0"/>
          <w:docGrid w:type="lines" w:linePitch="312" w:charSpace="0"/>
        </w:sectPr>
      </w:pPr>
    </w:p>
    <w:p w14:paraId="1AEEA76F">
      <w:pPr>
        <w:jc w:val="center"/>
        <w:rPr>
          <w:rFonts w:hint="eastAsia"/>
          <w:b/>
          <w:bCs/>
          <w:color w:val="auto"/>
          <w:u w:val="none"/>
          <w:lang w:val="en-US" w:eastAsia="zh-CN"/>
        </w:rPr>
      </w:pPr>
      <w:r>
        <w:rPr>
          <w:rFonts w:hint="eastAsia"/>
          <w:b/>
          <w:bCs/>
          <w:color w:val="auto"/>
          <w:u w:val="none"/>
          <w:lang w:val="en-US" w:eastAsia="zh-CN"/>
        </w:rPr>
        <w:t>目录</w:t>
      </w:r>
    </w:p>
    <w:p w14:paraId="337E34A3">
      <w:pPr>
        <w:rPr>
          <w:rFonts w:hint="eastAsia"/>
          <w:color w:val="auto"/>
          <w:u w:val="none"/>
          <w:lang w:val="en-US" w:eastAsia="zh-CN"/>
        </w:rPr>
      </w:pPr>
    </w:p>
    <w:p w14:paraId="17AF99FB">
      <w:pPr>
        <w:pStyle w:val="20"/>
        <w:tabs>
          <w:tab w:val="right" w:leader="dot" w:pos="9072"/>
        </w:tabs>
        <w:spacing w:line="480" w:lineRule="auto"/>
        <w:rPr>
          <w:rFonts w:hint="eastAsia" w:ascii="Times New Roman" w:hAnsi="Times New Roman" w:eastAsia="宋体" w:cs="黑体"/>
          <w:b w:val="0"/>
          <w:bCs w:val="0"/>
          <w:sz w:val="28"/>
          <w:szCs w:val="24"/>
        </w:rPr>
      </w:pPr>
      <w:r>
        <w:rPr>
          <w:rFonts w:hint="eastAsia" w:ascii="Times New Roman" w:hAnsi="Times New Roman" w:eastAsia="宋体" w:cs="Times New Roman"/>
          <w:color w:val="auto"/>
          <w:lang w:val="en-US" w:eastAsia="zh-CN"/>
        </w:rPr>
        <w:fldChar w:fldCharType="begin"/>
      </w:r>
      <w:r>
        <w:rPr>
          <w:rFonts w:hint="eastAsia" w:ascii="Times New Roman" w:hAnsi="Times New Roman" w:eastAsia="宋体" w:cs="Times New Roman"/>
          <w:color w:val="auto"/>
          <w:lang w:val="en-US" w:eastAsia="zh-CN"/>
        </w:rPr>
        <w:instrText xml:space="preserve">TOC \o "1-1" \h \u </w:instrText>
      </w:r>
      <w:r>
        <w:rPr>
          <w:rFonts w:hint="eastAsia" w:ascii="Times New Roman" w:hAnsi="Times New Roman" w:eastAsia="宋体" w:cs="Times New Roman"/>
          <w:color w:val="auto"/>
          <w:lang w:val="en-US" w:eastAsia="zh-CN"/>
        </w:rPr>
        <w:fldChar w:fldCharType="separate"/>
      </w:r>
      <w:r>
        <w:rPr>
          <w:rFonts w:hint="eastAsia" w:ascii="Times New Roman" w:hAnsi="Times New Roman" w:eastAsia="宋体" w:cs="黑体"/>
          <w:b w:val="0"/>
          <w:bCs w:val="0"/>
          <w:color w:val="auto"/>
          <w:sz w:val="28"/>
          <w:szCs w:val="24"/>
          <w:lang w:val="en-US" w:eastAsia="zh-CN"/>
        </w:rPr>
        <w:fldChar w:fldCharType="begin"/>
      </w:r>
      <w:r>
        <w:rPr>
          <w:rFonts w:hint="eastAsia" w:ascii="Times New Roman" w:hAnsi="Times New Roman" w:eastAsia="宋体" w:cs="黑体"/>
          <w:b w:val="0"/>
          <w:bCs w:val="0"/>
          <w:sz w:val="28"/>
          <w:szCs w:val="24"/>
          <w:lang w:val="en-US" w:eastAsia="zh-CN"/>
        </w:rPr>
        <w:instrText xml:space="preserve"> HYPERLINK \l _Toc15591 </w:instrText>
      </w:r>
      <w:r>
        <w:rPr>
          <w:rFonts w:hint="eastAsia" w:ascii="Times New Roman" w:hAnsi="Times New Roman" w:eastAsia="宋体" w:cs="黑体"/>
          <w:b w:val="0"/>
          <w:bCs w:val="0"/>
          <w:sz w:val="28"/>
          <w:szCs w:val="24"/>
          <w:lang w:val="en-US" w:eastAsia="zh-CN"/>
        </w:rPr>
        <w:fldChar w:fldCharType="separate"/>
      </w:r>
      <w:r>
        <w:rPr>
          <w:rFonts w:hint="eastAsia" w:ascii="Times New Roman" w:hAnsi="Times New Roman" w:eastAsia="宋体" w:cs="黑体"/>
          <w:b w:val="0"/>
          <w:bCs w:val="0"/>
          <w:sz w:val="28"/>
          <w:szCs w:val="32"/>
        </w:rPr>
        <w:t>一、建设项目基本情况</w:t>
      </w:r>
      <w:r>
        <w:rPr>
          <w:rFonts w:hint="eastAsia" w:ascii="Times New Roman" w:hAnsi="Times New Roman" w:eastAsia="宋体" w:cs="黑体"/>
          <w:b w:val="0"/>
          <w:bCs w:val="0"/>
          <w:sz w:val="28"/>
          <w:szCs w:val="24"/>
        </w:rPr>
        <w:tab/>
      </w:r>
      <w:r>
        <w:rPr>
          <w:rFonts w:hint="eastAsia" w:ascii="Times New Roman" w:hAnsi="Times New Roman" w:eastAsia="宋体" w:cs="黑体"/>
          <w:b w:val="0"/>
          <w:bCs w:val="0"/>
          <w:sz w:val="28"/>
          <w:szCs w:val="24"/>
        </w:rPr>
        <w:fldChar w:fldCharType="begin"/>
      </w:r>
      <w:r>
        <w:rPr>
          <w:rFonts w:hint="eastAsia" w:ascii="Times New Roman" w:hAnsi="Times New Roman" w:eastAsia="宋体" w:cs="黑体"/>
          <w:b w:val="0"/>
          <w:bCs w:val="0"/>
          <w:sz w:val="28"/>
          <w:szCs w:val="24"/>
        </w:rPr>
        <w:instrText xml:space="preserve"> PAGEREF _Toc15591 \h </w:instrText>
      </w:r>
      <w:r>
        <w:rPr>
          <w:rFonts w:hint="eastAsia" w:ascii="Times New Roman" w:hAnsi="Times New Roman" w:eastAsia="宋体" w:cs="黑体"/>
          <w:b w:val="0"/>
          <w:bCs w:val="0"/>
          <w:sz w:val="28"/>
          <w:szCs w:val="24"/>
        </w:rPr>
        <w:fldChar w:fldCharType="separate"/>
      </w:r>
      <w:r>
        <w:rPr>
          <w:rFonts w:hint="eastAsia" w:ascii="Times New Roman" w:hAnsi="Times New Roman" w:eastAsia="宋体" w:cs="黑体"/>
          <w:b w:val="0"/>
          <w:bCs w:val="0"/>
          <w:sz w:val="28"/>
          <w:szCs w:val="24"/>
        </w:rPr>
        <w:t>1</w:t>
      </w:r>
      <w:r>
        <w:rPr>
          <w:rFonts w:hint="eastAsia" w:ascii="Times New Roman" w:hAnsi="Times New Roman" w:eastAsia="宋体" w:cs="黑体"/>
          <w:b w:val="0"/>
          <w:bCs w:val="0"/>
          <w:sz w:val="28"/>
          <w:szCs w:val="24"/>
        </w:rPr>
        <w:fldChar w:fldCharType="end"/>
      </w:r>
      <w:r>
        <w:rPr>
          <w:rFonts w:hint="eastAsia" w:ascii="Times New Roman" w:hAnsi="Times New Roman" w:eastAsia="宋体" w:cs="黑体"/>
          <w:b w:val="0"/>
          <w:bCs w:val="0"/>
          <w:color w:val="auto"/>
          <w:sz w:val="28"/>
          <w:szCs w:val="24"/>
          <w:lang w:val="en-US" w:eastAsia="zh-CN"/>
        </w:rPr>
        <w:fldChar w:fldCharType="end"/>
      </w:r>
    </w:p>
    <w:p w14:paraId="49EF42A8">
      <w:pPr>
        <w:pStyle w:val="20"/>
        <w:tabs>
          <w:tab w:val="right" w:leader="dot" w:pos="9072"/>
        </w:tabs>
        <w:spacing w:line="480" w:lineRule="auto"/>
        <w:rPr>
          <w:rFonts w:hint="eastAsia" w:ascii="Times New Roman" w:hAnsi="Times New Roman" w:eastAsia="宋体" w:cs="黑体"/>
          <w:b w:val="0"/>
          <w:bCs w:val="0"/>
          <w:sz w:val="28"/>
          <w:szCs w:val="24"/>
        </w:rPr>
      </w:pPr>
      <w:r>
        <w:rPr>
          <w:rFonts w:hint="eastAsia" w:ascii="Times New Roman" w:hAnsi="Times New Roman" w:eastAsia="宋体" w:cs="黑体"/>
          <w:b w:val="0"/>
          <w:bCs w:val="0"/>
          <w:color w:val="auto"/>
          <w:sz w:val="28"/>
          <w:szCs w:val="24"/>
          <w:lang w:val="en-US" w:eastAsia="zh-CN"/>
        </w:rPr>
        <w:fldChar w:fldCharType="begin"/>
      </w:r>
      <w:r>
        <w:rPr>
          <w:rFonts w:hint="eastAsia" w:ascii="Times New Roman" w:hAnsi="Times New Roman" w:eastAsia="宋体" w:cs="黑体"/>
          <w:b w:val="0"/>
          <w:bCs w:val="0"/>
          <w:sz w:val="28"/>
          <w:szCs w:val="24"/>
          <w:lang w:val="en-US" w:eastAsia="zh-CN"/>
        </w:rPr>
        <w:instrText xml:space="preserve"> HYPERLINK \l _Toc30489 </w:instrText>
      </w:r>
      <w:r>
        <w:rPr>
          <w:rFonts w:hint="eastAsia" w:ascii="Times New Roman" w:hAnsi="Times New Roman" w:eastAsia="宋体" w:cs="黑体"/>
          <w:b w:val="0"/>
          <w:bCs w:val="0"/>
          <w:sz w:val="28"/>
          <w:szCs w:val="24"/>
          <w:lang w:val="en-US" w:eastAsia="zh-CN"/>
        </w:rPr>
        <w:fldChar w:fldCharType="separate"/>
      </w:r>
      <w:r>
        <w:rPr>
          <w:rFonts w:hint="eastAsia" w:ascii="Times New Roman" w:hAnsi="Times New Roman" w:eastAsia="宋体" w:cs="黑体"/>
          <w:b w:val="0"/>
          <w:bCs w:val="0"/>
          <w:sz w:val="28"/>
          <w:szCs w:val="32"/>
        </w:rPr>
        <w:t>二、建设项目工程分析</w:t>
      </w:r>
      <w:r>
        <w:rPr>
          <w:rFonts w:hint="eastAsia" w:ascii="Times New Roman" w:hAnsi="Times New Roman" w:eastAsia="宋体" w:cs="黑体"/>
          <w:b w:val="0"/>
          <w:bCs w:val="0"/>
          <w:sz w:val="28"/>
          <w:szCs w:val="24"/>
        </w:rPr>
        <w:tab/>
      </w:r>
      <w:r>
        <w:rPr>
          <w:rFonts w:hint="eastAsia" w:ascii="Times New Roman" w:hAnsi="Times New Roman" w:eastAsia="宋体" w:cs="黑体"/>
          <w:b w:val="0"/>
          <w:bCs w:val="0"/>
          <w:sz w:val="28"/>
          <w:szCs w:val="24"/>
        </w:rPr>
        <w:fldChar w:fldCharType="begin"/>
      </w:r>
      <w:r>
        <w:rPr>
          <w:rFonts w:hint="eastAsia" w:ascii="Times New Roman" w:hAnsi="Times New Roman" w:eastAsia="宋体" w:cs="黑体"/>
          <w:b w:val="0"/>
          <w:bCs w:val="0"/>
          <w:sz w:val="28"/>
          <w:szCs w:val="24"/>
        </w:rPr>
        <w:instrText xml:space="preserve"> PAGEREF _Toc30489 \h </w:instrText>
      </w:r>
      <w:r>
        <w:rPr>
          <w:rFonts w:hint="eastAsia" w:ascii="Times New Roman" w:hAnsi="Times New Roman" w:eastAsia="宋体" w:cs="黑体"/>
          <w:b w:val="0"/>
          <w:bCs w:val="0"/>
          <w:sz w:val="28"/>
          <w:szCs w:val="24"/>
        </w:rPr>
        <w:fldChar w:fldCharType="separate"/>
      </w:r>
      <w:r>
        <w:rPr>
          <w:rFonts w:hint="eastAsia" w:ascii="Times New Roman" w:hAnsi="Times New Roman" w:eastAsia="宋体" w:cs="黑体"/>
          <w:b w:val="0"/>
          <w:bCs w:val="0"/>
          <w:sz w:val="28"/>
          <w:szCs w:val="24"/>
        </w:rPr>
        <w:t>13</w:t>
      </w:r>
      <w:r>
        <w:rPr>
          <w:rFonts w:hint="eastAsia" w:ascii="Times New Roman" w:hAnsi="Times New Roman" w:eastAsia="宋体" w:cs="黑体"/>
          <w:b w:val="0"/>
          <w:bCs w:val="0"/>
          <w:sz w:val="28"/>
          <w:szCs w:val="24"/>
        </w:rPr>
        <w:fldChar w:fldCharType="end"/>
      </w:r>
      <w:r>
        <w:rPr>
          <w:rFonts w:hint="eastAsia" w:ascii="Times New Roman" w:hAnsi="Times New Roman" w:eastAsia="宋体" w:cs="黑体"/>
          <w:b w:val="0"/>
          <w:bCs w:val="0"/>
          <w:color w:val="auto"/>
          <w:sz w:val="28"/>
          <w:szCs w:val="24"/>
          <w:lang w:val="en-US" w:eastAsia="zh-CN"/>
        </w:rPr>
        <w:fldChar w:fldCharType="end"/>
      </w:r>
    </w:p>
    <w:p w14:paraId="278DC0C0">
      <w:pPr>
        <w:pStyle w:val="20"/>
        <w:tabs>
          <w:tab w:val="right" w:leader="dot" w:pos="9072"/>
        </w:tabs>
        <w:spacing w:line="480" w:lineRule="auto"/>
        <w:rPr>
          <w:rFonts w:hint="default" w:ascii="Times New Roman" w:hAnsi="Times New Roman" w:eastAsia="宋体" w:cs="黑体"/>
          <w:b w:val="0"/>
          <w:bCs w:val="0"/>
          <w:sz w:val="28"/>
          <w:szCs w:val="24"/>
          <w:lang w:val="en-US"/>
        </w:rPr>
      </w:pPr>
      <w:r>
        <w:rPr>
          <w:rFonts w:hint="eastAsia" w:ascii="Times New Roman" w:hAnsi="Times New Roman" w:eastAsia="宋体" w:cs="黑体"/>
          <w:b w:val="0"/>
          <w:bCs w:val="0"/>
          <w:color w:val="auto"/>
          <w:sz w:val="28"/>
          <w:szCs w:val="24"/>
          <w:lang w:val="en-US" w:eastAsia="zh-CN"/>
        </w:rPr>
        <w:fldChar w:fldCharType="begin"/>
      </w:r>
      <w:r>
        <w:rPr>
          <w:rFonts w:hint="eastAsia" w:ascii="Times New Roman" w:hAnsi="Times New Roman" w:eastAsia="宋体" w:cs="黑体"/>
          <w:b w:val="0"/>
          <w:bCs w:val="0"/>
          <w:sz w:val="28"/>
          <w:szCs w:val="24"/>
          <w:lang w:val="en-US" w:eastAsia="zh-CN"/>
        </w:rPr>
        <w:instrText xml:space="preserve"> HYPERLINK \l _Toc25267 </w:instrText>
      </w:r>
      <w:r>
        <w:rPr>
          <w:rFonts w:hint="eastAsia" w:ascii="Times New Roman" w:hAnsi="Times New Roman" w:eastAsia="宋体" w:cs="黑体"/>
          <w:b w:val="0"/>
          <w:bCs w:val="0"/>
          <w:sz w:val="28"/>
          <w:szCs w:val="24"/>
          <w:lang w:val="en-US" w:eastAsia="zh-CN"/>
        </w:rPr>
        <w:fldChar w:fldCharType="separate"/>
      </w:r>
      <w:r>
        <w:rPr>
          <w:rFonts w:hint="eastAsia" w:ascii="Times New Roman" w:hAnsi="Times New Roman" w:eastAsia="宋体" w:cs="黑体"/>
          <w:b w:val="0"/>
          <w:bCs w:val="0"/>
          <w:sz w:val="28"/>
          <w:szCs w:val="24"/>
          <w:lang w:val="en-US" w:eastAsia="zh-CN"/>
        </w:rPr>
        <w:t>三、区域环境质量现状、环境保护目标及评价标准</w:t>
      </w:r>
      <w:r>
        <w:rPr>
          <w:rFonts w:hint="eastAsia" w:ascii="Times New Roman" w:hAnsi="Times New Roman" w:eastAsia="宋体" w:cs="黑体"/>
          <w:b w:val="0"/>
          <w:bCs w:val="0"/>
          <w:sz w:val="28"/>
          <w:szCs w:val="24"/>
        </w:rPr>
        <w:tab/>
      </w:r>
      <w:r>
        <w:rPr>
          <w:rFonts w:hint="eastAsia" w:cs="黑体"/>
          <w:b w:val="0"/>
          <w:bCs w:val="0"/>
          <w:sz w:val="28"/>
          <w:szCs w:val="24"/>
          <w:lang w:val="en-US" w:eastAsia="zh-CN"/>
        </w:rPr>
        <w:t>2</w:t>
      </w:r>
      <w:r>
        <w:rPr>
          <w:rFonts w:hint="eastAsia" w:ascii="Times New Roman" w:hAnsi="Times New Roman" w:eastAsia="宋体" w:cs="黑体"/>
          <w:b w:val="0"/>
          <w:bCs w:val="0"/>
          <w:color w:val="auto"/>
          <w:sz w:val="28"/>
          <w:szCs w:val="24"/>
          <w:lang w:val="en-US" w:eastAsia="zh-CN"/>
        </w:rPr>
        <w:fldChar w:fldCharType="end"/>
      </w:r>
      <w:r>
        <w:rPr>
          <w:rFonts w:hint="eastAsia" w:cs="黑体"/>
          <w:b w:val="0"/>
          <w:bCs w:val="0"/>
          <w:color w:val="auto"/>
          <w:sz w:val="28"/>
          <w:szCs w:val="24"/>
          <w:lang w:val="en-US" w:eastAsia="zh-CN"/>
        </w:rPr>
        <w:t>7</w:t>
      </w:r>
    </w:p>
    <w:p w14:paraId="7CE708F2">
      <w:pPr>
        <w:pStyle w:val="20"/>
        <w:tabs>
          <w:tab w:val="right" w:leader="dot" w:pos="9072"/>
        </w:tabs>
        <w:spacing w:line="480" w:lineRule="auto"/>
        <w:rPr>
          <w:rFonts w:hint="default" w:ascii="Times New Roman" w:hAnsi="Times New Roman" w:eastAsia="宋体" w:cs="黑体"/>
          <w:b w:val="0"/>
          <w:bCs w:val="0"/>
          <w:sz w:val="28"/>
          <w:szCs w:val="24"/>
          <w:lang w:val="en-US"/>
        </w:rPr>
      </w:pPr>
      <w:r>
        <w:rPr>
          <w:rFonts w:hint="eastAsia" w:ascii="Times New Roman" w:hAnsi="Times New Roman" w:eastAsia="宋体" w:cs="黑体"/>
          <w:b w:val="0"/>
          <w:bCs w:val="0"/>
          <w:color w:val="auto"/>
          <w:sz w:val="28"/>
          <w:szCs w:val="24"/>
          <w:lang w:val="en-US" w:eastAsia="zh-CN"/>
        </w:rPr>
        <w:fldChar w:fldCharType="begin"/>
      </w:r>
      <w:r>
        <w:rPr>
          <w:rFonts w:hint="eastAsia" w:ascii="Times New Roman" w:hAnsi="Times New Roman" w:eastAsia="宋体" w:cs="黑体"/>
          <w:b w:val="0"/>
          <w:bCs w:val="0"/>
          <w:sz w:val="28"/>
          <w:szCs w:val="24"/>
          <w:lang w:val="en-US" w:eastAsia="zh-CN"/>
        </w:rPr>
        <w:instrText xml:space="preserve"> HYPERLINK \l _Toc29187 </w:instrText>
      </w:r>
      <w:r>
        <w:rPr>
          <w:rFonts w:hint="eastAsia" w:ascii="Times New Roman" w:hAnsi="Times New Roman" w:eastAsia="宋体" w:cs="黑体"/>
          <w:b w:val="0"/>
          <w:bCs w:val="0"/>
          <w:sz w:val="28"/>
          <w:szCs w:val="24"/>
          <w:lang w:val="en-US" w:eastAsia="zh-CN"/>
        </w:rPr>
        <w:fldChar w:fldCharType="separate"/>
      </w:r>
      <w:r>
        <w:rPr>
          <w:rFonts w:hint="eastAsia" w:ascii="Times New Roman" w:hAnsi="Times New Roman" w:eastAsia="宋体" w:cs="黑体"/>
          <w:b w:val="0"/>
          <w:bCs w:val="0"/>
          <w:sz w:val="28"/>
          <w:szCs w:val="24"/>
        </w:rPr>
        <w:t>四、主要环境影响和保护措施</w:t>
      </w:r>
      <w:r>
        <w:rPr>
          <w:rFonts w:hint="eastAsia" w:ascii="Times New Roman" w:hAnsi="Times New Roman" w:eastAsia="宋体" w:cs="黑体"/>
          <w:b w:val="0"/>
          <w:bCs w:val="0"/>
          <w:sz w:val="28"/>
          <w:szCs w:val="24"/>
        </w:rPr>
        <w:tab/>
      </w:r>
      <w:r>
        <w:rPr>
          <w:rFonts w:hint="eastAsia" w:cs="黑体"/>
          <w:b w:val="0"/>
          <w:bCs w:val="0"/>
          <w:sz w:val="28"/>
          <w:szCs w:val="24"/>
          <w:lang w:val="en-US" w:eastAsia="zh-CN"/>
        </w:rPr>
        <w:t>3</w:t>
      </w:r>
      <w:r>
        <w:rPr>
          <w:rFonts w:hint="eastAsia" w:ascii="Times New Roman" w:hAnsi="Times New Roman" w:eastAsia="宋体" w:cs="黑体"/>
          <w:b w:val="0"/>
          <w:bCs w:val="0"/>
          <w:color w:val="auto"/>
          <w:sz w:val="28"/>
          <w:szCs w:val="24"/>
          <w:lang w:val="en-US" w:eastAsia="zh-CN"/>
        </w:rPr>
        <w:fldChar w:fldCharType="end"/>
      </w:r>
      <w:r>
        <w:rPr>
          <w:rFonts w:hint="eastAsia" w:cs="黑体"/>
          <w:b w:val="0"/>
          <w:bCs w:val="0"/>
          <w:color w:val="auto"/>
          <w:sz w:val="28"/>
          <w:szCs w:val="24"/>
          <w:lang w:val="en-US" w:eastAsia="zh-CN"/>
        </w:rPr>
        <w:t>3</w:t>
      </w:r>
    </w:p>
    <w:p w14:paraId="6BB15141">
      <w:pPr>
        <w:pStyle w:val="20"/>
        <w:tabs>
          <w:tab w:val="right" w:leader="dot" w:pos="9072"/>
        </w:tabs>
        <w:spacing w:line="480" w:lineRule="auto"/>
        <w:rPr>
          <w:rFonts w:hint="default" w:ascii="Times New Roman" w:hAnsi="Times New Roman" w:eastAsia="宋体" w:cs="黑体"/>
          <w:b w:val="0"/>
          <w:bCs w:val="0"/>
          <w:sz w:val="28"/>
          <w:szCs w:val="24"/>
          <w:lang w:val="en-US"/>
        </w:rPr>
      </w:pPr>
      <w:r>
        <w:rPr>
          <w:rFonts w:hint="eastAsia" w:ascii="Times New Roman" w:hAnsi="Times New Roman" w:eastAsia="宋体" w:cs="黑体"/>
          <w:b w:val="0"/>
          <w:bCs w:val="0"/>
          <w:color w:val="auto"/>
          <w:sz w:val="28"/>
          <w:szCs w:val="24"/>
          <w:lang w:val="en-US" w:eastAsia="zh-CN"/>
        </w:rPr>
        <w:fldChar w:fldCharType="begin"/>
      </w:r>
      <w:r>
        <w:rPr>
          <w:rFonts w:hint="eastAsia" w:ascii="Times New Roman" w:hAnsi="Times New Roman" w:eastAsia="宋体" w:cs="黑体"/>
          <w:b w:val="0"/>
          <w:bCs w:val="0"/>
          <w:sz w:val="28"/>
          <w:szCs w:val="24"/>
          <w:lang w:val="en-US" w:eastAsia="zh-CN"/>
        </w:rPr>
        <w:instrText xml:space="preserve"> HYPERLINK \l _Toc11174 </w:instrText>
      </w:r>
      <w:r>
        <w:rPr>
          <w:rFonts w:hint="eastAsia" w:ascii="Times New Roman" w:hAnsi="Times New Roman" w:eastAsia="宋体" w:cs="黑体"/>
          <w:b w:val="0"/>
          <w:bCs w:val="0"/>
          <w:sz w:val="28"/>
          <w:szCs w:val="24"/>
          <w:lang w:val="en-US" w:eastAsia="zh-CN"/>
        </w:rPr>
        <w:fldChar w:fldCharType="separate"/>
      </w:r>
      <w:r>
        <w:rPr>
          <w:rFonts w:hint="eastAsia" w:ascii="Times New Roman" w:hAnsi="Times New Roman" w:eastAsia="宋体" w:cs="黑体"/>
          <w:b w:val="0"/>
          <w:bCs w:val="0"/>
          <w:sz w:val="28"/>
          <w:szCs w:val="32"/>
        </w:rPr>
        <w:t>五、环境保护措施监督检查清单</w:t>
      </w:r>
      <w:r>
        <w:rPr>
          <w:rFonts w:hint="eastAsia" w:ascii="Times New Roman" w:hAnsi="Times New Roman" w:eastAsia="宋体" w:cs="黑体"/>
          <w:b w:val="0"/>
          <w:bCs w:val="0"/>
          <w:sz w:val="28"/>
          <w:szCs w:val="24"/>
        </w:rPr>
        <w:tab/>
      </w:r>
      <w:r>
        <w:rPr>
          <w:rFonts w:hint="eastAsia" w:cs="黑体"/>
          <w:b w:val="0"/>
          <w:bCs w:val="0"/>
          <w:sz w:val="28"/>
          <w:szCs w:val="24"/>
          <w:lang w:val="en-US" w:eastAsia="zh-CN"/>
        </w:rPr>
        <w:t>6</w:t>
      </w:r>
      <w:r>
        <w:rPr>
          <w:rFonts w:hint="eastAsia" w:ascii="Times New Roman" w:hAnsi="Times New Roman" w:eastAsia="宋体" w:cs="黑体"/>
          <w:b w:val="0"/>
          <w:bCs w:val="0"/>
          <w:color w:val="auto"/>
          <w:sz w:val="28"/>
          <w:szCs w:val="24"/>
          <w:lang w:val="en-US" w:eastAsia="zh-CN"/>
        </w:rPr>
        <w:fldChar w:fldCharType="end"/>
      </w:r>
      <w:r>
        <w:rPr>
          <w:rFonts w:hint="eastAsia" w:cs="黑体"/>
          <w:b w:val="0"/>
          <w:bCs w:val="0"/>
          <w:color w:val="auto"/>
          <w:sz w:val="28"/>
          <w:szCs w:val="24"/>
          <w:lang w:val="en-US" w:eastAsia="zh-CN"/>
        </w:rPr>
        <w:t>6</w:t>
      </w:r>
    </w:p>
    <w:p w14:paraId="450E1A97">
      <w:pPr>
        <w:pStyle w:val="20"/>
        <w:tabs>
          <w:tab w:val="right" w:leader="dot" w:pos="9072"/>
        </w:tabs>
        <w:spacing w:line="480" w:lineRule="auto"/>
        <w:rPr>
          <w:rFonts w:hint="default" w:ascii="Times New Roman" w:hAnsi="Times New Roman" w:eastAsia="宋体" w:cs="黑体"/>
          <w:b w:val="0"/>
          <w:bCs w:val="0"/>
          <w:color w:val="auto"/>
          <w:sz w:val="28"/>
          <w:szCs w:val="24"/>
          <w:lang w:val="en-US" w:eastAsia="zh-CN"/>
        </w:rPr>
      </w:pPr>
      <w:r>
        <w:rPr>
          <w:rFonts w:hint="eastAsia" w:ascii="Times New Roman" w:hAnsi="Times New Roman" w:eastAsia="宋体" w:cs="黑体"/>
          <w:b w:val="0"/>
          <w:bCs w:val="0"/>
          <w:color w:val="auto"/>
          <w:sz w:val="28"/>
          <w:szCs w:val="24"/>
          <w:lang w:val="en-US" w:eastAsia="zh-CN"/>
        </w:rPr>
        <w:fldChar w:fldCharType="begin"/>
      </w:r>
      <w:r>
        <w:rPr>
          <w:rFonts w:hint="eastAsia" w:ascii="Times New Roman" w:hAnsi="Times New Roman" w:eastAsia="宋体" w:cs="黑体"/>
          <w:b w:val="0"/>
          <w:bCs w:val="0"/>
          <w:sz w:val="28"/>
          <w:szCs w:val="24"/>
          <w:lang w:val="en-US" w:eastAsia="zh-CN"/>
        </w:rPr>
        <w:instrText xml:space="preserve"> HYPERLINK \l _Toc28211 </w:instrText>
      </w:r>
      <w:r>
        <w:rPr>
          <w:rFonts w:hint="eastAsia" w:ascii="Times New Roman" w:hAnsi="Times New Roman" w:eastAsia="宋体" w:cs="黑体"/>
          <w:b w:val="0"/>
          <w:bCs w:val="0"/>
          <w:sz w:val="28"/>
          <w:szCs w:val="24"/>
          <w:lang w:val="en-US" w:eastAsia="zh-CN"/>
        </w:rPr>
        <w:fldChar w:fldCharType="separate"/>
      </w:r>
      <w:r>
        <w:rPr>
          <w:rFonts w:hint="eastAsia" w:ascii="Times New Roman" w:hAnsi="Times New Roman" w:eastAsia="宋体" w:cs="黑体"/>
          <w:b w:val="0"/>
          <w:bCs w:val="0"/>
          <w:sz w:val="28"/>
          <w:szCs w:val="32"/>
        </w:rPr>
        <w:t>六、结论</w:t>
      </w:r>
      <w:r>
        <w:rPr>
          <w:rFonts w:hint="eastAsia" w:ascii="Times New Roman" w:hAnsi="Times New Roman" w:eastAsia="宋体" w:cs="黑体"/>
          <w:b w:val="0"/>
          <w:bCs w:val="0"/>
          <w:sz w:val="28"/>
          <w:szCs w:val="24"/>
        </w:rPr>
        <w:tab/>
      </w:r>
      <w:r>
        <w:rPr>
          <w:rFonts w:hint="eastAsia" w:cs="黑体"/>
          <w:b w:val="0"/>
          <w:bCs w:val="0"/>
          <w:sz w:val="28"/>
          <w:szCs w:val="24"/>
          <w:lang w:val="en-US" w:eastAsia="zh-CN"/>
        </w:rPr>
        <w:t>6</w:t>
      </w:r>
      <w:r>
        <w:rPr>
          <w:rFonts w:hint="eastAsia" w:ascii="Times New Roman" w:hAnsi="Times New Roman" w:eastAsia="宋体" w:cs="黑体"/>
          <w:b w:val="0"/>
          <w:bCs w:val="0"/>
          <w:color w:val="auto"/>
          <w:sz w:val="28"/>
          <w:szCs w:val="24"/>
          <w:lang w:val="en-US" w:eastAsia="zh-CN"/>
        </w:rPr>
        <w:fldChar w:fldCharType="end"/>
      </w:r>
      <w:r>
        <w:rPr>
          <w:rFonts w:hint="eastAsia" w:cs="黑体"/>
          <w:b w:val="0"/>
          <w:bCs w:val="0"/>
          <w:color w:val="auto"/>
          <w:sz w:val="28"/>
          <w:szCs w:val="24"/>
          <w:lang w:val="en-US" w:eastAsia="zh-CN"/>
        </w:rPr>
        <w:t>9</w:t>
      </w:r>
    </w:p>
    <w:p w14:paraId="30E29320">
      <w:pPr>
        <w:keepNext w:val="0"/>
        <w:keepLines w:val="0"/>
        <w:pageBreakBefore w:val="0"/>
        <w:widowControl w:val="0"/>
        <w:kinsoku/>
        <w:wordWrap/>
        <w:overflowPunct/>
        <w:topLinePunct w:val="0"/>
        <w:autoSpaceDE/>
        <w:autoSpaceDN/>
        <w:bidi w:val="0"/>
        <w:adjustRightInd/>
        <w:snapToGrid/>
        <w:spacing w:line="720" w:lineRule="auto"/>
        <w:jc w:val="center"/>
        <w:textAlignment w:val="auto"/>
        <w:outlineLvl w:val="0"/>
        <w:rPr>
          <w:rFonts w:hint="eastAsia" w:ascii="Times New Roman" w:hAnsi="Times New Roman" w:eastAsia="宋体" w:cs="Times New Roman"/>
          <w:color w:val="auto"/>
          <w:lang w:val="en-US" w:eastAsia="zh-CN"/>
        </w:rPr>
        <w:sectPr>
          <w:footerReference r:id="rId3" w:type="default"/>
          <w:pgSz w:w="11906" w:h="16838"/>
          <w:pgMar w:top="1417" w:right="1417" w:bottom="1417" w:left="1417" w:header="851" w:footer="992" w:gutter="0"/>
          <w:pgNumType w:fmt="decimal" w:start="1"/>
          <w:cols w:space="720" w:num="1"/>
          <w:rtlGutter w:val="0"/>
          <w:docGrid w:type="lines" w:linePitch="312" w:charSpace="0"/>
        </w:sectPr>
      </w:pPr>
    </w:p>
    <w:p w14:paraId="7E2CE977">
      <w:pPr>
        <w:keepNext w:val="0"/>
        <w:keepLines w:val="0"/>
        <w:pageBreakBefore w:val="0"/>
        <w:widowControl w:val="0"/>
        <w:kinsoku/>
        <w:wordWrap/>
        <w:overflowPunct/>
        <w:topLinePunct w:val="0"/>
        <w:autoSpaceDE/>
        <w:autoSpaceDN/>
        <w:bidi w:val="0"/>
        <w:adjustRightInd/>
        <w:snapToGrid/>
        <w:spacing w:line="720" w:lineRule="auto"/>
        <w:jc w:val="center"/>
        <w:textAlignment w:val="auto"/>
        <w:outlineLvl w:val="0"/>
        <w:rPr>
          <w:rFonts w:hint="default" w:ascii="宋体" w:hAnsi="宋体" w:eastAsia="宋体" w:cs="宋体"/>
          <w:b/>
          <w:kern w:val="44"/>
          <w:sz w:val="32"/>
          <w:szCs w:val="32"/>
          <w:lang w:val="en-US" w:eastAsia="zh-CN" w:bidi="ar-SA"/>
        </w:rPr>
      </w:pPr>
      <w:r>
        <w:rPr>
          <w:rFonts w:hint="eastAsia" w:ascii="Times New Roman" w:hAnsi="Times New Roman" w:eastAsia="宋体" w:cs="Times New Roman"/>
          <w:color w:val="auto"/>
          <w:lang w:val="en-US" w:eastAsia="zh-CN"/>
        </w:rPr>
        <w:fldChar w:fldCharType="end"/>
      </w:r>
      <w:bookmarkStart w:id="1" w:name="_Toc15591"/>
      <w:r>
        <w:rPr>
          <w:rFonts w:hint="eastAsia" w:ascii="宋体" w:hAnsi="宋体" w:eastAsia="宋体" w:cs="宋体"/>
          <w:b/>
          <w:kern w:val="44"/>
          <w:sz w:val="32"/>
          <w:szCs w:val="32"/>
          <w:lang w:val="en-US" w:eastAsia="zh-CN" w:bidi="ar-SA"/>
        </w:rPr>
        <w:t>一、建设项目基本情况</w:t>
      </w:r>
      <w:bookmarkEnd w:id="1"/>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835"/>
        <w:gridCol w:w="1103"/>
        <w:gridCol w:w="1969"/>
        <w:gridCol w:w="2051"/>
        <w:gridCol w:w="3277"/>
      </w:tblGrid>
      <w:tr w14:paraId="4B132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56" w:hRule="atLeast"/>
          <w:jc w:val="center"/>
        </w:trPr>
        <w:tc>
          <w:tcPr>
            <w:tcW w:w="1938" w:type="dxa"/>
            <w:gridSpan w:val="2"/>
            <w:noWrap w:val="0"/>
            <w:vAlign w:val="center"/>
          </w:tcPr>
          <w:p w14:paraId="37AB27A3">
            <w:pPr>
              <w:spacing w:line="240" w:lineRule="auto"/>
              <w:jc w:val="center"/>
              <w:rPr>
                <w:rFonts w:hint="default" w:ascii="Times New Roman" w:hAnsi="Times New Roman" w:eastAsia="宋体" w:cs="Times New Roman"/>
                <w:color w:val="auto"/>
                <w:sz w:val="24"/>
                <w:szCs w:val="22"/>
                <w:vertAlign w:val="baseline"/>
                <w:lang w:eastAsia="zh-CN"/>
              </w:rPr>
            </w:pPr>
            <w:r>
              <w:rPr>
                <w:rFonts w:hint="default" w:ascii="Times New Roman" w:hAnsi="Times New Roman" w:cs="Times New Roman"/>
                <w:color w:val="auto"/>
                <w:sz w:val="24"/>
                <w:szCs w:val="22"/>
                <w:vertAlign w:val="baseline"/>
                <w:lang w:eastAsia="zh-CN"/>
              </w:rPr>
              <w:t>建设项目名称</w:t>
            </w:r>
          </w:p>
        </w:tc>
        <w:tc>
          <w:tcPr>
            <w:tcW w:w="7297" w:type="dxa"/>
            <w:gridSpan w:val="3"/>
            <w:noWrap w:val="0"/>
            <w:vAlign w:val="top"/>
          </w:tcPr>
          <w:p w14:paraId="3651BC11">
            <w:pPr>
              <w:jc w:val="center"/>
              <w:rPr>
                <w:rFonts w:hint="default" w:ascii="Times New Roman" w:hAnsi="Times New Roman" w:eastAsia="宋体" w:cs="Times New Roman"/>
                <w:color w:val="auto"/>
                <w:sz w:val="24"/>
                <w:szCs w:val="22"/>
                <w:vertAlign w:val="baseline"/>
                <w:lang w:val="en-US" w:eastAsia="zh-CN"/>
              </w:rPr>
            </w:pPr>
            <w:r>
              <w:rPr>
                <w:rFonts w:hint="eastAsia" w:cs="Times New Roman"/>
                <w:color w:val="auto"/>
                <w:sz w:val="24"/>
                <w:szCs w:val="22"/>
                <w:vertAlign w:val="baseline"/>
                <w:lang w:val="en-US" w:eastAsia="zh-CN"/>
              </w:rPr>
              <w:t>年产3万套新型PP管材和环保设施生产项目</w:t>
            </w:r>
          </w:p>
        </w:tc>
      </w:tr>
      <w:tr w14:paraId="0D208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95" w:hRule="atLeast"/>
          <w:jc w:val="center"/>
        </w:trPr>
        <w:tc>
          <w:tcPr>
            <w:tcW w:w="1938" w:type="dxa"/>
            <w:gridSpan w:val="2"/>
            <w:noWrap w:val="0"/>
            <w:vAlign w:val="center"/>
          </w:tcPr>
          <w:p w14:paraId="281BB2DE">
            <w:pPr>
              <w:jc w:val="center"/>
              <w:rPr>
                <w:rFonts w:hint="default" w:ascii="Times New Roman" w:hAnsi="Times New Roman" w:cs="Times New Roman"/>
                <w:color w:val="auto"/>
                <w:sz w:val="24"/>
                <w:szCs w:val="22"/>
                <w:vertAlign w:val="baseline"/>
              </w:rPr>
            </w:pPr>
            <w:r>
              <w:rPr>
                <w:rFonts w:hint="default" w:ascii="Times New Roman" w:hAnsi="Times New Roman" w:cs="Times New Roman"/>
                <w:color w:val="auto"/>
                <w:sz w:val="24"/>
                <w:szCs w:val="22"/>
                <w:vertAlign w:val="baseline"/>
              </w:rPr>
              <w:t>项目代码</w:t>
            </w:r>
          </w:p>
        </w:tc>
        <w:tc>
          <w:tcPr>
            <w:tcW w:w="7297" w:type="dxa"/>
            <w:gridSpan w:val="3"/>
            <w:noWrap w:val="0"/>
            <w:vAlign w:val="top"/>
          </w:tcPr>
          <w:p w14:paraId="33CC627C">
            <w:pPr>
              <w:keepNext w:val="0"/>
              <w:keepLines w:val="0"/>
              <w:widowControl/>
              <w:suppressLineNumbers w:val="0"/>
              <w:jc w:val="center"/>
              <w:rPr>
                <w:rFonts w:hint="default" w:ascii="Times New Roman" w:hAnsi="Times New Roman" w:cs="Times New Roman"/>
                <w:color w:val="auto"/>
                <w:sz w:val="24"/>
                <w:szCs w:val="22"/>
                <w:vertAlign w:val="baseline"/>
                <w:lang w:val="en-US"/>
              </w:rPr>
            </w:pPr>
            <w:r>
              <w:rPr>
                <w:rFonts w:hint="default" w:ascii="Times New Roman" w:hAnsi="Times New Roman" w:cs="Times New Roman"/>
                <w:color w:val="auto"/>
                <w:sz w:val="24"/>
                <w:szCs w:val="22"/>
                <w:vertAlign w:val="baseline"/>
                <w:lang w:val="en-US"/>
              </w:rPr>
              <w:t>2307-341525-04-01-788123</w:t>
            </w:r>
          </w:p>
        </w:tc>
      </w:tr>
      <w:tr w14:paraId="6A3D4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95" w:hRule="atLeast"/>
          <w:jc w:val="center"/>
        </w:trPr>
        <w:tc>
          <w:tcPr>
            <w:tcW w:w="1938" w:type="dxa"/>
            <w:gridSpan w:val="2"/>
            <w:noWrap w:val="0"/>
            <w:vAlign w:val="center"/>
          </w:tcPr>
          <w:p w14:paraId="034DDF21">
            <w:pPr>
              <w:jc w:val="center"/>
              <w:rPr>
                <w:rFonts w:hint="default" w:ascii="Times New Roman" w:hAnsi="Times New Roman" w:eastAsia="宋体" w:cs="Times New Roman"/>
                <w:color w:val="auto"/>
                <w:sz w:val="24"/>
                <w:szCs w:val="22"/>
                <w:vertAlign w:val="baseline"/>
                <w:lang w:val="en-US" w:eastAsia="zh-CN"/>
              </w:rPr>
            </w:pPr>
            <w:bookmarkStart w:id="2" w:name="OLE_LINK2" w:colFirst="2" w:colLast="3"/>
            <w:r>
              <w:rPr>
                <w:rFonts w:hint="default" w:ascii="Times New Roman" w:hAnsi="Times New Roman" w:eastAsia="宋体" w:cs="Times New Roman"/>
                <w:color w:val="auto"/>
                <w:sz w:val="24"/>
                <w:szCs w:val="22"/>
                <w:vertAlign w:val="baseline"/>
                <w:lang w:val="en-US" w:eastAsia="zh-CN"/>
              </w:rPr>
              <w:t>建设单位联系人</w:t>
            </w:r>
          </w:p>
        </w:tc>
        <w:tc>
          <w:tcPr>
            <w:tcW w:w="1969" w:type="dxa"/>
            <w:noWrap w:val="0"/>
            <w:vAlign w:val="top"/>
          </w:tcPr>
          <w:p w14:paraId="432ECA3A">
            <w:pPr>
              <w:jc w:val="center"/>
              <w:rPr>
                <w:rFonts w:hint="eastAsia" w:ascii="Times New Roman" w:hAnsi="Times New Roman" w:eastAsia="宋体" w:cs="Times New Roman"/>
                <w:color w:val="auto"/>
                <w:sz w:val="24"/>
                <w:szCs w:val="22"/>
                <w:vertAlign w:val="baseline"/>
                <w:lang w:val="en-US" w:eastAsia="zh-CN"/>
              </w:rPr>
            </w:pPr>
          </w:p>
        </w:tc>
        <w:tc>
          <w:tcPr>
            <w:tcW w:w="2051" w:type="dxa"/>
            <w:noWrap w:val="0"/>
            <w:vAlign w:val="center"/>
          </w:tcPr>
          <w:p w14:paraId="1E0545E2">
            <w:pPr>
              <w:jc w:val="center"/>
              <w:rPr>
                <w:rFonts w:hint="default" w:ascii="Times New Roman" w:hAnsi="Times New Roman" w:cs="Times New Roman"/>
                <w:color w:val="auto"/>
                <w:sz w:val="24"/>
                <w:szCs w:val="22"/>
                <w:vertAlign w:val="baseline"/>
              </w:rPr>
            </w:pPr>
            <w:r>
              <w:rPr>
                <w:rFonts w:hint="default" w:ascii="Times New Roman" w:hAnsi="Times New Roman" w:cs="Times New Roman"/>
                <w:color w:val="auto"/>
                <w:sz w:val="24"/>
                <w:szCs w:val="22"/>
                <w:vertAlign w:val="baseline"/>
                <w:lang w:val="en-US" w:eastAsia="zh-CN"/>
              </w:rPr>
              <w:t>联系方式</w:t>
            </w:r>
          </w:p>
        </w:tc>
        <w:tc>
          <w:tcPr>
            <w:tcW w:w="3277" w:type="dxa"/>
            <w:noWrap w:val="0"/>
            <w:vAlign w:val="center"/>
          </w:tcPr>
          <w:p w14:paraId="267B0B55">
            <w:pPr>
              <w:jc w:val="center"/>
              <w:rPr>
                <w:rFonts w:hint="default" w:ascii="Times New Roman" w:hAnsi="Times New Roman" w:cs="Times New Roman"/>
                <w:color w:val="auto"/>
                <w:sz w:val="24"/>
                <w:szCs w:val="22"/>
                <w:vertAlign w:val="baseline"/>
                <w:lang w:val="en-US"/>
              </w:rPr>
            </w:pPr>
            <w:bookmarkStart w:id="20" w:name="_GoBack"/>
            <w:bookmarkEnd w:id="20"/>
          </w:p>
        </w:tc>
      </w:tr>
      <w:bookmarkEnd w:id="2"/>
      <w:tr w14:paraId="0BA3C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26" w:hRule="atLeast"/>
          <w:jc w:val="center"/>
        </w:trPr>
        <w:tc>
          <w:tcPr>
            <w:tcW w:w="1938" w:type="dxa"/>
            <w:gridSpan w:val="2"/>
            <w:noWrap w:val="0"/>
            <w:vAlign w:val="center"/>
          </w:tcPr>
          <w:p w14:paraId="189F30EF">
            <w:pPr>
              <w:jc w:val="center"/>
              <w:rPr>
                <w:rFonts w:hint="default" w:ascii="Times New Roman" w:hAnsi="Times New Roman" w:eastAsia="宋体" w:cs="Times New Roman"/>
                <w:color w:val="auto"/>
                <w:sz w:val="24"/>
                <w:szCs w:val="22"/>
                <w:vertAlign w:val="baseline"/>
                <w:lang w:eastAsia="zh-CN"/>
              </w:rPr>
            </w:pPr>
            <w:r>
              <w:rPr>
                <w:rFonts w:hint="default" w:ascii="Times New Roman" w:hAnsi="Times New Roman" w:cs="Times New Roman"/>
                <w:color w:val="auto"/>
                <w:sz w:val="24"/>
                <w:szCs w:val="22"/>
                <w:vertAlign w:val="baseline"/>
                <w:lang w:eastAsia="zh-CN"/>
              </w:rPr>
              <w:t>建设地点</w:t>
            </w:r>
          </w:p>
        </w:tc>
        <w:tc>
          <w:tcPr>
            <w:tcW w:w="7297" w:type="dxa"/>
            <w:gridSpan w:val="3"/>
            <w:noWrap w:val="0"/>
            <w:vAlign w:val="top"/>
          </w:tcPr>
          <w:p w14:paraId="28256504">
            <w:pPr>
              <w:keepNext w:val="0"/>
              <w:keepLines w:val="0"/>
              <w:widowControl/>
              <w:suppressLineNumbers w:val="0"/>
              <w:jc w:val="center"/>
              <w:rPr>
                <w:rFonts w:hint="default" w:ascii="Times New Roman" w:hAnsi="Times New Roman" w:eastAsia="宋体" w:cs="Times New Roman"/>
                <w:color w:val="auto"/>
                <w:sz w:val="24"/>
                <w:szCs w:val="22"/>
                <w:vertAlign w:val="baseline"/>
                <w:lang w:val="en-US" w:eastAsia="zh-CN"/>
              </w:rPr>
            </w:pPr>
            <w:r>
              <w:rPr>
                <w:rFonts w:hint="eastAsia" w:ascii="新宋体" w:hAnsi="新宋体" w:eastAsia="新宋体" w:cs="新宋体"/>
                <w:color w:val="auto"/>
                <w:kern w:val="0"/>
                <w:sz w:val="24"/>
                <w:szCs w:val="24"/>
                <w:lang w:val="en-US" w:eastAsia="zh-CN" w:bidi="ar"/>
              </w:rPr>
              <w:t>霍山县诸佛庵镇狮山村穆家畈组</w:t>
            </w:r>
          </w:p>
        </w:tc>
      </w:tr>
      <w:tr w14:paraId="0B2DB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95" w:hRule="atLeast"/>
          <w:jc w:val="center"/>
        </w:trPr>
        <w:tc>
          <w:tcPr>
            <w:tcW w:w="1938" w:type="dxa"/>
            <w:gridSpan w:val="2"/>
            <w:noWrap w:val="0"/>
            <w:vAlign w:val="center"/>
          </w:tcPr>
          <w:p w14:paraId="04F50B02">
            <w:pPr>
              <w:jc w:val="center"/>
              <w:rPr>
                <w:rFonts w:hint="default" w:ascii="Times New Roman" w:hAnsi="Times New Roman" w:cs="Times New Roman"/>
                <w:color w:val="auto"/>
                <w:sz w:val="24"/>
                <w:szCs w:val="22"/>
                <w:vertAlign w:val="baseline"/>
              </w:rPr>
            </w:pPr>
            <w:r>
              <w:rPr>
                <w:rFonts w:hint="default" w:ascii="Times New Roman" w:hAnsi="Times New Roman" w:cs="Times New Roman"/>
                <w:color w:val="auto"/>
                <w:sz w:val="24"/>
                <w:szCs w:val="22"/>
                <w:vertAlign w:val="baseline"/>
              </w:rPr>
              <w:t>地理坐标</w:t>
            </w:r>
          </w:p>
        </w:tc>
        <w:tc>
          <w:tcPr>
            <w:tcW w:w="7297" w:type="dxa"/>
            <w:gridSpan w:val="3"/>
            <w:noWrap w:val="0"/>
            <w:vAlign w:val="top"/>
          </w:tcPr>
          <w:p w14:paraId="2FE97668">
            <w:pPr>
              <w:jc w:val="center"/>
              <w:rPr>
                <w:rFonts w:hint="default" w:ascii="Times New Roman" w:hAnsi="Times New Roman" w:cs="Times New Roman"/>
                <w:color w:val="auto"/>
                <w:sz w:val="24"/>
                <w:szCs w:val="22"/>
                <w:vertAlign w:val="baseline"/>
              </w:rPr>
            </w:pPr>
            <w:r>
              <w:rPr>
                <w:rFonts w:hint="default" w:ascii="Times New Roman" w:hAnsi="Times New Roman" w:cs="Times New Roman"/>
                <w:color w:val="auto"/>
                <w:sz w:val="24"/>
                <w:szCs w:val="22"/>
                <w:vertAlign w:val="baseline"/>
              </w:rPr>
              <w:t>（</w:t>
            </w:r>
            <w:r>
              <w:rPr>
                <w:rFonts w:hint="eastAsia"/>
                <w:color w:val="auto"/>
                <w:lang w:eastAsia="zh-CN"/>
              </w:rPr>
              <w:t>东经</w:t>
            </w:r>
            <w:r>
              <w:rPr>
                <w:color w:val="auto"/>
                <w:u w:val="single"/>
              </w:rPr>
              <w:t>116</w:t>
            </w:r>
            <w:r>
              <w:rPr>
                <w:color w:val="auto"/>
              </w:rPr>
              <w:t>度</w:t>
            </w:r>
            <w:r>
              <w:rPr>
                <w:rFonts w:hint="eastAsia"/>
                <w:color w:val="auto"/>
                <w:u w:val="single"/>
                <w:lang w:val="en-US" w:eastAsia="zh-CN"/>
              </w:rPr>
              <w:t>11</w:t>
            </w:r>
            <w:r>
              <w:rPr>
                <w:color w:val="auto"/>
              </w:rPr>
              <w:t>分</w:t>
            </w:r>
            <w:r>
              <w:rPr>
                <w:color w:val="auto"/>
                <w:u w:val="single"/>
              </w:rPr>
              <w:t>1</w:t>
            </w:r>
            <w:r>
              <w:rPr>
                <w:rFonts w:hint="eastAsia"/>
                <w:color w:val="auto"/>
                <w:u w:val="single"/>
                <w:lang w:val="en-US" w:eastAsia="zh-CN"/>
              </w:rPr>
              <w:t>2</w:t>
            </w:r>
            <w:r>
              <w:rPr>
                <w:color w:val="auto"/>
                <w:u w:val="single"/>
              </w:rPr>
              <w:t>.</w:t>
            </w:r>
            <w:r>
              <w:rPr>
                <w:rFonts w:hint="eastAsia"/>
                <w:color w:val="auto"/>
                <w:u w:val="single"/>
                <w:lang w:val="en-US" w:eastAsia="zh-CN"/>
              </w:rPr>
              <w:t>019</w:t>
            </w:r>
            <w:r>
              <w:rPr>
                <w:color w:val="auto"/>
              </w:rPr>
              <w:t>秒，</w:t>
            </w:r>
            <w:r>
              <w:rPr>
                <w:rFonts w:hint="eastAsia"/>
                <w:color w:val="auto"/>
                <w:lang w:eastAsia="zh-CN"/>
              </w:rPr>
              <w:t>北纬</w:t>
            </w:r>
            <w:r>
              <w:rPr>
                <w:color w:val="auto"/>
                <w:u w:val="single"/>
              </w:rPr>
              <w:t>31</w:t>
            </w:r>
            <w:r>
              <w:rPr>
                <w:color w:val="auto"/>
              </w:rPr>
              <w:t>度</w:t>
            </w:r>
            <w:r>
              <w:rPr>
                <w:rFonts w:hint="eastAsia"/>
                <w:color w:val="auto"/>
                <w:u w:val="single"/>
                <w:lang w:val="en-US" w:eastAsia="zh-CN"/>
              </w:rPr>
              <w:t>24</w:t>
            </w:r>
            <w:r>
              <w:rPr>
                <w:color w:val="auto"/>
              </w:rPr>
              <w:t>分</w:t>
            </w:r>
            <w:r>
              <w:rPr>
                <w:rFonts w:hint="eastAsia"/>
                <w:color w:val="auto"/>
                <w:u w:val="single"/>
                <w:lang w:val="en-US" w:eastAsia="zh-CN"/>
              </w:rPr>
              <w:t>45.342</w:t>
            </w:r>
            <w:r>
              <w:rPr>
                <w:color w:val="auto"/>
              </w:rPr>
              <w:t>秒</w:t>
            </w:r>
            <w:r>
              <w:rPr>
                <w:rFonts w:hint="default" w:ascii="Times New Roman" w:hAnsi="Times New Roman" w:cs="Times New Roman"/>
                <w:color w:val="auto"/>
                <w:sz w:val="24"/>
                <w:szCs w:val="22"/>
                <w:vertAlign w:val="baseline"/>
              </w:rPr>
              <w:t>）</w:t>
            </w:r>
          </w:p>
        </w:tc>
      </w:tr>
      <w:tr w14:paraId="4C4CD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90" w:hRule="atLeast"/>
          <w:jc w:val="center"/>
        </w:trPr>
        <w:tc>
          <w:tcPr>
            <w:tcW w:w="1938" w:type="dxa"/>
            <w:gridSpan w:val="2"/>
            <w:noWrap w:val="0"/>
            <w:vAlign w:val="center"/>
          </w:tcPr>
          <w:p w14:paraId="63ABBAE7">
            <w:pPr>
              <w:jc w:val="center"/>
              <w:rPr>
                <w:rFonts w:hint="default" w:ascii="Times New Roman" w:hAnsi="Times New Roman" w:cs="Times New Roman"/>
                <w:color w:val="auto"/>
                <w:sz w:val="24"/>
                <w:szCs w:val="22"/>
                <w:vertAlign w:val="baseline"/>
              </w:rPr>
            </w:pPr>
            <w:r>
              <w:rPr>
                <w:rFonts w:hint="default" w:ascii="Times New Roman" w:hAnsi="Times New Roman" w:cs="Times New Roman"/>
                <w:color w:val="auto"/>
                <w:sz w:val="24"/>
                <w:szCs w:val="22"/>
                <w:vertAlign w:val="baseline"/>
              </w:rPr>
              <w:t>国民经济</w:t>
            </w:r>
          </w:p>
          <w:p w14:paraId="2DB496F6">
            <w:pPr>
              <w:jc w:val="center"/>
              <w:rPr>
                <w:rFonts w:hint="default" w:ascii="Times New Roman" w:hAnsi="Times New Roman" w:cs="Times New Roman"/>
                <w:color w:val="auto"/>
                <w:sz w:val="24"/>
                <w:szCs w:val="22"/>
                <w:vertAlign w:val="baseline"/>
              </w:rPr>
            </w:pPr>
            <w:r>
              <w:rPr>
                <w:rFonts w:hint="default" w:ascii="Times New Roman" w:hAnsi="Times New Roman" w:cs="Times New Roman"/>
                <w:color w:val="auto"/>
                <w:sz w:val="24"/>
                <w:szCs w:val="22"/>
                <w:vertAlign w:val="baseline"/>
              </w:rPr>
              <w:t>行业类别</w:t>
            </w:r>
          </w:p>
        </w:tc>
        <w:tc>
          <w:tcPr>
            <w:tcW w:w="1969" w:type="dxa"/>
            <w:noWrap w:val="0"/>
            <w:vAlign w:val="center"/>
          </w:tcPr>
          <w:p w14:paraId="56519B53">
            <w:pPr>
              <w:jc w:val="center"/>
              <w:rPr>
                <w:rFonts w:hint="default" w:ascii="Times New Roman" w:hAnsi="Times New Roman" w:eastAsia="宋体" w:cs="Times New Roman"/>
                <w:color w:val="auto"/>
                <w:sz w:val="24"/>
                <w:szCs w:val="22"/>
                <w:vertAlign w:val="baseline"/>
                <w:lang w:val="en-US" w:eastAsia="zh-CN"/>
              </w:rPr>
            </w:pPr>
            <w:r>
              <w:rPr>
                <w:rFonts w:hint="default" w:ascii="Times New Roman" w:hAnsi="Times New Roman" w:eastAsia="宋体" w:cs="Times New Roman"/>
                <w:color w:val="auto"/>
                <w:sz w:val="24"/>
                <w:szCs w:val="22"/>
                <w:vertAlign w:val="baseline"/>
                <w:lang w:val="en-US" w:eastAsia="zh-CN"/>
              </w:rPr>
              <w:t>C2922塑料板、管、型材制造</w:t>
            </w:r>
          </w:p>
        </w:tc>
        <w:tc>
          <w:tcPr>
            <w:tcW w:w="2051" w:type="dxa"/>
            <w:noWrap w:val="0"/>
            <w:vAlign w:val="center"/>
          </w:tcPr>
          <w:p w14:paraId="38AB8A3D">
            <w:pPr>
              <w:jc w:val="center"/>
              <w:rPr>
                <w:rFonts w:hint="default" w:ascii="Times New Roman" w:hAnsi="Times New Roman" w:cs="Times New Roman"/>
                <w:color w:val="auto"/>
                <w:sz w:val="24"/>
                <w:szCs w:val="22"/>
                <w:vertAlign w:val="baseline"/>
              </w:rPr>
            </w:pPr>
            <w:r>
              <w:rPr>
                <w:rFonts w:hint="default" w:ascii="Times New Roman" w:hAnsi="Times New Roman" w:cs="Times New Roman"/>
                <w:color w:val="auto"/>
                <w:sz w:val="24"/>
                <w:szCs w:val="22"/>
                <w:vertAlign w:val="baseline"/>
              </w:rPr>
              <w:t>建设项目</w:t>
            </w:r>
          </w:p>
          <w:p w14:paraId="6C56D1EC">
            <w:pPr>
              <w:jc w:val="center"/>
              <w:rPr>
                <w:rFonts w:hint="default" w:ascii="Times New Roman" w:hAnsi="Times New Roman" w:cs="Times New Roman"/>
                <w:color w:val="auto"/>
                <w:sz w:val="24"/>
                <w:szCs w:val="22"/>
                <w:vertAlign w:val="baseline"/>
              </w:rPr>
            </w:pPr>
            <w:r>
              <w:rPr>
                <w:rFonts w:hint="default" w:ascii="Times New Roman" w:hAnsi="Times New Roman" w:cs="Times New Roman"/>
                <w:color w:val="auto"/>
                <w:sz w:val="24"/>
                <w:szCs w:val="22"/>
                <w:vertAlign w:val="baseline"/>
              </w:rPr>
              <w:t>行业类别</w:t>
            </w:r>
          </w:p>
        </w:tc>
        <w:tc>
          <w:tcPr>
            <w:tcW w:w="3277" w:type="dxa"/>
            <w:noWrap w:val="0"/>
            <w:vAlign w:val="center"/>
          </w:tcPr>
          <w:p w14:paraId="29B85FA4">
            <w:pPr>
              <w:jc w:val="both"/>
              <w:rPr>
                <w:rFonts w:hint="default" w:ascii="Times New Roman" w:hAnsi="Times New Roman" w:eastAsia="宋体" w:cs="Times New Roman"/>
                <w:color w:val="auto"/>
                <w:sz w:val="24"/>
                <w:szCs w:val="22"/>
                <w:vertAlign w:val="baseline"/>
                <w:lang w:val="en-US" w:eastAsia="zh-CN"/>
              </w:rPr>
            </w:pPr>
            <w:r>
              <w:rPr>
                <w:rFonts w:hint="eastAsia"/>
                <w:color w:val="auto"/>
              </w:rPr>
              <w:t>二十六、橡胶和塑料制品业 29</w:t>
            </w:r>
            <w:r>
              <w:rPr>
                <w:rFonts w:hint="eastAsia"/>
                <w:color w:val="auto"/>
                <w:lang w:val="en-US" w:eastAsia="zh-CN"/>
              </w:rPr>
              <w:t>-53、</w:t>
            </w:r>
            <w:r>
              <w:rPr>
                <w:rFonts w:hint="eastAsia"/>
                <w:color w:val="auto"/>
              </w:rPr>
              <w:t>塑料制品业 292</w:t>
            </w:r>
          </w:p>
        </w:tc>
      </w:tr>
      <w:tr w14:paraId="149DC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276" w:hRule="atLeast"/>
          <w:jc w:val="center"/>
        </w:trPr>
        <w:tc>
          <w:tcPr>
            <w:tcW w:w="1938" w:type="dxa"/>
            <w:gridSpan w:val="2"/>
            <w:noWrap w:val="0"/>
            <w:vAlign w:val="center"/>
          </w:tcPr>
          <w:p w14:paraId="6C75C687">
            <w:pPr>
              <w:jc w:val="center"/>
              <w:rPr>
                <w:rFonts w:hint="default" w:ascii="Times New Roman" w:hAnsi="Times New Roman" w:cs="Times New Roman"/>
                <w:color w:val="auto"/>
                <w:sz w:val="24"/>
                <w:szCs w:val="22"/>
                <w:vertAlign w:val="baseline"/>
              </w:rPr>
            </w:pPr>
            <w:r>
              <w:rPr>
                <w:rFonts w:hint="default" w:ascii="Times New Roman" w:hAnsi="Times New Roman" w:cs="Times New Roman"/>
                <w:color w:val="auto"/>
                <w:sz w:val="24"/>
              </w:rPr>
              <w:t>建设性质</w:t>
            </w:r>
          </w:p>
        </w:tc>
        <w:tc>
          <w:tcPr>
            <w:tcW w:w="1969" w:type="dxa"/>
            <w:noWrap w:val="0"/>
            <w:vAlign w:val="center"/>
          </w:tcPr>
          <w:p w14:paraId="5EA5ED18">
            <w:pPr>
              <w:jc w:val="both"/>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52"/>
            </w:r>
            <w:r>
              <w:rPr>
                <w:rFonts w:hint="default" w:ascii="Times New Roman" w:hAnsi="Times New Roman" w:cs="Times New Roman"/>
                <w:color w:val="auto"/>
                <w:sz w:val="24"/>
              </w:rPr>
              <w:t xml:space="preserve"> 新建（迁建）</w:t>
            </w:r>
          </w:p>
          <w:p w14:paraId="54E01753">
            <w:pPr>
              <w:jc w:val="both"/>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A3"/>
            </w:r>
            <w:r>
              <w:rPr>
                <w:rFonts w:hint="default" w:ascii="Times New Roman" w:hAnsi="Times New Roman" w:cs="Times New Roman"/>
                <w:color w:val="auto"/>
                <w:sz w:val="24"/>
              </w:rPr>
              <w:t xml:space="preserve"> 改建</w:t>
            </w:r>
          </w:p>
          <w:p w14:paraId="10023510">
            <w:pPr>
              <w:jc w:val="both"/>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A3"/>
            </w:r>
            <w:r>
              <w:rPr>
                <w:rFonts w:hint="default" w:ascii="Times New Roman" w:hAnsi="Times New Roman" w:cs="Times New Roman"/>
                <w:color w:val="auto"/>
                <w:sz w:val="24"/>
              </w:rPr>
              <w:t xml:space="preserve"> 扩建</w:t>
            </w:r>
          </w:p>
          <w:p w14:paraId="7CF29182">
            <w:pPr>
              <w:jc w:val="both"/>
              <w:rPr>
                <w:rFonts w:hint="default" w:ascii="Times New Roman" w:hAnsi="Times New Roman" w:cs="Times New Roman"/>
                <w:color w:val="auto"/>
                <w:sz w:val="24"/>
                <w:szCs w:val="22"/>
                <w:vertAlign w:val="baseline"/>
              </w:rPr>
            </w:pPr>
            <w:r>
              <w:rPr>
                <w:rFonts w:hint="default" w:ascii="Times New Roman" w:hAnsi="Times New Roman" w:cs="Times New Roman"/>
                <w:color w:val="auto"/>
                <w:sz w:val="24"/>
              </w:rPr>
              <w:sym w:font="Wingdings 2" w:char="00A3"/>
            </w:r>
            <w:r>
              <w:rPr>
                <w:rFonts w:hint="default" w:ascii="Times New Roman" w:hAnsi="Times New Roman" w:cs="Times New Roman"/>
                <w:color w:val="auto"/>
                <w:sz w:val="24"/>
              </w:rPr>
              <w:t xml:space="preserve"> 技术改造</w:t>
            </w:r>
          </w:p>
        </w:tc>
        <w:tc>
          <w:tcPr>
            <w:tcW w:w="2051" w:type="dxa"/>
            <w:noWrap w:val="0"/>
            <w:vAlign w:val="center"/>
          </w:tcPr>
          <w:p w14:paraId="7332CB6F">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建设项目</w:t>
            </w:r>
          </w:p>
          <w:p w14:paraId="6CD68036">
            <w:pPr>
              <w:adjustRightInd w:val="0"/>
              <w:snapToGrid w:val="0"/>
              <w:jc w:val="center"/>
              <w:rPr>
                <w:rFonts w:hint="default" w:ascii="Times New Roman" w:hAnsi="Times New Roman" w:cs="Times New Roman"/>
                <w:color w:val="auto"/>
                <w:sz w:val="24"/>
                <w:szCs w:val="22"/>
                <w:vertAlign w:val="baseline"/>
              </w:rPr>
            </w:pPr>
            <w:r>
              <w:rPr>
                <w:rFonts w:hint="default" w:ascii="Times New Roman" w:hAnsi="Times New Roman" w:cs="Times New Roman"/>
                <w:color w:val="auto"/>
                <w:sz w:val="24"/>
              </w:rPr>
              <w:t>申报情形</w:t>
            </w:r>
          </w:p>
        </w:tc>
        <w:tc>
          <w:tcPr>
            <w:tcW w:w="3277" w:type="dxa"/>
            <w:noWrap w:val="0"/>
            <w:vAlign w:val="center"/>
          </w:tcPr>
          <w:p w14:paraId="70625DE8">
            <w:pPr>
              <w:jc w:val="both"/>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52"/>
            </w:r>
            <w:r>
              <w:rPr>
                <w:rFonts w:hint="default" w:ascii="Times New Roman" w:hAnsi="Times New Roman" w:cs="Times New Roman"/>
                <w:color w:val="auto"/>
                <w:sz w:val="24"/>
              </w:rPr>
              <w:t xml:space="preserve"> 首次申报项目</w:t>
            </w:r>
          </w:p>
          <w:p w14:paraId="430AA2C9">
            <w:pPr>
              <w:jc w:val="both"/>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A3"/>
            </w:r>
            <w:r>
              <w:rPr>
                <w:rFonts w:hint="default" w:ascii="Times New Roman" w:hAnsi="Times New Roman" w:cs="Times New Roman"/>
                <w:color w:val="auto"/>
                <w:sz w:val="24"/>
              </w:rPr>
              <w:t xml:space="preserve"> 不予批准后再次申报项目</w:t>
            </w:r>
          </w:p>
          <w:p w14:paraId="46EE8623">
            <w:pPr>
              <w:jc w:val="both"/>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A3"/>
            </w:r>
            <w:r>
              <w:rPr>
                <w:rFonts w:hint="default" w:ascii="Times New Roman" w:hAnsi="Times New Roman" w:cs="Times New Roman"/>
                <w:color w:val="auto"/>
                <w:sz w:val="24"/>
              </w:rPr>
              <w:t xml:space="preserve"> 超五年重新审核项目</w:t>
            </w:r>
          </w:p>
          <w:p w14:paraId="3C5CD2A8">
            <w:pPr>
              <w:jc w:val="both"/>
              <w:rPr>
                <w:rFonts w:hint="default" w:ascii="Times New Roman" w:hAnsi="Times New Roman" w:cs="Times New Roman"/>
                <w:color w:val="auto"/>
                <w:sz w:val="24"/>
                <w:szCs w:val="22"/>
                <w:vertAlign w:val="baseline"/>
              </w:rPr>
            </w:pPr>
            <w:r>
              <w:rPr>
                <w:rFonts w:hint="default" w:ascii="Times New Roman" w:hAnsi="Times New Roman" w:cs="Times New Roman"/>
                <w:color w:val="auto"/>
                <w:sz w:val="24"/>
              </w:rPr>
              <w:sym w:font="Wingdings 2" w:char="00A3"/>
            </w:r>
            <w:r>
              <w:rPr>
                <w:rFonts w:hint="default" w:ascii="Times New Roman" w:hAnsi="Times New Roman" w:cs="Times New Roman"/>
                <w:color w:val="auto"/>
                <w:sz w:val="24"/>
              </w:rPr>
              <w:t xml:space="preserve"> 重大变动重新报批项目</w:t>
            </w:r>
          </w:p>
        </w:tc>
      </w:tr>
      <w:tr w14:paraId="0F9B0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55" w:hRule="atLeast"/>
          <w:jc w:val="center"/>
        </w:trPr>
        <w:tc>
          <w:tcPr>
            <w:tcW w:w="1938" w:type="dxa"/>
            <w:gridSpan w:val="2"/>
            <w:noWrap w:val="0"/>
            <w:vAlign w:val="center"/>
          </w:tcPr>
          <w:p w14:paraId="367581D3">
            <w:pPr>
              <w:adjustRightInd w:val="0"/>
              <w:snapToGrid w:val="0"/>
              <w:jc w:val="center"/>
              <w:rPr>
                <w:rFonts w:hint="default" w:ascii="Times New Roman" w:hAnsi="Times New Roman" w:cs="Times New Roman"/>
                <w:color w:val="auto"/>
                <w:sz w:val="24"/>
                <w:szCs w:val="22"/>
                <w:vertAlign w:val="baseline"/>
              </w:rPr>
            </w:pPr>
            <w:r>
              <w:rPr>
                <w:rFonts w:hint="default" w:ascii="Times New Roman" w:hAnsi="Times New Roman" w:cs="Times New Roman"/>
                <w:color w:val="auto"/>
                <w:sz w:val="24"/>
              </w:rPr>
              <w:t>项目审批（核准/备案）部门（选填）</w:t>
            </w:r>
          </w:p>
        </w:tc>
        <w:tc>
          <w:tcPr>
            <w:tcW w:w="1969" w:type="dxa"/>
            <w:noWrap w:val="0"/>
            <w:vAlign w:val="center"/>
          </w:tcPr>
          <w:p w14:paraId="10D00A51">
            <w:pPr>
              <w:adjustRightInd w:val="0"/>
              <w:snapToGrid w:val="0"/>
              <w:jc w:val="center"/>
              <w:rPr>
                <w:rFonts w:hint="default" w:ascii="Times New Roman" w:hAnsi="Times New Roman" w:eastAsia="宋体" w:cs="Times New Roman"/>
                <w:color w:val="auto"/>
                <w:sz w:val="24"/>
                <w:szCs w:val="22"/>
                <w:vertAlign w:val="baseline"/>
                <w:lang w:val="en-US" w:eastAsia="zh-CN"/>
              </w:rPr>
            </w:pPr>
            <w:r>
              <w:rPr>
                <w:rFonts w:hint="eastAsia" w:cs="Times New Roman"/>
                <w:color w:val="auto"/>
                <w:sz w:val="24"/>
                <w:szCs w:val="22"/>
                <w:vertAlign w:val="baseline"/>
                <w:lang w:val="en-US" w:eastAsia="zh-CN"/>
              </w:rPr>
              <w:t>霍山县发展和改革委员会</w:t>
            </w:r>
          </w:p>
        </w:tc>
        <w:tc>
          <w:tcPr>
            <w:tcW w:w="2051" w:type="dxa"/>
            <w:noWrap w:val="0"/>
            <w:vAlign w:val="center"/>
          </w:tcPr>
          <w:p w14:paraId="410497AA">
            <w:pPr>
              <w:adjustRightInd w:val="0"/>
              <w:snapToGrid w:val="0"/>
              <w:jc w:val="center"/>
              <w:rPr>
                <w:rFonts w:hint="default" w:ascii="Times New Roman" w:hAnsi="Times New Roman" w:cs="Times New Roman"/>
                <w:color w:val="auto"/>
                <w:sz w:val="24"/>
                <w:szCs w:val="22"/>
                <w:vertAlign w:val="baseline"/>
              </w:rPr>
            </w:pPr>
            <w:r>
              <w:rPr>
                <w:rFonts w:hint="default" w:ascii="Times New Roman" w:hAnsi="Times New Roman" w:cs="Times New Roman"/>
                <w:color w:val="auto"/>
                <w:sz w:val="24"/>
              </w:rPr>
              <w:t>项目审批（核准/备案）文号（选填）</w:t>
            </w:r>
          </w:p>
        </w:tc>
        <w:tc>
          <w:tcPr>
            <w:tcW w:w="3277" w:type="dxa"/>
            <w:noWrap w:val="0"/>
            <w:vAlign w:val="center"/>
          </w:tcPr>
          <w:p w14:paraId="32721967">
            <w:pPr>
              <w:adjustRightInd w:val="0"/>
              <w:snapToGrid w:val="0"/>
              <w:jc w:val="center"/>
              <w:rPr>
                <w:rFonts w:hint="default" w:ascii="Times New Roman" w:hAnsi="Times New Roman" w:eastAsia="宋体" w:cs="Times New Roman"/>
                <w:color w:val="auto"/>
                <w:sz w:val="24"/>
                <w:szCs w:val="22"/>
                <w:vertAlign w:val="baseline"/>
                <w:lang w:val="en-US" w:eastAsia="zh-CN"/>
              </w:rPr>
            </w:pPr>
            <w:r>
              <w:rPr>
                <w:rFonts w:hint="default" w:ascii="Times New Roman" w:hAnsi="Times New Roman" w:cs="Times New Roman"/>
                <w:color w:val="auto"/>
                <w:sz w:val="24"/>
                <w:szCs w:val="22"/>
                <w:vertAlign w:val="baseline"/>
                <w:lang w:val="en-US" w:eastAsia="zh-CN"/>
              </w:rPr>
              <w:t>/</w:t>
            </w:r>
          </w:p>
        </w:tc>
      </w:tr>
      <w:tr w14:paraId="7235D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1938" w:type="dxa"/>
            <w:gridSpan w:val="2"/>
            <w:noWrap w:val="0"/>
            <w:vAlign w:val="center"/>
          </w:tcPr>
          <w:p w14:paraId="1CFDE2B4">
            <w:pPr>
              <w:adjustRightInd w:val="0"/>
              <w:snapToGrid w:val="0"/>
              <w:jc w:val="center"/>
              <w:rPr>
                <w:rFonts w:hint="default" w:ascii="Times New Roman" w:hAnsi="Times New Roman" w:cs="Times New Roman"/>
                <w:color w:val="auto"/>
                <w:sz w:val="24"/>
                <w:szCs w:val="22"/>
                <w:vertAlign w:val="baseline"/>
              </w:rPr>
            </w:pPr>
            <w:r>
              <w:rPr>
                <w:rFonts w:hint="default" w:ascii="Times New Roman" w:hAnsi="Times New Roman" w:cs="Times New Roman"/>
                <w:color w:val="auto"/>
                <w:sz w:val="24"/>
              </w:rPr>
              <w:t>总投资（万元）</w:t>
            </w:r>
          </w:p>
        </w:tc>
        <w:tc>
          <w:tcPr>
            <w:tcW w:w="1969" w:type="dxa"/>
            <w:noWrap w:val="0"/>
            <w:vAlign w:val="center"/>
          </w:tcPr>
          <w:p w14:paraId="150C15BB">
            <w:pPr>
              <w:jc w:val="center"/>
              <w:rPr>
                <w:rFonts w:hint="default" w:ascii="Times New Roman" w:hAnsi="Times New Roman" w:eastAsia="宋体" w:cs="Times New Roman"/>
                <w:color w:val="auto"/>
                <w:sz w:val="24"/>
                <w:szCs w:val="22"/>
                <w:vertAlign w:val="baseline"/>
                <w:lang w:val="en-US" w:eastAsia="zh-CN"/>
              </w:rPr>
            </w:pPr>
            <w:r>
              <w:rPr>
                <w:rFonts w:hint="eastAsia" w:cs="Times New Roman"/>
                <w:color w:val="auto"/>
                <w:sz w:val="24"/>
                <w:szCs w:val="22"/>
                <w:vertAlign w:val="baseline"/>
                <w:lang w:val="en-US" w:eastAsia="zh-CN"/>
              </w:rPr>
              <w:t>3000</w:t>
            </w:r>
          </w:p>
        </w:tc>
        <w:tc>
          <w:tcPr>
            <w:tcW w:w="2051" w:type="dxa"/>
            <w:noWrap w:val="0"/>
            <w:vAlign w:val="center"/>
          </w:tcPr>
          <w:p w14:paraId="37CA8997">
            <w:pPr>
              <w:adjustRightInd w:val="0"/>
              <w:snapToGrid w:val="0"/>
              <w:jc w:val="center"/>
              <w:rPr>
                <w:rFonts w:hint="default" w:ascii="Times New Roman" w:hAnsi="Times New Roman" w:eastAsia="宋体" w:cs="Times New Roman"/>
                <w:color w:val="auto"/>
                <w:sz w:val="24"/>
                <w:szCs w:val="22"/>
                <w:lang w:val="en-US" w:eastAsia="en-US" w:bidi="ar-SA"/>
              </w:rPr>
            </w:pPr>
            <w:r>
              <w:rPr>
                <w:rFonts w:hint="default" w:ascii="Times New Roman" w:hAnsi="Times New Roman" w:cs="Times New Roman"/>
                <w:color w:val="auto"/>
                <w:sz w:val="24"/>
              </w:rPr>
              <w:t>环保投资（万元）</w:t>
            </w:r>
          </w:p>
        </w:tc>
        <w:tc>
          <w:tcPr>
            <w:tcW w:w="3277" w:type="dxa"/>
            <w:noWrap w:val="0"/>
            <w:vAlign w:val="center"/>
          </w:tcPr>
          <w:p w14:paraId="46CE6820">
            <w:pPr>
              <w:adjustRightInd w:val="0"/>
              <w:snapToGrid w:val="0"/>
              <w:jc w:val="center"/>
              <w:rPr>
                <w:rFonts w:hint="default" w:ascii="Times New Roman" w:hAnsi="Times New Roman" w:eastAsia="宋体" w:cs="Times New Roman"/>
                <w:color w:val="auto"/>
                <w:sz w:val="24"/>
                <w:szCs w:val="22"/>
                <w:lang w:val="en-US" w:eastAsia="zh-CN" w:bidi="ar-SA"/>
              </w:rPr>
            </w:pPr>
            <w:r>
              <w:rPr>
                <w:rFonts w:hint="eastAsia" w:cs="Times New Roman"/>
                <w:color w:val="auto"/>
                <w:sz w:val="24"/>
                <w:szCs w:val="22"/>
                <w:lang w:val="en-US" w:eastAsia="zh-CN" w:bidi="ar-SA"/>
              </w:rPr>
              <w:t>54</w:t>
            </w:r>
          </w:p>
        </w:tc>
      </w:tr>
      <w:tr w14:paraId="627A2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55" w:hRule="atLeast"/>
          <w:jc w:val="center"/>
        </w:trPr>
        <w:tc>
          <w:tcPr>
            <w:tcW w:w="1938" w:type="dxa"/>
            <w:gridSpan w:val="2"/>
            <w:noWrap w:val="0"/>
            <w:vAlign w:val="center"/>
          </w:tcPr>
          <w:p w14:paraId="2E359954">
            <w:pPr>
              <w:adjustRightInd w:val="0"/>
              <w:snapToGrid w:val="0"/>
              <w:jc w:val="center"/>
              <w:rPr>
                <w:rFonts w:hint="default" w:ascii="Times New Roman" w:hAnsi="Times New Roman" w:cs="Times New Roman"/>
                <w:color w:val="auto"/>
                <w:sz w:val="24"/>
                <w:szCs w:val="22"/>
                <w:vertAlign w:val="baseline"/>
              </w:rPr>
            </w:pPr>
            <w:r>
              <w:rPr>
                <w:rFonts w:hint="default" w:ascii="Times New Roman" w:hAnsi="Times New Roman" w:cs="Times New Roman"/>
                <w:color w:val="auto"/>
                <w:sz w:val="24"/>
              </w:rPr>
              <w:t>环保投资占比（%）</w:t>
            </w:r>
          </w:p>
        </w:tc>
        <w:tc>
          <w:tcPr>
            <w:tcW w:w="1969" w:type="dxa"/>
            <w:noWrap w:val="0"/>
            <w:vAlign w:val="center"/>
          </w:tcPr>
          <w:p w14:paraId="61F7463C">
            <w:pPr>
              <w:jc w:val="center"/>
              <w:rPr>
                <w:rFonts w:hint="default" w:ascii="Times New Roman" w:hAnsi="Times New Roman" w:eastAsia="宋体" w:cs="Times New Roman"/>
                <w:color w:val="auto"/>
                <w:sz w:val="24"/>
                <w:szCs w:val="22"/>
                <w:vertAlign w:val="baseline"/>
                <w:lang w:val="en-US" w:eastAsia="zh-CN"/>
              </w:rPr>
            </w:pPr>
            <w:r>
              <w:rPr>
                <w:rFonts w:hint="eastAsia" w:cs="Times New Roman"/>
                <w:color w:val="auto"/>
                <w:sz w:val="24"/>
                <w:szCs w:val="22"/>
                <w:vertAlign w:val="baseline"/>
                <w:lang w:val="en-US" w:eastAsia="zh-CN"/>
              </w:rPr>
              <w:t>1.8</w:t>
            </w:r>
          </w:p>
        </w:tc>
        <w:tc>
          <w:tcPr>
            <w:tcW w:w="2051" w:type="dxa"/>
            <w:noWrap w:val="0"/>
            <w:vAlign w:val="center"/>
          </w:tcPr>
          <w:p w14:paraId="01ED8686">
            <w:pPr>
              <w:adjustRightInd w:val="0"/>
              <w:snapToGrid w:val="0"/>
              <w:jc w:val="center"/>
              <w:rPr>
                <w:rFonts w:hint="default" w:ascii="Times New Roman" w:hAnsi="Times New Roman" w:eastAsia="宋体" w:cs="Times New Roman"/>
                <w:color w:val="auto"/>
                <w:sz w:val="24"/>
                <w:szCs w:val="22"/>
                <w:lang w:val="en-US" w:eastAsia="zh-CN" w:bidi="ar-SA"/>
              </w:rPr>
            </w:pPr>
            <w:r>
              <w:rPr>
                <w:rFonts w:hint="default" w:ascii="Times New Roman" w:hAnsi="Times New Roman" w:cs="Times New Roman"/>
                <w:color w:val="auto"/>
                <w:sz w:val="24"/>
              </w:rPr>
              <w:t>施工工期</w:t>
            </w:r>
            <w:r>
              <w:rPr>
                <w:rFonts w:hint="default" w:ascii="Times New Roman" w:hAnsi="Times New Roman" w:cs="Times New Roman"/>
                <w:color w:val="auto"/>
                <w:sz w:val="24"/>
                <w:lang w:eastAsia="zh-CN"/>
              </w:rPr>
              <w:t>（月）</w:t>
            </w:r>
          </w:p>
        </w:tc>
        <w:tc>
          <w:tcPr>
            <w:tcW w:w="3277" w:type="dxa"/>
            <w:noWrap w:val="0"/>
            <w:vAlign w:val="center"/>
          </w:tcPr>
          <w:p w14:paraId="356C0834">
            <w:pPr>
              <w:adjustRightInd w:val="0"/>
              <w:snapToGrid w:val="0"/>
              <w:jc w:val="center"/>
              <w:rPr>
                <w:rFonts w:hint="default" w:ascii="Times New Roman" w:hAnsi="Times New Roman" w:eastAsia="宋体" w:cs="Times New Roman"/>
                <w:color w:val="auto"/>
                <w:sz w:val="24"/>
                <w:szCs w:val="22"/>
                <w:lang w:val="en-US" w:eastAsia="zh-CN" w:bidi="ar-SA"/>
              </w:rPr>
            </w:pPr>
            <w:r>
              <w:rPr>
                <w:rFonts w:hint="eastAsia" w:cs="Times New Roman"/>
                <w:color w:val="auto"/>
                <w:sz w:val="24"/>
                <w:lang w:val="en-US" w:eastAsia="zh-CN"/>
              </w:rPr>
              <w:t>6</w:t>
            </w:r>
          </w:p>
        </w:tc>
      </w:tr>
      <w:tr w14:paraId="40067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95" w:hRule="atLeast"/>
          <w:jc w:val="center"/>
        </w:trPr>
        <w:tc>
          <w:tcPr>
            <w:tcW w:w="1938" w:type="dxa"/>
            <w:gridSpan w:val="2"/>
            <w:noWrap w:val="0"/>
            <w:vAlign w:val="center"/>
          </w:tcPr>
          <w:p w14:paraId="5493F3AB">
            <w:pPr>
              <w:adjustRightInd w:val="0"/>
              <w:snapToGrid w:val="0"/>
              <w:jc w:val="center"/>
              <w:rPr>
                <w:rFonts w:hint="default" w:ascii="Times New Roman" w:hAnsi="Times New Roman" w:cs="Times New Roman"/>
                <w:color w:val="auto"/>
                <w:sz w:val="24"/>
                <w:szCs w:val="22"/>
                <w:vertAlign w:val="baseline"/>
              </w:rPr>
            </w:pPr>
            <w:r>
              <w:rPr>
                <w:rFonts w:hint="default" w:ascii="Times New Roman" w:hAnsi="Times New Roman" w:cs="Times New Roman"/>
                <w:color w:val="auto"/>
                <w:sz w:val="24"/>
              </w:rPr>
              <w:t>是否开工建设</w:t>
            </w:r>
          </w:p>
        </w:tc>
        <w:tc>
          <w:tcPr>
            <w:tcW w:w="1969" w:type="dxa"/>
            <w:noWrap w:val="0"/>
            <w:vAlign w:val="center"/>
          </w:tcPr>
          <w:p w14:paraId="57EFBB1D">
            <w:pPr>
              <w:adjustRightInd w:val="0"/>
              <w:snapToGrid w:val="0"/>
              <w:jc w:val="both"/>
              <w:rPr>
                <w:rFonts w:hint="default" w:ascii="Times New Roman" w:hAnsi="Times New Roman" w:eastAsia="宋体" w:cs="Times New Roman"/>
                <w:color w:val="auto"/>
                <w:sz w:val="24"/>
                <w:szCs w:val="22"/>
                <w:vertAlign w:val="baseline"/>
                <w:lang w:eastAsia="zh-CN"/>
              </w:rPr>
            </w:pPr>
            <w:r>
              <w:rPr>
                <w:rFonts w:hint="default" w:ascii="Times New Roman" w:hAnsi="Times New Roman" w:cs="Times New Roman"/>
                <w:color w:val="auto"/>
                <w:sz w:val="24"/>
              </w:rPr>
              <w:sym w:font="Wingdings 2" w:char="0052"/>
            </w:r>
            <w:r>
              <w:rPr>
                <w:rFonts w:hint="default" w:ascii="Times New Roman" w:hAnsi="Times New Roman" w:cs="Times New Roman"/>
                <w:color w:val="auto"/>
                <w:sz w:val="24"/>
              </w:rPr>
              <w:t>否</w:t>
            </w:r>
            <w:r>
              <w:rPr>
                <w:rFonts w:hint="default" w:ascii="Times New Roman" w:hAnsi="Times New Roman" w:cs="Times New Roman"/>
                <w:color w:val="auto"/>
                <w:sz w:val="24"/>
                <w:lang w:val="en-US" w:eastAsia="zh-CN"/>
              </w:rPr>
              <w:t xml:space="preserve"> </w:t>
            </w:r>
            <w:r>
              <w:rPr>
                <w:rFonts w:hint="default" w:ascii="Times New Roman" w:hAnsi="Times New Roman" w:cs="Times New Roman"/>
                <w:color w:val="auto"/>
                <w:sz w:val="24"/>
              </w:rPr>
              <w:sym w:font="Wingdings 2" w:char="00A3"/>
            </w:r>
            <w:r>
              <w:rPr>
                <w:rFonts w:hint="default" w:ascii="Times New Roman" w:hAnsi="Times New Roman" w:cs="Times New Roman"/>
                <w:color w:val="auto"/>
                <w:sz w:val="24"/>
              </w:rPr>
              <w:t>是：</w:t>
            </w:r>
            <w:r>
              <w:rPr>
                <w:rFonts w:hint="default" w:ascii="Times New Roman" w:hAnsi="Times New Roman" w:cs="Times New Roman"/>
                <w:color w:val="auto"/>
                <w:sz w:val="24"/>
                <w:u w:val="single"/>
                <w:lang w:val="en-US" w:eastAsia="zh-CN"/>
              </w:rPr>
              <w:t xml:space="preserve">   </w:t>
            </w:r>
            <w:r>
              <w:rPr>
                <w:rFonts w:hint="default" w:ascii="Times New Roman" w:hAnsi="Times New Roman" w:cs="Times New Roman"/>
                <w:color w:val="auto"/>
                <w:sz w:val="24"/>
                <w:u w:val="single"/>
              </w:rPr>
              <w:t xml:space="preserve"> </w:t>
            </w:r>
          </w:p>
        </w:tc>
        <w:tc>
          <w:tcPr>
            <w:tcW w:w="2051" w:type="dxa"/>
            <w:noWrap w:val="0"/>
            <w:vAlign w:val="center"/>
          </w:tcPr>
          <w:p w14:paraId="06E77637">
            <w:pPr>
              <w:adjustRightInd w:val="0"/>
              <w:snapToGrid w:val="0"/>
              <w:jc w:val="center"/>
              <w:rPr>
                <w:rFonts w:hint="default" w:ascii="Times New Roman" w:hAnsi="Times New Roman" w:eastAsia="宋体" w:cs="Times New Roman"/>
                <w:color w:val="auto"/>
                <w:sz w:val="24"/>
                <w:szCs w:val="22"/>
                <w:lang w:val="en-US" w:eastAsia="en-US" w:bidi="ar-SA"/>
              </w:rPr>
            </w:pPr>
            <w:r>
              <w:rPr>
                <w:rFonts w:hint="default" w:ascii="Times New Roman" w:hAnsi="Times New Roman" w:cs="Times New Roman"/>
                <w:color w:val="auto"/>
                <w:spacing w:val="-6"/>
                <w:sz w:val="24"/>
              </w:rPr>
              <w:t>用地（用海）面积（m</w:t>
            </w:r>
            <w:r>
              <w:rPr>
                <w:rFonts w:hint="default" w:ascii="Times New Roman" w:hAnsi="Times New Roman" w:cs="Times New Roman"/>
                <w:color w:val="auto"/>
                <w:spacing w:val="-6"/>
                <w:sz w:val="24"/>
                <w:vertAlign w:val="superscript"/>
              </w:rPr>
              <w:t>2</w:t>
            </w:r>
            <w:r>
              <w:rPr>
                <w:rFonts w:hint="default" w:ascii="Times New Roman" w:hAnsi="Times New Roman" w:cs="Times New Roman"/>
                <w:color w:val="auto"/>
                <w:spacing w:val="-6"/>
                <w:sz w:val="24"/>
              </w:rPr>
              <w:t>）</w:t>
            </w:r>
          </w:p>
        </w:tc>
        <w:tc>
          <w:tcPr>
            <w:tcW w:w="3277" w:type="dxa"/>
            <w:noWrap w:val="0"/>
            <w:vAlign w:val="center"/>
          </w:tcPr>
          <w:p w14:paraId="6444A857">
            <w:pPr>
              <w:jc w:val="center"/>
              <w:rPr>
                <w:rFonts w:hint="default" w:ascii="Times New Roman" w:hAnsi="Times New Roman" w:eastAsia="宋体" w:cs="Times New Roman"/>
                <w:color w:val="auto"/>
                <w:sz w:val="24"/>
                <w:szCs w:val="22"/>
                <w:vertAlign w:val="baseline"/>
                <w:lang w:val="en-US" w:eastAsia="zh-CN"/>
              </w:rPr>
            </w:pPr>
            <w:r>
              <w:rPr>
                <w:rFonts w:hint="eastAsia" w:cs="Times New Roman"/>
                <w:color w:val="auto"/>
                <w:sz w:val="24"/>
                <w:szCs w:val="22"/>
                <w:vertAlign w:val="baseline"/>
                <w:lang w:val="en-US" w:eastAsia="zh-CN"/>
              </w:rPr>
              <w:t>8616</w:t>
            </w:r>
          </w:p>
        </w:tc>
      </w:tr>
      <w:tr w14:paraId="4FBCA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55" w:hRule="atLeast"/>
          <w:jc w:val="center"/>
        </w:trPr>
        <w:tc>
          <w:tcPr>
            <w:tcW w:w="835" w:type="dxa"/>
            <w:noWrap w:val="0"/>
            <w:vAlign w:val="center"/>
          </w:tcPr>
          <w:p w14:paraId="75BFE864">
            <w:pPr>
              <w:autoSpaceDE w:val="0"/>
              <w:autoSpaceDN w:val="0"/>
              <w:adjustRightInd w:val="0"/>
              <w:snapToGrid w:val="0"/>
              <w:ind w:left="-120" w:leftChars="-50" w:right="-120" w:rightChars="-50"/>
              <w:jc w:val="center"/>
              <w:rPr>
                <w:rFonts w:hint="default" w:ascii="Times New Roman" w:hAnsi="Times New Roman" w:eastAsia="宋体" w:cs="Times New Roman"/>
                <w:color w:val="0000FF"/>
                <w:kern w:val="0"/>
                <w:sz w:val="24"/>
                <w:szCs w:val="22"/>
                <w:lang w:val="en-US" w:eastAsia="en-US" w:bidi="ar-SA"/>
              </w:rPr>
            </w:pPr>
            <w:r>
              <w:rPr>
                <w:rFonts w:hint="default" w:ascii="Times New Roman" w:hAnsi="Times New Roman" w:cs="Times New Roman"/>
                <w:color w:val="auto"/>
                <w:kern w:val="0"/>
                <w:sz w:val="24"/>
              </w:rPr>
              <w:t>专项评价设置情况</w:t>
            </w:r>
          </w:p>
        </w:tc>
        <w:tc>
          <w:tcPr>
            <w:tcW w:w="8400" w:type="dxa"/>
            <w:gridSpan w:val="4"/>
            <w:noWrap w:val="0"/>
            <w:vAlign w:val="center"/>
          </w:tcPr>
          <w:p w14:paraId="2CCA3947">
            <w:pPr>
              <w:spacing w:line="360" w:lineRule="auto"/>
              <w:jc w:val="center"/>
              <w:rPr>
                <w:rFonts w:hint="default" w:ascii="Times New Roman" w:hAnsi="Times New Roman" w:eastAsia="宋体" w:cs="Times New Roman"/>
                <w:color w:val="0000FF"/>
                <w:sz w:val="24"/>
                <w:szCs w:val="22"/>
                <w:vertAlign w:val="baseline"/>
                <w:lang w:val="en-US" w:eastAsia="zh-CN"/>
              </w:rPr>
            </w:pPr>
            <w:r>
              <w:rPr>
                <w:rFonts w:hint="eastAsia" w:eastAsia="宋体" w:cs="Times New Roman"/>
                <w:color w:val="auto"/>
                <w:sz w:val="24"/>
                <w:szCs w:val="22"/>
                <w:vertAlign w:val="baseline"/>
                <w:lang w:val="en-US" w:eastAsia="zh-CN"/>
              </w:rPr>
              <w:t>无</w:t>
            </w:r>
          </w:p>
        </w:tc>
      </w:tr>
      <w:tr w14:paraId="07276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434" w:hRule="atLeast"/>
          <w:jc w:val="center"/>
        </w:trPr>
        <w:tc>
          <w:tcPr>
            <w:tcW w:w="835" w:type="dxa"/>
            <w:noWrap w:val="0"/>
            <w:vAlign w:val="center"/>
          </w:tcPr>
          <w:p w14:paraId="15E66C2F">
            <w:pPr>
              <w:autoSpaceDE w:val="0"/>
              <w:autoSpaceDN w:val="0"/>
              <w:adjustRightInd w:val="0"/>
              <w:snapToGrid w:val="0"/>
              <w:ind w:left="-120" w:leftChars="-50" w:right="-120" w:rightChars="-50"/>
              <w:jc w:val="center"/>
              <w:rPr>
                <w:rFonts w:hint="default" w:ascii="Times New Roman" w:hAnsi="Times New Roman" w:eastAsia="宋体" w:cs="Times New Roman"/>
                <w:color w:val="auto"/>
                <w:kern w:val="0"/>
                <w:sz w:val="24"/>
                <w:szCs w:val="22"/>
                <w:lang w:val="en-US" w:eastAsia="en-US" w:bidi="ar-SA"/>
              </w:rPr>
            </w:pPr>
            <w:r>
              <w:rPr>
                <w:rFonts w:hint="default" w:ascii="Times New Roman" w:hAnsi="Times New Roman" w:cs="Times New Roman"/>
                <w:color w:val="auto"/>
                <w:sz w:val="24"/>
              </w:rPr>
              <w:t>规划情况</w:t>
            </w:r>
          </w:p>
        </w:tc>
        <w:tc>
          <w:tcPr>
            <w:tcW w:w="8400" w:type="dxa"/>
            <w:gridSpan w:val="4"/>
            <w:noWrap w:val="0"/>
            <w:vAlign w:val="center"/>
          </w:tcPr>
          <w:p w14:paraId="4C0624EF">
            <w:pPr>
              <w:pStyle w:val="75"/>
              <w:keepNext w:val="0"/>
              <w:keepLines w:val="0"/>
              <w:pageBreakBefore w:val="0"/>
              <w:kinsoku/>
              <w:wordWrap/>
              <w:overflowPunct/>
              <w:topLinePunct w:val="0"/>
              <w:autoSpaceDE/>
              <w:autoSpaceDN/>
              <w:bidi w:val="0"/>
              <w:adjustRightInd/>
              <w:snapToGrid/>
              <w:ind w:left="480" w:leftChars="200" w:firstLine="0" w:firstLineChars="0"/>
              <w:jc w:val="both"/>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规划名称：</w:t>
            </w:r>
          </w:p>
          <w:p w14:paraId="20C12DB8">
            <w:pPr>
              <w:pStyle w:val="75"/>
              <w:keepNext w:val="0"/>
              <w:keepLines w:val="0"/>
              <w:pageBreakBefore w:val="0"/>
              <w:kinsoku/>
              <w:wordWrap/>
              <w:overflowPunct/>
              <w:topLinePunct w:val="0"/>
              <w:autoSpaceDE/>
              <w:autoSpaceDN/>
              <w:bidi w:val="0"/>
              <w:adjustRightInd/>
              <w:snapToGrid/>
              <w:ind w:left="480" w:leftChars="200" w:firstLine="0" w:firstLineChars="0"/>
              <w:jc w:val="both"/>
              <w:textAlignment w:val="auto"/>
              <w:rPr>
                <w:rFonts w:ascii="宋体" w:hAnsi="宋体" w:eastAsia="宋体" w:cs="宋体"/>
                <w:sz w:val="24"/>
                <w:szCs w:val="24"/>
              </w:rPr>
            </w:pPr>
            <w:r>
              <w:rPr>
                <w:rFonts w:ascii="宋体" w:hAnsi="宋体" w:eastAsia="宋体" w:cs="宋体"/>
                <w:sz w:val="24"/>
                <w:szCs w:val="24"/>
              </w:rPr>
              <w:t>《霍山县诸佛庵镇“十四五”时期发展规划》</w:t>
            </w:r>
          </w:p>
          <w:p w14:paraId="616455B4">
            <w:pPr>
              <w:keepNext w:val="0"/>
              <w:keepLines w:val="0"/>
              <w:pageBreakBefore w:val="0"/>
              <w:widowControl/>
              <w:suppressLineNumbers w:val="0"/>
              <w:kinsoku/>
              <w:wordWrap/>
              <w:overflowPunct/>
              <w:topLinePunct w:val="0"/>
              <w:autoSpaceDE/>
              <w:autoSpaceDN/>
              <w:bidi w:val="0"/>
              <w:adjustRightInd/>
              <w:snapToGrid/>
              <w:spacing w:line="360" w:lineRule="auto"/>
              <w:ind w:left="480" w:leftChars="200"/>
              <w:jc w:val="left"/>
              <w:textAlignment w:val="auto"/>
              <w:rPr>
                <w:rFonts w:hint="default" w:ascii="Times New Roman" w:hAnsi="Times New Roman" w:eastAsia="宋体" w:cs="Times New Roman"/>
                <w:b w:val="0"/>
                <w:bCs w:val="0"/>
                <w:color w:val="0000FF"/>
                <w:sz w:val="24"/>
                <w:szCs w:val="22"/>
                <w:vertAlign w:val="baseline"/>
                <w:lang w:val="en-US" w:eastAsia="zh-CN"/>
              </w:rPr>
            </w:pPr>
            <w:r>
              <w:rPr>
                <w:rFonts w:ascii="宋体" w:hAnsi="宋体" w:eastAsia="宋体" w:cs="宋体"/>
                <w:sz w:val="24"/>
                <w:szCs w:val="24"/>
              </w:rPr>
              <w:t>《霍山县诸佛庵镇狮山村村庄规划（2021-2035）》</w:t>
            </w:r>
          </w:p>
        </w:tc>
      </w:tr>
      <w:tr w14:paraId="1B703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70" w:hRule="atLeast"/>
          <w:jc w:val="center"/>
        </w:trPr>
        <w:tc>
          <w:tcPr>
            <w:tcW w:w="835" w:type="dxa"/>
            <w:noWrap w:val="0"/>
            <w:vAlign w:val="center"/>
          </w:tcPr>
          <w:p w14:paraId="733977D0">
            <w:pPr>
              <w:autoSpaceDE w:val="0"/>
              <w:autoSpaceDN w:val="0"/>
              <w:adjustRightInd w:val="0"/>
              <w:snapToGrid w:val="0"/>
              <w:ind w:left="-120" w:leftChars="-50" w:right="-120" w:rightChars="-50"/>
              <w:jc w:val="center"/>
              <w:rPr>
                <w:rFonts w:hint="default" w:ascii="Times New Roman" w:hAnsi="Times New Roman" w:eastAsia="宋体" w:cs="Times New Roman"/>
                <w:color w:val="auto"/>
                <w:kern w:val="0"/>
                <w:sz w:val="24"/>
                <w:szCs w:val="22"/>
                <w:lang w:val="en-US" w:eastAsia="en-US" w:bidi="ar-SA"/>
              </w:rPr>
            </w:pPr>
            <w:r>
              <w:rPr>
                <w:rFonts w:hint="default" w:ascii="Times New Roman" w:hAnsi="Times New Roman" w:cs="Times New Roman"/>
                <w:color w:val="auto"/>
                <w:sz w:val="24"/>
              </w:rPr>
              <w:t>规划环境影响评价情况</w:t>
            </w:r>
          </w:p>
        </w:tc>
        <w:tc>
          <w:tcPr>
            <w:tcW w:w="8400" w:type="dxa"/>
            <w:gridSpan w:val="4"/>
            <w:noWrap w:val="0"/>
            <w:vAlign w:val="center"/>
          </w:tcPr>
          <w:p w14:paraId="69ECE4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auto"/>
                <w:sz w:val="24"/>
                <w:szCs w:val="22"/>
                <w:vertAlign w:val="baseline"/>
                <w:lang w:val="en-US" w:eastAsia="zh-CN"/>
              </w:rPr>
            </w:pPr>
            <w:r>
              <w:rPr>
                <w:rFonts w:hint="eastAsia" w:eastAsia="宋体" w:cs="Times New Roman"/>
                <w:color w:val="auto"/>
                <w:sz w:val="24"/>
                <w:szCs w:val="22"/>
                <w:vertAlign w:val="baseline"/>
                <w:lang w:val="en-US" w:eastAsia="zh-CN"/>
              </w:rPr>
              <w:t>无</w:t>
            </w:r>
          </w:p>
        </w:tc>
      </w:tr>
      <w:tr w14:paraId="0D443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329" w:hRule="atLeast"/>
          <w:jc w:val="center"/>
        </w:trPr>
        <w:tc>
          <w:tcPr>
            <w:tcW w:w="835" w:type="dxa"/>
            <w:noWrap w:val="0"/>
            <w:vAlign w:val="center"/>
          </w:tcPr>
          <w:p w14:paraId="37A04D62">
            <w:pPr>
              <w:jc w:val="center"/>
              <w:rPr>
                <w:rFonts w:hint="default" w:ascii="Times New Roman" w:hAnsi="Times New Roman" w:cs="Times New Roman"/>
                <w:color w:val="FF0000"/>
                <w:sz w:val="24"/>
                <w:szCs w:val="22"/>
                <w:vertAlign w:val="baseline"/>
              </w:rPr>
            </w:pPr>
            <w:r>
              <w:rPr>
                <w:rFonts w:hint="default" w:ascii="Times New Roman" w:hAnsi="Times New Roman" w:eastAsia="宋体" w:cs="Times New Roman"/>
                <w:color w:val="auto"/>
                <w:sz w:val="24"/>
              </w:rPr>
              <w:t>规划及规划环境影响评价符合性分析</w:t>
            </w:r>
          </w:p>
        </w:tc>
        <w:tc>
          <w:tcPr>
            <w:tcW w:w="8400" w:type="dxa"/>
            <w:gridSpan w:val="4"/>
            <w:noWrap w:val="0"/>
            <w:vAlign w:val="center"/>
          </w:tcPr>
          <w:p w14:paraId="5B55156F">
            <w:pPr>
              <w:pStyle w:val="75"/>
              <w:keepNext w:val="0"/>
              <w:keepLines w:val="0"/>
              <w:pageBreakBefore w:val="0"/>
              <w:widowControl/>
              <w:kinsoku/>
              <w:wordWrap/>
              <w:overflowPunct/>
              <w:topLinePunct w:val="0"/>
              <w:autoSpaceDE/>
              <w:autoSpaceDN/>
              <w:bidi w:val="0"/>
              <w:adjustRightInd/>
              <w:snapToGrid/>
              <w:spacing w:line="360" w:lineRule="auto"/>
              <w:ind w:firstLine="480"/>
              <w:jc w:val="both"/>
              <w:textAlignment w:val="auto"/>
              <w:rPr>
                <w:rFonts w:hint="eastAsia"/>
              </w:rPr>
            </w:pPr>
            <w:r>
              <w:rPr>
                <w:rFonts w:ascii="宋体" w:hAnsi="宋体" w:eastAsia="宋体" w:cs="宋体"/>
                <w:sz w:val="24"/>
                <w:szCs w:val="24"/>
              </w:rPr>
              <w:t>《霍山县诸佛庵镇“十四五”时期发展规划》提出以习近平新时代中国特色社会主义思想为指导，深刻领会习近平总书记在考察安徽和在扎实推进长三角一体化发展座谈会上的重要讲话精神，紧紧围绕“生态立镇、工业强镇、旅游活镇、竹业富民”的发展战略，做好稳增长、促改革、调结构、惠民生、防风险各项措施，对标江浙沪、融入长三角，不断做强工业、做精竹业、做优农业、做活旅游，深入巩固脱贫攻坚成果，扎实推进乡村振兴，努力把诸佛庵建设成“安徽特色旅游名镇、皖西绿色发展高地”，推动全镇各项事业再上新台阶。</w:t>
            </w:r>
            <w:r>
              <w:rPr>
                <w:rFonts w:hint="eastAsia"/>
              </w:rPr>
              <w:t>本项目为塑料制品业，不属于</w:t>
            </w:r>
            <w:r>
              <w:rPr>
                <w:rFonts w:hint="eastAsia"/>
                <w:lang w:eastAsia="zh-CN"/>
              </w:rPr>
              <w:t>规划</w:t>
            </w:r>
            <w:r>
              <w:rPr>
                <w:rFonts w:hint="eastAsia"/>
              </w:rPr>
              <w:t>主导行业、不属于</w:t>
            </w:r>
            <w:r>
              <w:rPr>
                <w:rFonts w:hint="eastAsia"/>
                <w:lang w:eastAsia="zh-CN"/>
              </w:rPr>
              <w:t>规划</w:t>
            </w:r>
            <w:r>
              <w:rPr>
                <w:rFonts w:hint="eastAsia"/>
              </w:rPr>
              <w:t>限制类、禁止类项目，可视为允许类项目。</w:t>
            </w:r>
          </w:p>
          <w:p w14:paraId="6FEA83A1">
            <w:pPr>
              <w:spacing w:line="360" w:lineRule="auto"/>
              <w:ind w:firstLine="480" w:firstLineChars="200"/>
              <w:jc w:val="both"/>
              <w:rPr>
                <w:rFonts w:hint="default"/>
                <w:lang w:val="en-US" w:eastAsia="zh-CN"/>
              </w:rPr>
            </w:pPr>
            <w:r>
              <w:rPr>
                <w:rFonts w:ascii="宋体" w:hAnsi="宋体" w:eastAsia="宋体" w:cs="宋体"/>
                <w:sz w:val="24"/>
                <w:szCs w:val="24"/>
              </w:rPr>
              <w:t>《霍山县诸佛庵镇狮山村村庄规划（2021-2035）》</w:t>
            </w:r>
            <w:r>
              <w:rPr>
                <w:rFonts w:hint="eastAsia" w:ascii="宋体" w:hAnsi="宋体" w:cs="宋体"/>
                <w:sz w:val="24"/>
                <w:szCs w:val="24"/>
                <w:lang w:eastAsia="zh-CN"/>
              </w:rPr>
              <w:t>规划范围为狮山行政村村域范围，总面积为</w:t>
            </w:r>
            <w:r>
              <w:rPr>
                <w:rFonts w:hint="eastAsia" w:ascii="宋体" w:hAnsi="宋体" w:cs="宋体"/>
                <w:sz w:val="24"/>
                <w:szCs w:val="24"/>
                <w:lang w:val="en-US" w:eastAsia="zh-CN"/>
              </w:rPr>
              <w:t>1505.11公顷。其中农林用地1338.88公顷，占总面积的88.96%；建设用地为111.82公顷，占总面积的7.43%；其他土地54.41公顷，占总面积的3.61%。规划</w:t>
            </w:r>
            <w:r>
              <w:rPr>
                <w:rFonts w:ascii="宋体" w:hAnsi="宋体" w:eastAsia="宋体" w:cs="宋体"/>
                <w:sz w:val="24"/>
                <w:szCs w:val="24"/>
              </w:rPr>
              <w:t>以乡村振兴为总目标，合理布局村内空间。</w:t>
            </w:r>
            <w:r>
              <w:rPr>
                <w:rFonts w:hint="eastAsia" w:ascii="宋体" w:hAnsi="宋体" w:cs="宋体"/>
                <w:sz w:val="24"/>
                <w:szCs w:val="24"/>
                <w:lang w:val="en-US" w:eastAsia="zh-CN"/>
              </w:rPr>
              <w:t>本项目位于霍山县诸佛庵镇狮山村穆家畈组，属于城镇发展区，规划用地为城镇用地，用地性质为工业用地，符合用地性质</w:t>
            </w:r>
            <w:r>
              <w:rPr>
                <w:rFonts w:hint="eastAsia" w:ascii="宋体" w:hAnsi="宋体" w:cs="宋体"/>
                <w:sz w:val="24"/>
                <w:szCs w:val="24"/>
                <w:lang w:eastAsia="zh-CN"/>
              </w:rPr>
              <w:t>和</w:t>
            </w:r>
            <w:r>
              <w:rPr>
                <w:rFonts w:ascii="宋体" w:hAnsi="宋体" w:eastAsia="宋体" w:cs="宋体"/>
                <w:sz w:val="24"/>
                <w:szCs w:val="24"/>
              </w:rPr>
              <w:t>总体布局。</w:t>
            </w:r>
            <w:r>
              <w:rPr>
                <w:rFonts w:hint="eastAsia" w:ascii="Times New Roman" w:hAnsi="Times New Roman" w:eastAsia="宋体" w:cs="Times New Roman"/>
                <w:b w:val="0"/>
                <w:bCs/>
                <w:color w:val="FF0000"/>
                <w:sz w:val="24"/>
                <w:lang w:val="en-US" w:eastAsia="zh-CN"/>
              </w:rPr>
              <w:t xml:space="preserve"> </w:t>
            </w:r>
          </w:p>
        </w:tc>
      </w:tr>
      <w:tr w14:paraId="2E704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2680" w:hRule="atLeast"/>
          <w:jc w:val="center"/>
        </w:trPr>
        <w:tc>
          <w:tcPr>
            <w:tcW w:w="835" w:type="dxa"/>
            <w:noWrap w:val="0"/>
            <w:vAlign w:val="center"/>
          </w:tcPr>
          <w:p w14:paraId="0FA66C59">
            <w:pPr>
              <w:jc w:val="center"/>
              <w:rPr>
                <w:rFonts w:hint="default" w:ascii="Times New Roman" w:hAnsi="Times New Roman" w:cs="Times New Roman"/>
                <w:color w:val="0000FF"/>
                <w:sz w:val="24"/>
                <w:szCs w:val="22"/>
                <w:vertAlign w:val="baseline"/>
              </w:rPr>
            </w:pPr>
            <w:r>
              <w:rPr>
                <w:rFonts w:hint="default" w:ascii="Times New Roman" w:hAnsi="Times New Roman" w:cs="Times New Roman"/>
                <w:color w:val="auto"/>
                <w:sz w:val="24"/>
                <w:szCs w:val="22"/>
                <w:vertAlign w:val="baseline"/>
              </w:rPr>
              <w:t>其他符合性分析</w:t>
            </w:r>
          </w:p>
        </w:tc>
        <w:tc>
          <w:tcPr>
            <w:tcW w:w="8400" w:type="dxa"/>
            <w:gridSpan w:val="4"/>
            <w:noWrap w:val="0"/>
            <w:vAlign w:val="top"/>
          </w:tcPr>
          <w:p w14:paraId="4316E36A">
            <w:pPr>
              <w:spacing w:line="360" w:lineRule="auto"/>
              <w:ind w:firstLine="482" w:firstLineChars="200"/>
              <w:jc w:val="both"/>
              <w:rPr>
                <w:rFonts w:hint="default" w:ascii="Times New Roman" w:hAnsi="Times New Roman" w:eastAsia="宋体" w:cs="Times New Roman"/>
                <w:b/>
                <w:bCs w:val="0"/>
                <w:color w:val="auto"/>
                <w:sz w:val="24"/>
                <w:lang w:val="en-US" w:eastAsia="zh-CN"/>
              </w:rPr>
            </w:pPr>
            <w:r>
              <w:rPr>
                <w:rFonts w:hint="eastAsia" w:cs="Times New Roman"/>
                <w:b/>
                <w:bCs w:val="0"/>
                <w:color w:val="auto"/>
                <w:sz w:val="24"/>
                <w:lang w:val="en-US" w:eastAsia="zh-CN"/>
              </w:rPr>
              <w:t>1、</w:t>
            </w:r>
            <w:r>
              <w:rPr>
                <w:rFonts w:hint="default" w:ascii="Times New Roman" w:hAnsi="Times New Roman" w:eastAsia="宋体" w:cs="Times New Roman"/>
                <w:b/>
                <w:bCs w:val="0"/>
                <w:color w:val="auto"/>
                <w:sz w:val="24"/>
                <w:lang w:val="en-US" w:eastAsia="zh-CN"/>
              </w:rPr>
              <w:t>产业政策符合性分析</w:t>
            </w:r>
          </w:p>
          <w:p w14:paraId="4B78F673">
            <w:pPr>
              <w:spacing w:line="360" w:lineRule="auto"/>
              <w:ind w:firstLine="480" w:firstLineChars="200"/>
              <w:jc w:val="both"/>
              <w:rPr>
                <w:rFonts w:hint="default" w:ascii="Times New Roman" w:hAnsi="Times New Roman" w:cs="Times New Roman"/>
                <w:color w:val="auto"/>
              </w:rPr>
            </w:pPr>
            <w:r>
              <w:rPr>
                <w:rFonts w:hint="eastAsia" w:ascii="Times New Roman" w:hAnsi="Times New Roman" w:cs="Times New Roman"/>
                <w:color w:val="auto"/>
                <w:lang w:val="en-US" w:eastAsia="zh-CN"/>
              </w:rPr>
              <w:t>对照</w:t>
            </w:r>
            <w:r>
              <w:rPr>
                <w:rFonts w:hint="default" w:ascii="Times New Roman" w:hAnsi="Times New Roman" w:cs="Times New Roman"/>
                <w:color w:val="auto"/>
              </w:rPr>
              <w:t>《国民经济行业分类》（GB/T 4754-2017）（2019年修订版），本项目属于</w:t>
            </w:r>
            <w:r>
              <w:rPr>
                <w:rFonts w:hint="eastAsia"/>
              </w:rPr>
              <w:t>C2922塑料板、管、型材制造</w:t>
            </w:r>
            <w:r>
              <w:rPr>
                <w:rFonts w:hint="eastAsia" w:cs="Times New Roman"/>
                <w:color w:val="auto"/>
                <w:lang w:eastAsia="zh-CN"/>
              </w:rPr>
              <w:t>。</w:t>
            </w:r>
            <w:bookmarkStart w:id="3" w:name="OLE_LINK20"/>
            <w:r>
              <w:rPr>
                <w:rFonts w:hint="eastAsia" w:cs="Times New Roman"/>
                <w:color w:val="auto"/>
                <w:lang w:val="en-US" w:eastAsia="zh-CN"/>
              </w:rPr>
              <w:t>对照</w:t>
            </w:r>
            <w:r>
              <w:rPr>
                <w:rFonts w:hint="default" w:ascii="Times New Roman" w:hAnsi="Times New Roman" w:cs="Times New Roman"/>
                <w:color w:val="auto"/>
              </w:rPr>
              <w:t>《产业结构调整指导目录（20</w:t>
            </w:r>
            <w:r>
              <w:rPr>
                <w:rFonts w:hint="eastAsia" w:ascii="Times New Roman" w:hAnsi="Times New Roman" w:cs="Times New Roman"/>
                <w:color w:val="auto"/>
                <w:lang w:val="en-US" w:eastAsia="zh-CN"/>
              </w:rPr>
              <w:t>24</w:t>
            </w:r>
            <w:r>
              <w:rPr>
                <w:rFonts w:hint="default" w:ascii="Times New Roman" w:hAnsi="Times New Roman" w:cs="Times New Roman"/>
                <w:color w:val="auto"/>
              </w:rPr>
              <w:t>年本）》</w:t>
            </w:r>
            <w:bookmarkEnd w:id="3"/>
            <w:r>
              <w:rPr>
                <w:rFonts w:hint="eastAsia" w:cs="Times New Roman"/>
                <w:color w:val="auto"/>
                <w:lang w:val="en-US" w:eastAsia="zh-CN"/>
              </w:rPr>
              <w:t>，本项目为塑料制品项目</w:t>
            </w:r>
            <w:r>
              <w:rPr>
                <w:rFonts w:hint="eastAsia" w:cs="Times New Roman"/>
                <w:color w:val="auto"/>
                <w:kern w:val="0"/>
                <w:sz w:val="24"/>
                <w:szCs w:val="24"/>
                <w:lang w:val="en-US" w:eastAsia="zh-CN" w:bidi="ar"/>
              </w:rPr>
              <w:t>，不属于</w:t>
            </w:r>
            <w:r>
              <w:rPr>
                <w:rFonts w:hint="default" w:ascii="Times New Roman" w:hAnsi="Times New Roman" w:cs="Times New Roman"/>
                <w:color w:val="auto"/>
              </w:rPr>
              <w:t>《产业结构调整指导目录（20</w:t>
            </w:r>
            <w:r>
              <w:rPr>
                <w:rFonts w:hint="eastAsia" w:ascii="Times New Roman" w:hAnsi="Times New Roman" w:cs="Times New Roman"/>
                <w:color w:val="auto"/>
                <w:lang w:val="en-US" w:eastAsia="zh-CN"/>
              </w:rPr>
              <w:t>24</w:t>
            </w:r>
            <w:r>
              <w:rPr>
                <w:rFonts w:hint="default" w:ascii="Times New Roman" w:hAnsi="Times New Roman" w:cs="Times New Roman"/>
                <w:color w:val="auto"/>
              </w:rPr>
              <w:t>年本）》</w:t>
            </w:r>
            <w:r>
              <w:rPr>
                <w:rFonts w:hint="eastAsia" w:cs="Times New Roman"/>
                <w:color w:val="auto"/>
                <w:lang w:val="en-US" w:eastAsia="zh-CN"/>
              </w:rPr>
              <w:t>中</w:t>
            </w:r>
            <w:r>
              <w:rPr>
                <w:rFonts w:hint="default" w:ascii="Times New Roman" w:hAnsi="Times New Roman" w:cs="Times New Roman"/>
                <w:color w:val="auto"/>
              </w:rPr>
              <w:t>限制类和淘汰类项目</w:t>
            </w:r>
            <w:r>
              <w:rPr>
                <w:rFonts w:hint="eastAsia" w:cs="Times New Roman"/>
                <w:color w:val="auto"/>
                <w:lang w:eastAsia="zh-CN"/>
              </w:rPr>
              <w:t>，</w:t>
            </w:r>
            <w:r>
              <w:rPr>
                <w:rFonts w:hint="default" w:ascii="Times New Roman" w:hAnsi="Times New Roman" w:cs="Times New Roman"/>
                <w:color w:val="auto"/>
              </w:rPr>
              <w:t>亦不属于其他相关法律法规要求淘汰和限制的产业。</w:t>
            </w:r>
          </w:p>
          <w:p w14:paraId="27883992">
            <w:pPr>
              <w:spacing w:line="360" w:lineRule="auto"/>
              <w:ind w:firstLine="480" w:firstLineChars="200"/>
              <w:jc w:val="both"/>
              <w:rPr>
                <w:rFonts w:hint="default" w:ascii="Times New Roman" w:hAnsi="Times New Roman" w:cs="Times New Roman"/>
                <w:color w:val="auto"/>
              </w:rPr>
            </w:pPr>
            <w:r>
              <w:rPr>
                <w:rFonts w:hint="default" w:ascii="Times New Roman" w:hAnsi="Times New Roman" w:cs="Times New Roman"/>
                <w:color w:val="auto"/>
              </w:rPr>
              <w:t>根据《</w:t>
            </w:r>
            <w:bookmarkStart w:id="4" w:name="OLE_LINK6"/>
            <w:r>
              <w:rPr>
                <w:rFonts w:hint="default" w:ascii="Times New Roman" w:hAnsi="Times New Roman" w:cs="Times New Roman"/>
                <w:color w:val="auto"/>
              </w:rPr>
              <w:t>市场准入负面清单</w:t>
            </w:r>
            <w:bookmarkEnd w:id="4"/>
            <w:r>
              <w:rPr>
                <w:rFonts w:hint="default" w:ascii="Times New Roman" w:hAnsi="Times New Roman" w:cs="Times New Roman"/>
                <w:color w:val="auto"/>
              </w:rPr>
              <w:t>（202</w:t>
            </w:r>
            <w:r>
              <w:rPr>
                <w:rFonts w:hint="eastAsia" w:cs="Times New Roman"/>
                <w:color w:val="auto"/>
                <w:lang w:val="en-US" w:eastAsia="zh-CN"/>
              </w:rPr>
              <w:t>5</w:t>
            </w:r>
            <w:r>
              <w:rPr>
                <w:rFonts w:hint="default" w:ascii="Times New Roman" w:hAnsi="Times New Roman" w:cs="Times New Roman"/>
                <w:color w:val="auto"/>
              </w:rPr>
              <w:t>年版）》，本项目不属于禁止准入和许可准入事项，属于市场准入负面清单以外的，可依法平等进入。</w:t>
            </w:r>
          </w:p>
          <w:p w14:paraId="3A82D2F7">
            <w:pPr>
              <w:spacing w:line="360" w:lineRule="auto"/>
              <w:ind w:firstLine="480" w:firstLineChars="200"/>
              <w:jc w:val="both"/>
              <w:rPr>
                <w:rFonts w:hint="default" w:ascii="Times New Roman" w:hAnsi="Times New Roman" w:cs="Times New Roman"/>
                <w:color w:val="auto"/>
              </w:rPr>
            </w:pPr>
            <w:r>
              <w:rPr>
                <w:rFonts w:hint="default" w:ascii="Times New Roman" w:hAnsi="Times New Roman" w:cs="Times New Roman"/>
                <w:color w:val="auto"/>
              </w:rPr>
              <w:t>对照《关于印发安徽省</w:t>
            </w:r>
            <w:r>
              <w:rPr>
                <w:rFonts w:hint="eastAsia" w:ascii="Times New Roman" w:hAnsi="Times New Roman" w:cs="Times New Roman"/>
                <w:color w:val="auto"/>
                <w:lang w:eastAsia="zh-CN"/>
              </w:rPr>
              <w:t>“</w:t>
            </w:r>
            <w:r>
              <w:rPr>
                <w:rFonts w:hint="default" w:ascii="Times New Roman" w:hAnsi="Times New Roman" w:cs="Times New Roman"/>
                <w:color w:val="auto"/>
              </w:rPr>
              <w:t>两高</w:t>
            </w:r>
            <w:r>
              <w:rPr>
                <w:rFonts w:hint="eastAsia" w:ascii="Times New Roman" w:hAnsi="Times New Roman" w:cs="Times New Roman"/>
                <w:color w:val="auto"/>
                <w:lang w:eastAsia="zh-CN"/>
              </w:rPr>
              <w:t>”</w:t>
            </w:r>
            <w:r>
              <w:rPr>
                <w:rFonts w:hint="default" w:ascii="Times New Roman" w:hAnsi="Times New Roman" w:cs="Times New Roman"/>
                <w:color w:val="auto"/>
              </w:rPr>
              <w:t>项目管理目录（试行）的通知》（皖节能[2022]2号），本项目不属于</w:t>
            </w:r>
            <w:r>
              <w:rPr>
                <w:rFonts w:hint="eastAsia" w:ascii="Times New Roman" w:hAnsi="Times New Roman" w:cs="Times New Roman"/>
                <w:color w:val="auto"/>
                <w:lang w:eastAsia="zh-CN"/>
              </w:rPr>
              <w:t>“</w:t>
            </w:r>
            <w:r>
              <w:rPr>
                <w:rFonts w:hint="default" w:ascii="Times New Roman" w:hAnsi="Times New Roman" w:cs="Times New Roman"/>
                <w:color w:val="auto"/>
              </w:rPr>
              <w:t>两高</w:t>
            </w:r>
            <w:r>
              <w:rPr>
                <w:rFonts w:hint="eastAsia" w:ascii="Times New Roman" w:hAnsi="Times New Roman" w:cs="Times New Roman"/>
                <w:color w:val="auto"/>
                <w:lang w:eastAsia="zh-CN"/>
              </w:rPr>
              <w:t>”</w:t>
            </w:r>
            <w:r>
              <w:rPr>
                <w:rFonts w:hint="default" w:ascii="Times New Roman" w:hAnsi="Times New Roman" w:cs="Times New Roman"/>
                <w:color w:val="auto"/>
              </w:rPr>
              <w:t>项目</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且</w:t>
            </w:r>
            <w:r>
              <w:rPr>
                <w:rFonts w:hint="default" w:ascii="Times New Roman" w:hAnsi="Times New Roman" w:cs="Times New Roman"/>
                <w:color w:val="auto"/>
              </w:rPr>
              <w:t>项目已于202</w:t>
            </w:r>
            <w:r>
              <w:rPr>
                <w:rFonts w:hint="eastAsia" w:cs="Times New Roman"/>
                <w:color w:val="auto"/>
                <w:lang w:val="en-US" w:eastAsia="zh-CN"/>
              </w:rPr>
              <w:t>4</w:t>
            </w:r>
            <w:r>
              <w:rPr>
                <w:rFonts w:hint="default" w:ascii="Times New Roman" w:hAnsi="Times New Roman" w:cs="Times New Roman"/>
                <w:color w:val="auto"/>
              </w:rPr>
              <w:t>年</w:t>
            </w:r>
            <w:r>
              <w:rPr>
                <w:rFonts w:hint="eastAsia" w:cs="Times New Roman"/>
                <w:color w:val="auto"/>
                <w:lang w:val="en-US" w:eastAsia="zh-CN"/>
              </w:rPr>
              <w:t>1</w:t>
            </w:r>
            <w:r>
              <w:rPr>
                <w:rFonts w:hint="default" w:ascii="Times New Roman" w:hAnsi="Times New Roman" w:cs="Times New Roman"/>
                <w:color w:val="auto"/>
              </w:rPr>
              <w:t>月</w:t>
            </w:r>
            <w:r>
              <w:rPr>
                <w:rFonts w:hint="eastAsia" w:ascii="Times New Roman" w:hAnsi="Times New Roman" w:cs="Times New Roman"/>
                <w:color w:val="auto"/>
                <w:lang w:val="en-US" w:eastAsia="zh-CN"/>
              </w:rPr>
              <w:t>2</w:t>
            </w:r>
            <w:r>
              <w:rPr>
                <w:rFonts w:hint="eastAsia" w:cs="Times New Roman"/>
                <w:color w:val="auto"/>
                <w:lang w:val="en-US" w:eastAsia="zh-CN"/>
              </w:rPr>
              <w:t>5</w:t>
            </w:r>
            <w:r>
              <w:rPr>
                <w:rFonts w:hint="default" w:ascii="Times New Roman" w:hAnsi="Times New Roman" w:cs="Times New Roman"/>
                <w:color w:val="auto"/>
              </w:rPr>
              <w:t>日取得</w:t>
            </w:r>
            <w:r>
              <w:rPr>
                <w:rFonts w:hint="eastAsia" w:ascii="Times New Roman" w:hAnsi="Times New Roman" w:cs="Times New Roman"/>
                <w:color w:val="auto"/>
                <w:lang w:val="en-US" w:eastAsia="zh-CN"/>
              </w:rPr>
              <w:t>霍山县</w:t>
            </w:r>
            <w:r>
              <w:rPr>
                <w:rFonts w:hint="eastAsia" w:ascii="Times New Roman" w:hAnsi="Times New Roman" w:cs="Times New Roman"/>
                <w:color w:val="auto"/>
                <w:lang w:eastAsia="zh-CN"/>
              </w:rPr>
              <w:t>发展和改革委员会</w:t>
            </w:r>
            <w:r>
              <w:rPr>
                <w:rFonts w:hint="eastAsia" w:ascii="Times New Roman" w:hAnsi="Times New Roman" w:cs="Times New Roman"/>
                <w:color w:val="auto"/>
                <w:lang w:val="en-US" w:eastAsia="zh-CN"/>
              </w:rPr>
              <w:t>对</w:t>
            </w:r>
            <w:r>
              <w:rPr>
                <w:rFonts w:hint="default" w:ascii="Times New Roman" w:hAnsi="Times New Roman" w:cs="Times New Roman"/>
                <w:color w:val="auto"/>
              </w:rPr>
              <w:t>该项目备案（</w:t>
            </w:r>
            <w:r>
              <w:rPr>
                <w:rFonts w:hint="eastAsia" w:ascii="Times New Roman" w:hAnsi="Times New Roman" w:cs="Times New Roman"/>
                <w:color w:val="auto"/>
                <w:lang w:eastAsia="zh-CN"/>
              </w:rPr>
              <w:t>项目代码</w:t>
            </w:r>
            <w:r>
              <w:rPr>
                <w:rFonts w:hint="default" w:ascii="Times New Roman" w:hAnsi="Times New Roman" w:cs="Times New Roman"/>
                <w:color w:val="auto"/>
                <w:sz w:val="24"/>
                <w:szCs w:val="22"/>
                <w:vertAlign w:val="baseline"/>
                <w:lang w:val="en-US"/>
              </w:rPr>
              <w:t>2307-341525-04-01-788123</w:t>
            </w:r>
            <w:r>
              <w:rPr>
                <w:rFonts w:hint="default" w:ascii="Times New Roman" w:hAnsi="Times New Roman" w:cs="Times New Roman"/>
                <w:color w:val="auto"/>
              </w:rPr>
              <w:t>）。</w:t>
            </w:r>
          </w:p>
          <w:p w14:paraId="7A21AA1D">
            <w:pPr>
              <w:spacing w:line="360" w:lineRule="auto"/>
              <w:ind w:firstLine="480" w:firstLineChars="200"/>
              <w:jc w:val="both"/>
              <w:rPr>
                <w:rFonts w:hint="default" w:ascii="Times New Roman" w:hAnsi="Times New Roman" w:cs="Times New Roman"/>
                <w:color w:val="auto"/>
              </w:rPr>
            </w:pPr>
            <w:r>
              <w:rPr>
                <w:rFonts w:hint="default" w:ascii="Times New Roman" w:hAnsi="Times New Roman" w:cs="Times New Roman"/>
                <w:color w:val="auto"/>
              </w:rPr>
              <w:t>综上所述，本项目符合国家及地方相关产业政策及法律法规要求。</w:t>
            </w:r>
          </w:p>
          <w:p w14:paraId="55D9058A">
            <w:pPr>
              <w:spacing w:line="360" w:lineRule="auto"/>
              <w:ind w:firstLine="482" w:firstLineChars="200"/>
              <w:jc w:val="both"/>
              <w:rPr>
                <w:rFonts w:hint="default" w:ascii="Times New Roman" w:hAnsi="Times New Roman" w:cs="Times New Roman"/>
                <w:b/>
                <w:bCs/>
                <w:color w:val="auto"/>
                <w:sz w:val="24"/>
                <w:szCs w:val="24"/>
                <w:lang w:eastAsia="zh-CN"/>
              </w:rPr>
            </w:pPr>
            <w:r>
              <w:rPr>
                <w:rFonts w:hint="eastAsia" w:cs="Times New Roman"/>
                <w:b/>
                <w:bCs/>
                <w:color w:val="auto"/>
                <w:sz w:val="24"/>
                <w:szCs w:val="24"/>
                <w:lang w:val="en-US" w:eastAsia="zh-CN"/>
              </w:rPr>
              <w:t>2、项目与“生态环境分区管控”以及</w:t>
            </w:r>
            <w:r>
              <w:rPr>
                <w:rFonts w:hint="eastAsia" w:cs="Times New Roman"/>
                <w:b/>
                <w:bCs/>
                <w:color w:val="auto"/>
                <w:sz w:val="24"/>
                <w:szCs w:val="24"/>
                <w:lang w:eastAsia="zh-CN"/>
              </w:rPr>
              <w:t>“</w:t>
            </w:r>
            <w:r>
              <w:rPr>
                <w:rFonts w:hint="default" w:ascii="Times New Roman" w:hAnsi="Times New Roman" w:cs="Times New Roman"/>
                <w:b/>
                <w:bCs/>
                <w:color w:val="auto"/>
                <w:sz w:val="24"/>
                <w:szCs w:val="24"/>
                <w:lang w:eastAsia="zh-CN"/>
              </w:rPr>
              <w:t>三线一单</w:t>
            </w:r>
            <w:r>
              <w:rPr>
                <w:rFonts w:hint="eastAsia" w:cs="Times New Roman"/>
                <w:b/>
                <w:bCs/>
                <w:color w:val="auto"/>
                <w:sz w:val="24"/>
                <w:szCs w:val="24"/>
                <w:lang w:eastAsia="zh-CN"/>
              </w:rPr>
              <w:t>”</w:t>
            </w:r>
            <w:r>
              <w:rPr>
                <w:rFonts w:hint="eastAsia" w:cs="Times New Roman"/>
                <w:b/>
                <w:bCs/>
                <w:color w:val="auto"/>
                <w:sz w:val="24"/>
                <w:szCs w:val="24"/>
                <w:lang w:val="en-US" w:eastAsia="zh-CN"/>
              </w:rPr>
              <w:t>的</w:t>
            </w:r>
            <w:r>
              <w:rPr>
                <w:rFonts w:hint="default" w:ascii="Times New Roman" w:hAnsi="Times New Roman" w:cs="Times New Roman"/>
                <w:b/>
                <w:bCs/>
                <w:color w:val="auto"/>
                <w:sz w:val="24"/>
                <w:szCs w:val="24"/>
                <w:lang w:eastAsia="zh-CN"/>
              </w:rPr>
              <w:t>符合性分析</w:t>
            </w:r>
          </w:p>
          <w:p w14:paraId="638EE302">
            <w:pPr>
              <w:spacing w:line="360" w:lineRule="auto"/>
              <w:ind w:firstLine="480" w:firstLineChars="200"/>
              <w:jc w:val="both"/>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通过查询安徽省“三线一单”公众服务平台，本项目所在地环境管控单元编码为</w:t>
            </w:r>
            <w:r>
              <w:rPr>
                <w:rFonts w:hint="default" w:ascii="Times New Roman" w:hAnsi="Times New Roman" w:cs="Times New Roman"/>
                <w:color w:val="auto"/>
                <w:lang w:val="en-US" w:eastAsia="zh-CN"/>
              </w:rPr>
              <w:t>ZH34152520103</w:t>
            </w:r>
            <w:r>
              <w:rPr>
                <w:rFonts w:hint="eastAsia" w:ascii="Times New Roman" w:hAnsi="Times New Roman" w:cs="Times New Roman"/>
                <w:color w:val="auto"/>
                <w:lang w:val="en-US" w:eastAsia="zh-CN"/>
              </w:rPr>
              <w:t>，属于重点管控单元</w:t>
            </w:r>
            <w:r>
              <w:rPr>
                <w:rFonts w:hint="eastAsia" w:cs="Times New Roman"/>
                <w:color w:val="auto"/>
                <w:lang w:val="en-US" w:eastAsia="zh-CN"/>
              </w:rPr>
              <w:t>（详见附图8）</w:t>
            </w:r>
            <w:r>
              <w:rPr>
                <w:rFonts w:hint="eastAsia" w:ascii="Times New Roman" w:hAnsi="Times New Roman" w:cs="Times New Roman"/>
                <w:color w:val="auto"/>
                <w:lang w:val="en-US" w:eastAsia="zh-CN"/>
              </w:rPr>
              <w:t>。项目所在区域为环巢湖生态示范区</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重点管控单元</w:t>
            </w:r>
            <w:r>
              <w:rPr>
                <w:rFonts w:hint="default" w:ascii="Times New Roman" w:hAnsi="Times New Roman" w:cs="Times New Roman"/>
                <w:color w:val="auto"/>
                <w:lang w:val="en-US" w:eastAsia="zh-CN"/>
              </w:rPr>
              <w:t>18</w:t>
            </w:r>
            <w:r>
              <w:rPr>
                <w:rFonts w:hint="eastAsia" w:ascii="Times New Roman" w:hAnsi="Times New Roman" w:cs="Times New Roman"/>
                <w:color w:val="auto"/>
                <w:lang w:val="en-US" w:eastAsia="zh-CN"/>
              </w:rPr>
              <w:t>和皖西大别山生态屏障区</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重点管控单元</w:t>
            </w:r>
            <w:r>
              <w:rPr>
                <w:rFonts w:hint="default" w:ascii="Times New Roman" w:hAnsi="Times New Roman" w:cs="Times New Roman"/>
                <w:color w:val="auto"/>
                <w:lang w:val="en-US" w:eastAsia="zh-CN"/>
              </w:rPr>
              <w:t>17</w:t>
            </w:r>
            <w:r>
              <w:rPr>
                <w:rFonts w:hint="eastAsia" w:ascii="Times New Roman" w:hAnsi="Times New Roman" w:cs="Times New Roman"/>
                <w:color w:val="auto"/>
                <w:lang w:val="en-US" w:eastAsia="zh-CN"/>
              </w:rPr>
              <w:t>。</w:t>
            </w:r>
          </w:p>
          <w:p w14:paraId="30866E5B">
            <w:pPr>
              <w:spacing w:line="360" w:lineRule="auto"/>
              <w:jc w:val="both"/>
              <w:rPr>
                <w:rFonts w:hint="eastAsia" w:cs="Times New Roman"/>
                <w:color w:val="auto"/>
                <w:lang w:val="en-US" w:eastAsia="zh-CN"/>
              </w:rPr>
            </w:pPr>
            <w:r>
              <w:rPr>
                <w:sz w:val="24"/>
              </w:rPr>
              <mc:AlternateContent>
                <mc:Choice Requires="wps">
                  <w:drawing>
                    <wp:anchor distT="0" distB="0" distL="114300" distR="114300" simplePos="0" relativeHeight="251662336" behindDoc="0" locked="0" layoutInCell="1" allowOverlap="1">
                      <wp:simplePos x="0" y="0"/>
                      <wp:positionH relativeFrom="column">
                        <wp:posOffset>2032635</wp:posOffset>
                      </wp:positionH>
                      <wp:positionV relativeFrom="paragraph">
                        <wp:posOffset>715645</wp:posOffset>
                      </wp:positionV>
                      <wp:extent cx="800100" cy="325120"/>
                      <wp:effectExtent l="12700" t="12700" r="44450" b="347980"/>
                      <wp:wrapNone/>
                      <wp:docPr id="53" name="矩形标注 53"/>
                      <wp:cNvGraphicFramePr/>
                      <a:graphic xmlns:a="http://schemas.openxmlformats.org/drawingml/2006/main">
                        <a:graphicData uri="http://schemas.microsoft.com/office/word/2010/wordprocessingShape">
                          <wps:wsp>
                            <wps:cNvSpPr/>
                            <wps:spPr>
                              <a:xfrm>
                                <a:off x="3411220" y="4549775"/>
                                <a:ext cx="800100" cy="325120"/>
                              </a:xfrm>
                              <a:prstGeom prst="wedgeRectCallout">
                                <a:avLst>
                                  <a:gd name="adj1" fmla="val 53174"/>
                                  <a:gd name="adj2" fmla="val 153125"/>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5235EF04">
                                  <w:pPr>
                                    <w:jc w:val="center"/>
                                    <w:rPr>
                                      <w:rFonts w:hint="default" w:eastAsia="宋体"/>
                                      <w:b/>
                                      <w:bCs/>
                                      <w:color w:val="FF0000"/>
                                      <w:sz w:val="21"/>
                                      <w:szCs w:val="21"/>
                                      <w:lang w:val="en-US" w:eastAsia="zh-CN"/>
                                    </w:rPr>
                                  </w:pPr>
                                  <w:r>
                                    <w:rPr>
                                      <w:rFonts w:hint="eastAsia"/>
                                      <w:b/>
                                      <w:bCs/>
                                      <w:color w:val="FF0000"/>
                                      <w:sz w:val="21"/>
                                      <w:szCs w:val="21"/>
                                      <w:lang w:val="en-US" w:eastAsia="zh-CN"/>
                                    </w:rPr>
                                    <w:t>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60.05pt;margin-top:56.35pt;height:25.6pt;width:63pt;z-index:251662336;v-text-anchor:middle;mso-width-relative:page;mso-height-relative:page;" filled="f" stroked="t" coordsize="21600,21600" o:gfxdata="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AkQkNd2QAAAAsBAAAPAAAAAAAAAAEAIAAAACIAAABkcnMvZG93bnJl&#10;di54bWxQSwECFAAUAAAACACHTuJA60xY7qcCAAAwBQAADgAAAAAAAAABACAAAAAoAQAAZHJzL2Uy&#10;b0RvYy54bWxQSwUGAAAAAAYABgBZAQAAQQYAAAAA&#10;" adj="22286,43875">
                      <v:fill on="f" focussize="0,0"/>
                      <v:stroke weight="2pt" color="#FF0000 [2404]" joinstyle="round"/>
                      <v:imagedata o:title=""/>
                      <o:lock v:ext="edit" aspectratio="f"/>
                      <v:textbox>
                        <w:txbxContent>
                          <w:p w14:paraId="5235EF04">
                            <w:pPr>
                              <w:jc w:val="center"/>
                              <w:rPr>
                                <w:rFonts w:hint="default" w:eastAsia="宋体"/>
                                <w:b/>
                                <w:bCs/>
                                <w:color w:val="FF0000"/>
                                <w:sz w:val="21"/>
                                <w:szCs w:val="21"/>
                                <w:lang w:val="en-US" w:eastAsia="zh-CN"/>
                              </w:rPr>
                            </w:pPr>
                            <w:r>
                              <w:rPr>
                                <w:rFonts w:hint="eastAsia"/>
                                <w:b/>
                                <w:bCs/>
                                <w:color w:val="FF0000"/>
                                <w:sz w:val="21"/>
                                <w:szCs w:val="21"/>
                                <w:lang w:val="en-US" w:eastAsia="zh-CN"/>
                              </w:rPr>
                              <w:t>项目位置</w:t>
                            </w:r>
                          </w:p>
                        </w:txbxContent>
                      </v:textbox>
                    </v:shape>
                  </w:pict>
                </mc:Fallback>
              </mc:AlternateContent>
            </w:r>
            <w:r>
              <w:rPr>
                <w:rFonts w:hint="eastAsia" w:cs="Times New Roman"/>
                <w:color w:val="auto"/>
                <w:lang w:val="en-US" w:eastAsia="zh-CN"/>
              </w:rPr>
              <w:drawing>
                <wp:inline distT="0" distB="0" distL="114300" distR="114300">
                  <wp:extent cx="5266690" cy="2523490"/>
                  <wp:effectExtent l="0" t="0" r="10160" b="10160"/>
                  <wp:docPr id="50" name="图片 50" descr="8bcba0139ca4cdda50101a9c4e3d7c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8bcba0139ca4cdda50101a9c4e3d7c2b"/>
                          <pic:cNvPicPr>
                            <a:picLocks noChangeAspect="1"/>
                          </pic:cNvPicPr>
                        </pic:nvPicPr>
                        <pic:blipFill>
                          <a:blip r:embed="rId8"/>
                          <a:stretch>
                            <a:fillRect/>
                          </a:stretch>
                        </pic:blipFill>
                        <pic:spPr>
                          <a:xfrm>
                            <a:off x="0" y="0"/>
                            <a:ext cx="5266690" cy="2523490"/>
                          </a:xfrm>
                          <a:prstGeom prst="rect">
                            <a:avLst/>
                          </a:prstGeom>
                        </pic:spPr>
                      </pic:pic>
                    </a:graphicData>
                  </a:graphic>
                </wp:inline>
              </w:drawing>
            </w:r>
          </w:p>
          <w:p w14:paraId="44556B6E">
            <w:pPr>
              <w:spacing w:line="360" w:lineRule="auto"/>
              <w:jc w:val="center"/>
              <w:rPr>
                <w:rFonts w:hint="default" w:ascii="Times New Roman" w:hAnsi="Times New Roman" w:cs="Times New Roman"/>
                <w:b/>
                <w:bCs w:val="0"/>
                <w:color w:val="auto"/>
                <w:sz w:val="24"/>
                <w:szCs w:val="24"/>
                <w:lang w:val="en-US" w:eastAsia="zh-CN"/>
              </w:rPr>
            </w:pPr>
            <w:r>
              <w:rPr>
                <w:rFonts w:hint="eastAsia"/>
                <w:b/>
                <w:bCs/>
                <w:lang w:val="en-US" w:eastAsia="zh-CN"/>
              </w:rPr>
              <w:t>图1-1  建设项目在安徽省“三线一单”公众服务平台环境管控单元中位置图</w:t>
            </w:r>
          </w:p>
          <w:p w14:paraId="03BF17D4">
            <w:pPr>
              <w:spacing w:line="360" w:lineRule="auto"/>
              <w:ind w:firstLine="480" w:firstLineChars="200"/>
              <w:jc w:val="both"/>
              <w:rPr>
                <w:rFonts w:hint="eastAsia" w:ascii="Times New Roman" w:hAnsi="Times New Roman" w:cs="Times New Roman"/>
                <w:color w:val="auto"/>
                <w:lang w:val="en-US" w:eastAsia="zh-CN"/>
              </w:rPr>
            </w:pPr>
            <w:r>
              <w:rPr>
                <w:rFonts w:hint="eastAsia" w:cs="Times New Roman"/>
                <w:color w:val="auto"/>
                <w:lang w:val="en-US" w:eastAsia="zh-CN"/>
              </w:rPr>
              <w:t>（1）</w:t>
            </w:r>
            <w:r>
              <w:rPr>
                <w:rFonts w:hint="eastAsia" w:ascii="Times New Roman" w:hAnsi="Times New Roman" w:cs="Times New Roman"/>
                <w:color w:val="auto"/>
                <w:lang w:val="en-US" w:eastAsia="zh-CN"/>
              </w:rPr>
              <w:t xml:space="preserve">水环境分区管控要求 </w:t>
            </w:r>
          </w:p>
          <w:p w14:paraId="2EF48480">
            <w:pPr>
              <w:spacing w:line="360" w:lineRule="auto"/>
              <w:ind w:firstLine="480" w:firstLineChars="200"/>
              <w:jc w:val="both"/>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根据《安徽省六安市“三线一单”文本》，本项目所在区域属于水环境重点管控区。</w:t>
            </w:r>
          </w:p>
          <w:p w14:paraId="38D13325">
            <w:pPr>
              <w:pStyle w:val="2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cs="Times New Roman"/>
                <w:b/>
                <w:bCs w:val="0"/>
                <w:color w:val="auto"/>
                <w:sz w:val="24"/>
                <w:szCs w:val="24"/>
                <w:lang w:val="en-US" w:eastAsia="zh-CN"/>
              </w:rPr>
            </w:pPr>
            <w:r>
              <w:rPr>
                <w:rFonts w:hint="default" w:ascii="Times New Roman" w:hAnsi="Times New Roman" w:eastAsia="宋体" w:cs="Times New Roman"/>
                <w:b/>
                <w:bCs w:val="0"/>
                <w:color w:val="auto"/>
                <w:sz w:val="24"/>
                <w:szCs w:val="24"/>
                <w:lang w:val="en-US" w:eastAsia="zh-CN"/>
              </w:rPr>
              <w:t>表1-</w:t>
            </w:r>
            <w:r>
              <w:rPr>
                <w:rFonts w:hint="eastAsia" w:cs="Times New Roman"/>
                <w:b/>
                <w:bCs w:val="0"/>
                <w:color w:val="auto"/>
                <w:sz w:val="24"/>
                <w:szCs w:val="24"/>
                <w:lang w:val="en-US" w:eastAsia="zh-CN"/>
              </w:rPr>
              <w:t>1</w:t>
            </w:r>
            <w:r>
              <w:rPr>
                <w:rFonts w:hint="eastAsia" w:eastAsia="宋体" w:cs="Times New Roman"/>
                <w:b/>
                <w:bCs w:val="0"/>
                <w:color w:val="auto"/>
                <w:sz w:val="24"/>
                <w:szCs w:val="24"/>
                <w:lang w:val="en-US" w:eastAsia="zh-CN"/>
              </w:rPr>
              <w:t xml:space="preserve">  </w:t>
            </w:r>
            <w:r>
              <w:rPr>
                <w:rFonts w:hint="eastAsia" w:cs="Times New Roman"/>
                <w:b/>
                <w:bCs w:val="0"/>
                <w:color w:val="auto"/>
                <w:sz w:val="24"/>
                <w:szCs w:val="24"/>
                <w:lang w:val="en-US" w:eastAsia="zh-CN"/>
              </w:rPr>
              <w:t>与水环境分区管控要求的协调性分析</w:t>
            </w:r>
          </w:p>
          <w:tbl>
            <w:tblPr>
              <w:tblStyle w:val="27"/>
              <w:tblW w:w="83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7"/>
              <w:gridCol w:w="4730"/>
              <w:gridCol w:w="2007"/>
            </w:tblGrid>
            <w:tr w14:paraId="75D68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7" w:type="dxa"/>
                  <w:vAlign w:val="center"/>
                </w:tcPr>
                <w:p w14:paraId="79FA9A3C">
                  <w:pPr>
                    <w:pStyle w:val="2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管控单元分类</w:t>
                  </w:r>
                </w:p>
              </w:tc>
              <w:tc>
                <w:tcPr>
                  <w:tcW w:w="4730" w:type="dxa"/>
                  <w:vAlign w:val="center"/>
                </w:tcPr>
                <w:p w14:paraId="1A11F866">
                  <w:pPr>
                    <w:pStyle w:val="2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环境管控要求</w:t>
                  </w:r>
                </w:p>
              </w:tc>
              <w:tc>
                <w:tcPr>
                  <w:tcW w:w="2007" w:type="dxa"/>
                  <w:vAlign w:val="center"/>
                </w:tcPr>
                <w:p w14:paraId="4001FCD2">
                  <w:pPr>
                    <w:pStyle w:val="2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协调性分析</w:t>
                  </w:r>
                </w:p>
              </w:tc>
            </w:tr>
            <w:tr w14:paraId="3ECE6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7" w:type="dxa"/>
                  <w:vAlign w:val="center"/>
                </w:tcPr>
                <w:p w14:paraId="5CA69B24">
                  <w:pPr>
                    <w:pStyle w:val="2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重点管控区</w:t>
                  </w:r>
                </w:p>
              </w:tc>
              <w:tc>
                <w:tcPr>
                  <w:tcW w:w="4730" w:type="dxa"/>
                  <w:vAlign w:val="center"/>
                </w:tcPr>
                <w:p w14:paraId="0D2388F9">
                  <w:pPr>
                    <w:keepNext w:val="0"/>
                    <w:keepLines w:val="0"/>
                    <w:widowControl/>
                    <w:suppressLineNumbers w:val="0"/>
                    <w:jc w:val="left"/>
                    <w:rPr>
                      <w:rFonts w:hint="default" w:cs="Times New Roman"/>
                      <w:b w:val="0"/>
                      <w:bCs/>
                      <w:color w:val="auto"/>
                      <w:sz w:val="21"/>
                      <w:szCs w:val="21"/>
                      <w:vertAlign w:val="baseline"/>
                      <w:lang w:val="en-US" w:eastAsia="zh-CN"/>
                    </w:rPr>
                  </w:pPr>
                  <w:r>
                    <w:rPr>
                      <w:rFonts w:hint="eastAsia" w:ascii="宋体" w:hAnsi="宋体" w:eastAsia="宋体" w:cs="宋体"/>
                      <w:color w:val="000000"/>
                      <w:kern w:val="0"/>
                      <w:sz w:val="21"/>
                      <w:szCs w:val="21"/>
                      <w:lang w:val="en-US" w:eastAsia="zh-CN" w:bidi="ar"/>
                    </w:rPr>
                    <w:t>依据《中华人民共和国水污染防治法》《水污染防治行动计划》《安徽省水污染防治工作方案》及六安市水污染防治工作方案对重点管控区实施管控；依据《安徽省淮河流域水污染防治条例》对淮河流域实施管控；依据《巢湖流域水污染防治条例》对巢湖流域实施管控；依据开发区规划、规划环评及审查意见相关要求对开发区实施管控；依据《“十四五”城市黑臭水体整治环境保护行动方案》中相关要求对直接影响城市建成区水体治理成效的区域进行管控；落实《六安市“十四五”生态环境保护规划》《六安市“十四五”水生态环境保护规划要点》《安徽省“十四五”节能减排实施方案》《安徽省“十四五”重点流域水生态环境保护规划》等要求，新建、改建和扩建项目水污染物实施“等量替代”。</w:t>
                  </w:r>
                </w:p>
              </w:tc>
              <w:tc>
                <w:tcPr>
                  <w:tcW w:w="2007" w:type="dxa"/>
                  <w:vAlign w:val="center"/>
                </w:tcPr>
                <w:p w14:paraId="241D48F5">
                  <w:pPr>
                    <w:keepNext w:val="0"/>
                    <w:keepLines w:val="0"/>
                    <w:widowControl/>
                    <w:suppressLineNumbers w:val="0"/>
                    <w:jc w:val="left"/>
                    <w:rPr>
                      <w:rFonts w:hint="default" w:cs="Times New Roman"/>
                      <w:b w:val="0"/>
                      <w:bCs/>
                      <w:color w:val="auto"/>
                      <w:sz w:val="21"/>
                      <w:szCs w:val="21"/>
                      <w:vertAlign w:val="baseline"/>
                      <w:lang w:val="en-US" w:eastAsia="zh-CN"/>
                    </w:rPr>
                  </w:pPr>
                  <w:r>
                    <w:rPr>
                      <w:rFonts w:hint="eastAsia" w:ascii="宋体" w:hAnsi="宋体" w:eastAsia="宋体" w:cs="宋体"/>
                      <w:color w:val="000000"/>
                      <w:kern w:val="0"/>
                      <w:sz w:val="21"/>
                      <w:szCs w:val="21"/>
                      <w:lang w:val="en-US" w:eastAsia="zh-CN" w:bidi="ar"/>
                    </w:rPr>
                    <w:t>建设项目符合《六安市“十四五”生态环境保护规划》等文件要求，</w:t>
                  </w:r>
                  <w:r>
                    <w:rPr>
                      <w:rFonts w:hint="eastAsia" w:ascii="宋体" w:hAnsi="宋体" w:eastAsia="宋体" w:cs="宋体"/>
                      <w:color w:val="auto"/>
                      <w:kern w:val="0"/>
                      <w:sz w:val="21"/>
                      <w:szCs w:val="21"/>
                      <w:lang w:val="en-US" w:eastAsia="zh-CN" w:bidi="ar"/>
                    </w:rPr>
                    <w:t>不属于禁止、限制建设行业。项目</w:t>
                  </w:r>
                  <w:r>
                    <w:rPr>
                      <w:rFonts w:hint="eastAsia"/>
                      <w:color w:val="auto"/>
                      <w:sz w:val="21"/>
                      <w:szCs w:val="21"/>
                      <w:lang w:val="en-US" w:eastAsia="zh-CN"/>
                    </w:rPr>
                    <w:t>循环</w:t>
                  </w:r>
                  <w:r>
                    <w:rPr>
                      <w:color w:val="auto"/>
                      <w:sz w:val="21"/>
                      <w:szCs w:val="21"/>
                    </w:rPr>
                    <w:t>冷却</w:t>
                  </w:r>
                  <w:r>
                    <w:rPr>
                      <w:rFonts w:hint="eastAsia"/>
                      <w:color w:val="auto"/>
                      <w:sz w:val="21"/>
                      <w:szCs w:val="21"/>
                      <w:lang w:val="en-US" w:eastAsia="zh-CN"/>
                    </w:rPr>
                    <w:t>水循环使用，不外排；</w:t>
                  </w:r>
                  <w:r>
                    <w:rPr>
                      <w:rFonts w:hint="eastAsia" w:ascii="宋体" w:hAnsi="宋体" w:eastAsia="宋体" w:cs="宋体"/>
                      <w:color w:val="auto"/>
                      <w:kern w:val="0"/>
                      <w:sz w:val="21"/>
                      <w:szCs w:val="21"/>
                      <w:lang w:val="en-US" w:eastAsia="zh-CN" w:bidi="ar"/>
                    </w:rPr>
                    <w:t>生活污水</w:t>
                  </w:r>
                  <w:r>
                    <w:rPr>
                      <w:rFonts w:hint="eastAsia" w:ascii="宋体" w:hAnsi="宋体" w:cs="宋体"/>
                      <w:color w:val="auto"/>
                      <w:kern w:val="0"/>
                      <w:sz w:val="21"/>
                      <w:szCs w:val="21"/>
                      <w:lang w:val="en-US" w:eastAsia="zh-CN" w:bidi="ar"/>
                    </w:rPr>
                    <w:t>经隔油池、化粪池处理后定期清掏肥田不外排。</w:t>
                  </w:r>
                </w:p>
              </w:tc>
            </w:tr>
          </w:tbl>
          <w:p w14:paraId="57B49868">
            <w:pPr>
              <w:pStyle w:val="2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cs="Times New Roman"/>
                <w:b/>
                <w:bCs w:val="0"/>
                <w:color w:val="auto"/>
                <w:sz w:val="21"/>
                <w:szCs w:val="20"/>
                <w:lang w:val="en-US" w:eastAsia="zh-CN"/>
              </w:rPr>
            </w:pPr>
            <w:r>
              <w:rPr>
                <w:sz w:val="28"/>
              </w:rPr>
              <mc:AlternateContent>
                <mc:Choice Requires="wps">
                  <w:drawing>
                    <wp:anchor distT="0" distB="0" distL="114300" distR="114300" simplePos="0" relativeHeight="251666432" behindDoc="0" locked="0" layoutInCell="1" allowOverlap="1">
                      <wp:simplePos x="0" y="0"/>
                      <wp:positionH relativeFrom="column">
                        <wp:posOffset>913130</wp:posOffset>
                      </wp:positionH>
                      <wp:positionV relativeFrom="paragraph">
                        <wp:posOffset>1462405</wp:posOffset>
                      </wp:positionV>
                      <wp:extent cx="825500" cy="349250"/>
                      <wp:effectExtent l="0" t="0" r="0" b="0"/>
                      <wp:wrapNone/>
                      <wp:docPr id="103" name="文本框 103"/>
                      <wp:cNvGraphicFramePr/>
                      <a:graphic xmlns:a="http://schemas.openxmlformats.org/drawingml/2006/main">
                        <a:graphicData uri="http://schemas.microsoft.com/office/word/2010/wordprocessingShape">
                          <wps:wsp>
                            <wps:cNvSpPr txBox="1"/>
                            <wps:spPr>
                              <a:xfrm>
                                <a:off x="3688715" y="3684905"/>
                                <a:ext cx="825500" cy="3492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55F358">
                                  <w:pPr>
                                    <w:rPr>
                                      <w:rFonts w:hint="eastAsia" w:eastAsia="宋体"/>
                                      <w:b/>
                                      <w:bCs/>
                                      <w:color w:val="FF0000"/>
                                      <w:lang w:val="en-US" w:eastAsia="zh-CN"/>
                                    </w:rPr>
                                  </w:pPr>
                                  <w:r>
                                    <w:rPr>
                                      <w:rFonts w:hint="eastAsia"/>
                                      <w:b/>
                                      <w:bCs/>
                                      <w:color w:val="FF0000"/>
                                      <w:lang w:val="en-US" w:eastAsia="zh-CN"/>
                                    </w:rPr>
                                    <w:t>本项目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1.9pt;margin-top:115.15pt;height:27.5pt;width:65pt;z-index:251666432;mso-width-relative:page;mso-height-relative:page;" filled="f" stroked="f" coordsize="21600,21600" o:gfxdata="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EhJyqzbAAAACwEAAA8AAAAAAAAA&#10;AQAgAAAAIgAAAGRycy9kb3ducmV2LnhtbFBLAQIUABQAAAAIAIdO4kCHjIsNRwIAAHUEAAAOAAAA&#10;AAAAAAEAIAAAACoBAABkcnMvZTJvRG9jLnhtbFBLBQYAAAAABgAGAFkBAADjBQAAAAA=&#10;">
                      <v:fill on="f" focussize="0,0"/>
                      <v:stroke on="f" weight="0.5pt"/>
                      <v:imagedata o:title=""/>
                      <o:lock v:ext="edit" aspectratio="f"/>
                      <v:textbox>
                        <w:txbxContent>
                          <w:p w14:paraId="5A55F358">
                            <w:pPr>
                              <w:rPr>
                                <w:rFonts w:hint="eastAsia" w:eastAsia="宋体"/>
                                <w:b/>
                                <w:bCs/>
                                <w:color w:val="FF0000"/>
                                <w:lang w:val="en-US" w:eastAsia="zh-CN"/>
                              </w:rPr>
                            </w:pPr>
                            <w:r>
                              <w:rPr>
                                <w:rFonts w:hint="eastAsia"/>
                                <w:b/>
                                <w:bCs/>
                                <w:color w:val="FF0000"/>
                                <w:lang w:val="en-US" w:eastAsia="zh-CN"/>
                              </w:rPr>
                              <w:t>本项目</w:t>
                            </w:r>
                          </w:p>
                        </w:txbxContent>
                      </v:textbox>
                    </v:shape>
                  </w:pict>
                </mc:Fallback>
              </mc:AlternateContent>
            </w:r>
            <w:r>
              <w:rPr>
                <w:sz w:val="28"/>
              </w:rPr>
              <mc:AlternateContent>
                <mc:Choice Requires="wps">
                  <w:drawing>
                    <wp:anchor distT="0" distB="0" distL="114300" distR="114300" simplePos="0" relativeHeight="251667456" behindDoc="0" locked="0" layoutInCell="1" allowOverlap="1">
                      <wp:simplePos x="0" y="0"/>
                      <wp:positionH relativeFrom="column">
                        <wp:posOffset>1230630</wp:posOffset>
                      </wp:positionH>
                      <wp:positionV relativeFrom="paragraph">
                        <wp:posOffset>1703705</wp:posOffset>
                      </wp:positionV>
                      <wp:extent cx="128905" cy="113030"/>
                      <wp:effectExtent l="12700" t="12700" r="29845" b="26670"/>
                      <wp:wrapNone/>
                      <wp:docPr id="104" name="五角星 104"/>
                      <wp:cNvGraphicFramePr/>
                      <a:graphic xmlns:a="http://schemas.openxmlformats.org/drawingml/2006/main">
                        <a:graphicData uri="http://schemas.microsoft.com/office/word/2010/wordprocessingShape">
                          <wps:wsp>
                            <wps:cNvSpPr/>
                            <wps:spPr>
                              <a:xfrm>
                                <a:off x="2736215" y="3990975"/>
                                <a:ext cx="128905" cy="113030"/>
                              </a:xfrm>
                              <a:prstGeom prst="star5">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96.9pt;margin-top:134.15pt;height:8.9pt;width:10.15pt;z-index:251667456;v-text-anchor:middle;mso-width-relative:page;mso-height-relative:page;" fillcolor="#FF0000" filled="t" stroked="t" coordsize="128905,113030" o:gfxdata="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&#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AgrvRjYAAAACwEAAA8AAAAAAAAAAQAgAAAAIgAAAGRy&#10;cy9kb3ducmV2LnhtbFBLAQIUABQAAAAIAIdO4kAhhczldwIAAPAEAAAOAAAAAAAAAAEAIAAAACcB&#10;AABkcnMvZTJvRG9jLnhtbFBLBQYAAAAABgAGAFkBAAAQBgAAAAA=&#10;" path="m0,43173l49237,43173,64452,0,79667,43173,128904,43173,89070,69856,104286,113029,64452,86346,24618,113029,39834,69856xe">
                      <v:path o:connectlocs="64452,0;0,43173;24618,113029;104286,113029;128904,43173" o:connectangles="247,164,82,82,0"/>
                      <v:fill on="t" focussize="0,0"/>
                      <v:stroke weight="2pt" color="#FF0000 [2404]" joinstyle="round"/>
                      <v:imagedata o:title=""/>
                      <o:lock v:ext="edit" aspectratio="f"/>
                    </v:shape>
                  </w:pict>
                </mc:Fallback>
              </mc:AlternateContent>
            </w:r>
            <w:r>
              <w:rPr>
                <w:sz w:val="28"/>
              </w:rPr>
              <mc:AlternateContent>
                <mc:Choice Requires="wps">
                  <w:drawing>
                    <wp:anchor distT="0" distB="0" distL="114300" distR="114300" simplePos="0" relativeHeight="251665408" behindDoc="0" locked="0" layoutInCell="1" allowOverlap="1">
                      <wp:simplePos x="0" y="0"/>
                      <wp:positionH relativeFrom="column">
                        <wp:posOffset>1666875</wp:posOffset>
                      </wp:positionH>
                      <wp:positionV relativeFrom="paragraph">
                        <wp:posOffset>2493645</wp:posOffset>
                      </wp:positionV>
                      <wp:extent cx="334010" cy="309245"/>
                      <wp:effectExtent l="8890" t="9525" r="19050" b="24130"/>
                      <wp:wrapNone/>
                      <wp:docPr id="101" name="直接连接符 101"/>
                      <wp:cNvGraphicFramePr/>
                      <a:graphic xmlns:a="http://schemas.openxmlformats.org/drawingml/2006/main">
                        <a:graphicData uri="http://schemas.microsoft.com/office/word/2010/wordprocessingShape">
                          <wps:wsp>
                            <wps:cNvCnPr/>
                            <wps:spPr>
                              <a:xfrm>
                                <a:off x="3284220" y="4780280"/>
                                <a:ext cx="334010" cy="309245"/>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31.25pt;margin-top:196.35pt;height:24.35pt;width:26.3pt;z-index:251665408;mso-width-relative:page;mso-height-relative:page;" filled="f" stroked="t" coordsize="21600,21600" o:gfxdata="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bb14htoAAAALAQAADwAAAAAAAAABACAAAAAiAAAAZHJzL2Rvd25yZXYueG1sUEsBAhQAFAAAAAgA&#10;h07iQFU51lTqAQAArwMAAA4AAAAAAAAAAQAgAAAAKQEAAGRycy9lMm9Eb2MueG1sUEsFBgAAAAAG&#10;AAYAWQEAAIUFAAAAAA==&#10;">
                      <v:fill on="f" focussize="0,0"/>
                      <v:stroke weight="2pt" color="#000000 [3213]" joinstyle="round"/>
                      <v:imagedata o:title=""/>
                      <o:lock v:ext="edit" aspectratio="f"/>
                    </v:line>
                  </w:pict>
                </mc:Fallback>
              </mc:AlternateContent>
            </w:r>
            <w:r>
              <w:rPr>
                <w:sz w:val="28"/>
              </w:rPr>
              <mc:AlternateContent>
                <mc:Choice Requires="wps">
                  <w:drawing>
                    <wp:anchor distT="0" distB="0" distL="114300" distR="114300" simplePos="0" relativeHeight="251664384" behindDoc="0" locked="0" layoutInCell="1" allowOverlap="1">
                      <wp:simplePos x="0" y="0"/>
                      <wp:positionH relativeFrom="column">
                        <wp:posOffset>349885</wp:posOffset>
                      </wp:positionH>
                      <wp:positionV relativeFrom="paragraph">
                        <wp:posOffset>1151890</wp:posOffset>
                      </wp:positionV>
                      <wp:extent cx="1714500" cy="1334135"/>
                      <wp:effectExtent l="6350" t="6350" r="12700" b="12065"/>
                      <wp:wrapNone/>
                      <wp:docPr id="100" name="文本框 100"/>
                      <wp:cNvGraphicFramePr/>
                      <a:graphic xmlns:a="http://schemas.openxmlformats.org/drawingml/2006/main">
                        <a:graphicData uri="http://schemas.microsoft.com/office/word/2010/wordprocessingShape">
                          <wps:wsp>
                            <wps:cNvSpPr txBox="1"/>
                            <wps:spPr>
                              <a:xfrm>
                                <a:off x="4649470" y="3367405"/>
                                <a:ext cx="1714500" cy="1334135"/>
                              </a:xfrm>
                              <a:prstGeom prst="rect">
                                <a:avLst/>
                              </a:prstGeom>
                              <a:noFill/>
                              <a:ln w="1270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5BFFDFE1"/>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55pt;margin-top:90.7pt;height:105.05pt;width:135pt;z-index:251664384;mso-width-relative:page;mso-height-relative:page;" filled="f" stroked="t" coordsize="21600,21600" o:gfxdata="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eJVH&#10;A9YAAAAKAQAADwAAAAAAAAABACAAAAAiAAAAZHJzL2Rvd25yZXYueG1sUEsBAhQAFAAAAAgAh07i&#10;QOB8iRpdAgAAoQQAAA4AAAAAAAAAAQAgAAAAJQEAAGRycy9lMm9Eb2MueG1sUEsFBgAAAAAGAAYA&#10;WQEAAPQFAAAAAA==&#10;">
                      <v:fill on="f" focussize="0,0"/>
                      <v:stroke weight="1pt" color="#000000 [3213]" joinstyle="round"/>
                      <v:imagedata o:title=""/>
                      <o:lock v:ext="edit" aspectratio="f"/>
                      <v:textbox>
                        <w:txbxContent>
                          <w:p w14:paraId="5BFFDFE1"/>
                        </w:txbxContent>
                      </v:textbox>
                    </v:shape>
                  </w:pict>
                </mc:Fallback>
              </mc:AlternateContent>
            </w:r>
            <w:r>
              <w:drawing>
                <wp:anchor distT="0" distB="0" distL="114300" distR="114300" simplePos="0" relativeHeight="251663360" behindDoc="0" locked="0" layoutInCell="1" allowOverlap="1">
                  <wp:simplePos x="0" y="0"/>
                  <wp:positionH relativeFrom="column">
                    <wp:posOffset>346075</wp:posOffset>
                  </wp:positionH>
                  <wp:positionV relativeFrom="paragraph">
                    <wp:posOffset>1147445</wp:posOffset>
                  </wp:positionV>
                  <wp:extent cx="1468120" cy="1334135"/>
                  <wp:effectExtent l="0" t="0" r="17780" b="18415"/>
                  <wp:wrapNone/>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pic:cNvPicPr>
                        </pic:nvPicPr>
                        <pic:blipFill>
                          <a:blip r:embed="rId9"/>
                          <a:stretch>
                            <a:fillRect/>
                          </a:stretch>
                        </pic:blipFill>
                        <pic:spPr>
                          <a:xfrm>
                            <a:off x="0" y="0"/>
                            <a:ext cx="1468120" cy="1334135"/>
                          </a:xfrm>
                          <a:prstGeom prst="rect">
                            <a:avLst/>
                          </a:prstGeom>
                          <a:noFill/>
                          <a:ln>
                            <a:noFill/>
                          </a:ln>
                        </pic:spPr>
                      </pic:pic>
                    </a:graphicData>
                  </a:graphic>
                </wp:anchor>
              </w:drawing>
            </w:r>
            <w:r>
              <w:rPr>
                <w:rFonts w:hint="default" w:cs="Times New Roman"/>
                <w:b/>
                <w:bCs w:val="0"/>
                <w:color w:val="auto"/>
                <w:sz w:val="21"/>
                <w:szCs w:val="20"/>
                <w:lang w:val="en-US" w:eastAsia="zh-CN"/>
              </w:rPr>
              <w:drawing>
                <wp:inline distT="0" distB="0" distL="114300" distR="114300">
                  <wp:extent cx="5268595" cy="3728085"/>
                  <wp:effectExtent l="0" t="0" r="8255" b="5715"/>
                  <wp:docPr id="60" name="图片 60" descr="六安市水环境分区管控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六安市水环境分区管控图"/>
                          <pic:cNvPicPr>
                            <a:picLocks noChangeAspect="1"/>
                          </pic:cNvPicPr>
                        </pic:nvPicPr>
                        <pic:blipFill>
                          <a:blip r:embed="rId10"/>
                          <a:stretch>
                            <a:fillRect/>
                          </a:stretch>
                        </pic:blipFill>
                        <pic:spPr>
                          <a:xfrm>
                            <a:off x="0" y="0"/>
                            <a:ext cx="5268595" cy="3728085"/>
                          </a:xfrm>
                          <a:prstGeom prst="rect">
                            <a:avLst/>
                          </a:prstGeom>
                        </pic:spPr>
                      </pic:pic>
                    </a:graphicData>
                  </a:graphic>
                </wp:inline>
              </w:drawing>
            </w:r>
          </w:p>
          <w:p w14:paraId="06131E79">
            <w:pPr>
              <w:spacing w:line="360" w:lineRule="auto"/>
              <w:jc w:val="center"/>
              <w:rPr>
                <w:rFonts w:hint="default" w:ascii="Times New Roman" w:hAnsi="Times New Roman" w:cs="Times New Roman"/>
                <w:b/>
                <w:bCs w:val="0"/>
                <w:color w:val="auto"/>
                <w:sz w:val="24"/>
                <w:szCs w:val="24"/>
                <w:lang w:val="en-US" w:eastAsia="zh-CN"/>
              </w:rPr>
            </w:pPr>
            <w:r>
              <w:rPr>
                <w:rFonts w:hint="eastAsia"/>
                <w:b/>
                <w:bCs/>
                <w:lang w:val="en-US" w:eastAsia="zh-CN"/>
              </w:rPr>
              <w:t>图1-2  建设项目与水环境分区管控位置关系图</w:t>
            </w:r>
          </w:p>
          <w:p w14:paraId="6F95CF1A">
            <w:pPr>
              <w:spacing w:line="360" w:lineRule="auto"/>
              <w:ind w:firstLine="480" w:firstLineChars="200"/>
              <w:jc w:val="both"/>
              <w:rPr>
                <w:rFonts w:hint="eastAsia" w:ascii="Times New Roman" w:hAnsi="Times New Roman" w:cs="Times New Roman"/>
                <w:color w:val="auto"/>
                <w:lang w:val="en-US" w:eastAsia="zh-CN"/>
              </w:rPr>
            </w:pPr>
            <w:r>
              <w:rPr>
                <w:rFonts w:hint="eastAsia" w:cs="Times New Roman"/>
                <w:color w:val="auto"/>
                <w:lang w:val="en-US" w:eastAsia="zh-CN"/>
              </w:rPr>
              <w:t>（2）</w:t>
            </w:r>
            <w:r>
              <w:rPr>
                <w:rFonts w:hint="eastAsia" w:ascii="Times New Roman" w:hAnsi="Times New Roman" w:cs="Times New Roman"/>
                <w:color w:val="auto"/>
                <w:lang w:val="en-US" w:eastAsia="zh-CN"/>
              </w:rPr>
              <w:t xml:space="preserve">大气环境分区管控要求 </w:t>
            </w:r>
          </w:p>
          <w:p w14:paraId="35D1D587">
            <w:pPr>
              <w:spacing w:line="360" w:lineRule="auto"/>
              <w:ind w:firstLine="480" w:firstLineChars="200"/>
              <w:jc w:val="both"/>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根据《安徽省六安市“三线一单”文本》，本项目所在区域属于大气环境重点管控区。</w:t>
            </w:r>
          </w:p>
          <w:p w14:paraId="38C12153">
            <w:pPr>
              <w:spacing w:line="360" w:lineRule="auto"/>
              <w:jc w:val="center"/>
              <w:rPr>
                <w:rFonts w:hint="default" w:ascii="Times New Roman" w:hAnsi="Times New Roman" w:cs="Times New Roman"/>
                <w:b/>
                <w:bCs w:val="0"/>
                <w:color w:val="auto"/>
                <w:sz w:val="24"/>
                <w:szCs w:val="24"/>
                <w:lang w:eastAsia="zh-CN"/>
              </w:rPr>
            </w:pPr>
            <w:r>
              <w:rPr>
                <w:rFonts w:hint="default" w:ascii="Times New Roman" w:hAnsi="Times New Roman" w:eastAsia="宋体" w:cs="Times New Roman"/>
                <w:b/>
                <w:bCs w:val="0"/>
                <w:color w:val="auto"/>
                <w:sz w:val="24"/>
                <w:szCs w:val="24"/>
                <w:lang w:val="en-US" w:eastAsia="zh-CN"/>
              </w:rPr>
              <w:t>表1-</w:t>
            </w:r>
            <w:r>
              <w:rPr>
                <w:rFonts w:hint="eastAsia" w:cs="Times New Roman"/>
                <w:b/>
                <w:bCs w:val="0"/>
                <w:color w:val="auto"/>
                <w:sz w:val="24"/>
                <w:szCs w:val="24"/>
                <w:lang w:val="en-US" w:eastAsia="zh-CN"/>
              </w:rPr>
              <w:t>2</w:t>
            </w:r>
            <w:r>
              <w:rPr>
                <w:rFonts w:hint="eastAsia" w:eastAsia="宋体" w:cs="Times New Roman"/>
                <w:b/>
                <w:bCs w:val="0"/>
                <w:color w:val="auto"/>
                <w:sz w:val="24"/>
                <w:szCs w:val="24"/>
                <w:lang w:val="en-US" w:eastAsia="zh-CN"/>
              </w:rPr>
              <w:t xml:space="preserve">  </w:t>
            </w:r>
            <w:r>
              <w:rPr>
                <w:rFonts w:hint="eastAsia" w:cs="Times New Roman"/>
                <w:b/>
                <w:bCs w:val="0"/>
                <w:color w:val="auto"/>
                <w:sz w:val="24"/>
                <w:szCs w:val="24"/>
                <w:lang w:val="en-US" w:eastAsia="zh-CN"/>
              </w:rPr>
              <w:t>与大气环境分区管控要求的协调性分析</w:t>
            </w:r>
          </w:p>
          <w:tbl>
            <w:tblPr>
              <w:tblStyle w:val="27"/>
              <w:tblW w:w="83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7"/>
              <w:gridCol w:w="4730"/>
              <w:gridCol w:w="2007"/>
            </w:tblGrid>
            <w:tr w14:paraId="41C26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7" w:type="dxa"/>
                  <w:vAlign w:val="center"/>
                </w:tcPr>
                <w:p w14:paraId="3FA18C46">
                  <w:pPr>
                    <w:pStyle w:val="2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管控单元分类</w:t>
                  </w:r>
                </w:p>
              </w:tc>
              <w:tc>
                <w:tcPr>
                  <w:tcW w:w="4730" w:type="dxa"/>
                  <w:vAlign w:val="center"/>
                </w:tcPr>
                <w:p w14:paraId="6A9F4484">
                  <w:pPr>
                    <w:pStyle w:val="2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环境管控要求</w:t>
                  </w:r>
                </w:p>
              </w:tc>
              <w:tc>
                <w:tcPr>
                  <w:tcW w:w="2007" w:type="dxa"/>
                  <w:vAlign w:val="center"/>
                </w:tcPr>
                <w:p w14:paraId="767631BE">
                  <w:pPr>
                    <w:pStyle w:val="2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协调性分析</w:t>
                  </w:r>
                </w:p>
              </w:tc>
            </w:tr>
            <w:tr w14:paraId="1CBAD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7" w:type="dxa"/>
                  <w:vAlign w:val="center"/>
                </w:tcPr>
                <w:p w14:paraId="0EFBC928">
                  <w:pPr>
                    <w:pStyle w:val="2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重点管控区</w:t>
                  </w:r>
                </w:p>
              </w:tc>
              <w:tc>
                <w:tcPr>
                  <w:tcW w:w="4730" w:type="dxa"/>
                  <w:vAlign w:val="center"/>
                </w:tcPr>
                <w:p w14:paraId="0A42414F">
                  <w:pPr>
                    <w:keepNext w:val="0"/>
                    <w:keepLines w:val="0"/>
                    <w:widowControl/>
                    <w:suppressLineNumbers w:val="0"/>
                    <w:jc w:val="left"/>
                    <w:rPr>
                      <w:rFonts w:hint="default" w:cs="Times New Roman"/>
                      <w:b w:val="0"/>
                      <w:bCs/>
                      <w:color w:val="auto"/>
                      <w:sz w:val="21"/>
                      <w:szCs w:val="21"/>
                      <w:vertAlign w:val="baseline"/>
                      <w:lang w:val="en-US" w:eastAsia="zh-CN"/>
                    </w:rPr>
                  </w:pPr>
                  <w:r>
                    <w:rPr>
                      <w:rFonts w:hint="eastAsia" w:ascii="宋体" w:hAnsi="宋体" w:eastAsia="宋体" w:cs="宋体"/>
                      <w:color w:val="000000"/>
                      <w:kern w:val="0"/>
                      <w:sz w:val="21"/>
                      <w:szCs w:val="21"/>
                      <w:lang w:val="en-US" w:eastAsia="zh-CN" w:bidi="ar"/>
                    </w:rPr>
                    <w:t>落实《安徽省大气污染防治条例》《安徽省碳达峰实施方案的通知》《安徽省工业领域碳达峰实施方案》《安徽省城乡建设领域碳达峰实施方案》《关于进一步加强新上“两高”项目管理的通知》《安徽省挥发性有机物污染整治工作方案》《关于进一步加强建设项目新增大气污染物总量控制指标管理工作的通知》《安徽省“十四五”节能减排实施方案》《六安市能源发展“十四五”规划》《六安市“十四五”工业发展规划》《深入打好污染防治攻坚战行动方案》等要求；严格目标实施计划，加强环境监管，促进生态环境质量好转；新建、改建和扩建项目大气污染物实施“倍量替代”，执行特别排放标准的行业实施提标升级改造。</w:t>
                  </w:r>
                </w:p>
              </w:tc>
              <w:tc>
                <w:tcPr>
                  <w:tcW w:w="2007" w:type="dxa"/>
                  <w:vAlign w:val="center"/>
                </w:tcPr>
                <w:p w14:paraId="2105081B">
                  <w:pPr>
                    <w:keepNext w:val="0"/>
                    <w:keepLines w:val="0"/>
                    <w:widowControl/>
                    <w:suppressLineNumbers w:val="0"/>
                    <w:jc w:val="left"/>
                    <w:rPr>
                      <w:sz w:val="21"/>
                      <w:szCs w:val="21"/>
                    </w:rPr>
                  </w:pPr>
                  <w:r>
                    <w:rPr>
                      <w:rFonts w:hint="eastAsia" w:ascii="宋体" w:hAnsi="宋体" w:eastAsia="宋体" w:cs="宋体"/>
                      <w:color w:val="000000"/>
                      <w:kern w:val="0"/>
                      <w:sz w:val="21"/>
                      <w:szCs w:val="21"/>
                      <w:lang w:val="en-US" w:eastAsia="zh-CN" w:bidi="ar"/>
                    </w:rPr>
                    <w:t>项目符合《安徽省大气污染防治条例》《安徽省工业领域碳达峰实施方案》《安徽省城乡建设领域碳达峰实施方案》等要求，根据霍山县</w:t>
                  </w:r>
                  <w:r>
                    <w:rPr>
                      <w:rFonts w:hint="default" w:ascii="Times New Roman" w:hAnsi="Times New Roman" w:eastAsia="宋体" w:cs="Times New Roman"/>
                      <w:color w:val="000000"/>
                      <w:kern w:val="0"/>
                      <w:sz w:val="21"/>
                      <w:szCs w:val="21"/>
                      <w:lang w:val="en-US" w:eastAsia="zh-CN" w:bidi="ar"/>
                    </w:rPr>
                    <w:t>2024</w:t>
                  </w:r>
                  <w:r>
                    <w:rPr>
                      <w:rFonts w:hint="eastAsia" w:ascii="宋体" w:hAnsi="宋体" w:eastAsia="宋体" w:cs="宋体"/>
                      <w:color w:val="000000"/>
                      <w:kern w:val="0"/>
                      <w:sz w:val="21"/>
                      <w:szCs w:val="21"/>
                      <w:lang w:val="en-US" w:eastAsia="zh-CN" w:bidi="ar"/>
                    </w:rPr>
                    <w:t xml:space="preserve">年环境质量报告，项目所在区 </w:t>
                  </w:r>
                </w:p>
                <w:p w14:paraId="6D3F8F9B">
                  <w:pPr>
                    <w:keepNext w:val="0"/>
                    <w:keepLines w:val="0"/>
                    <w:widowControl/>
                    <w:suppressLineNumbers w:val="0"/>
                    <w:jc w:val="left"/>
                    <w:rPr>
                      <w:sz w:val="21"/>
                      <w:szCs w:val="21"/>
                    </w:rPr>
                  </w:pPr>
                  <w:r>
                    <w:rPr>
                      <w:rFonts w:hint="eastAsia" w:ascii="宋体" w:hAnsi="宋体" w:eastAsia="宋体" w:cs="宋体"/>
                      <w:color w:val="000000"/>
                      <w:kern w:val="0"/>
                      <w:sz w:val="21"/>
                      <w:szCs w:val="21"/>
                      <w:lang w:val="en-US" w:eastAsia="zh-CN" w:bidi="ar"/>
                    </w:rPr>
                    <w:t>域为达标区。本项</w:t>
                  </w:r>
                </w:p>
                <w:p w14:paraId="6A8086FA">
                  <w:pPr>
                    <w:keepNext w:val="0"/>
                    <w:keepLines w:val="0"/>
                    <w:widowControl/>
                    <w:suppressLineNumbers w:val="0"/>
                    <w:jc w:val="left"/>
                    <w:rPr>
                      <w:rFonts w:hint="default" w:cs="Times New Roman"/>
                      <w:b w:val="0"/>
                      <w:bCs/>
                      <w:color w:val="auto"/>
                      <w:sz w:val="21"/>
                      <w:szCs w:val="21"/>
                      <w:vertAlign w:val="baseline"/>
                      <w:lang w:val="en-US" w:eastAsia="zh-CN"/>
                    </w:rPr>
                  </w:pPr>
                  <w:r>
                    <w:rPr>
                      <w:rFonts w:hint="eastAsia" w:ascii="宋体" w:hAnsi="宋体" w:eastAsia="宋体" w:cs="宋体"/>
                      <w:color w:val="000000"/>
                      <w:kern w:val="0"/>
                      <w:sz w:val="21"/>
                      <w:szCs w:val="21"/>
                      <w:lang w:val="en-US" w:eastAsia="zh-CN" w:bidi="ar"/>
                    </w:rPr>
                    <w:t>目不属于安徽省</w:t>
                  </w:r>
                  <w:r>
                    <w:rPr>
                      <w:rFonts w:hint="eastAsia" w:ascii="Times New Roman" w:hAnsi="Times New Roman" w:eastAsia="宋体" w:cs="Times New Roman"/>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两高</w:t>
                  </w:r>
                  <w:r>
                    <w:rPr>
                      <w:rFonts w:hint="eastAsia" w:ascii="Times New Roman" w:hAnsi="Times New Roman" w:eastAsia="宋体" w:cs="Times New Roman"/>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项目管理目录（试行）中规定的</w:t>
                  </w:r>
                  <w:r>
                    <w:rPr>
                      <w:rFonts w:hint="eastAsia" w:ascii="Times New Roman" w:hAnsi="Times New Roman" w:eastAsia="宋体" w:cs="Times New Roman"/>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两高</w:t>
                  </w:r>
                  <w:r>
                    <w:rPr>
                      <w:rFonts w:hint="eastAsia" w:ascii="Times New Roman" w:hAnsi="Times New Roman" w:eastAsia="宋体" w:cs="Times New Roman"/>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项目。</w:t>
                  </w:r>
                </w:p>
              </w:tc>
            </w:tr>
          </w:tbl>
          <w:p w14:paraId="43312EC2">
            <w:pPr>
              <w:pStyle w:val="2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eastAsia="宋体" w:cs="Times New Roman"/>
                <w:b/>
                <w:bCs w:val="0"/>
                <w:color w:val="auto"/>
                <w:sz w:val="21"/>
                <w:szCs w:val="20"/>
                <w:lang w:val="en-US" w:eastAsia="zh-CN"/>
              </w:rPr>
            </w:pPr>
            <w:r>
              <w:rPr>
                <w:rFonts w:hint="eastAsia" w:eastAsia="宋体" w:cs="Times New Roman"/>
                <w:b/>
                <w:bCs w:val="0"/>
                <w:color w:val="auto"/>
                <w:sz w:val="21"/>
                <w:szCs w:val="20"/>
                <w:lang w:val="en-US" w:eastAsia="zh-CN"/>
              </w:rPr>
              <w:drawing>
                <wp:inline distT="0" distB="0" distL="114300" distR="114300">
                  <wp:extent cx="5278120" cy="3735070"/>
                  <wp:effectExtent l="0" t="0" r="17780" b="17780"/>
                  <wp:docPr id="117" name="图片 117" descr="六安市大气环境分区管控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六安市大气环境分区管控图"/>
                          <pic:cNvPicPr>
                            <a:picLocks noChangeAspect="1"/>
                          </pic:cNvPicPr>
                        </pic:nvPicPr>
                        <pic:blipFill>
                          <a:blip r:embed="rId11"/>
                          <a:stretch>
                            <a:fillRect/>
                          </a:stretch>
                        </pic:blipFill>
                        <pic:spPr>
                          <a:xfrm>
                            <a:off x="0" y="0"/>
                            <a:ext cx="5278120" cy="3735070"/>
                          </a:xfrm>
                          <a:prstGeom prst="rect">
                            <a:avLst/>
                          </a:prstGeom>
                        </pic:spPr>
                      </pic:pic>
                    </a:graphicData>
                  </a:graphic>
                </wp:inline>
              </w:drawing>
            </w:r>
            <w:r>
              <w:rPr>
                <w:sz w:val="28"/>
              </w:rPr>
              <mc:AlternateContent>
                <mc:Choice Requires="wps">
                  <w:drawing>
                    <wp:anchor distT="0" distB="0" distL="114300" distR="114300" simplePos="0" relativeHeight="251668480" behindDoc="0" locked="0" layoutInCell="1" allowOverlap="1">
                      <wp:simplePos x="0" y="0"/>
                      <wp:positionH relativeFrom="column">
                        <wp:posOffset>286385</wp:posOffset>
                      </wp:positionH>
                      <wp:positionV relativeFrom="paragraph">
                        <wp:posOffset>1001395</wp:posOffset>
                      </wp:positionV>
                      <wp:extent cx="1443355" cy="1492885"/>
                      <wp:effectExtent l="6350" t="6350" r="17145" b="24765"/>
                      <wp:wrapNone/>
                      <wp:docPr id="114" name="文本框 114"/>
                      <wp:cNvGraphicFramePr/>
                      <a:graphic xmlns:a="http://schemas.openxmlformats.org/drawingml/2006/main">
                        <a:graphicData uri="http://schemas.microsoft.com/office/word/2010/wordprocessingShape">
                          <wps:wsp>
                            <wps:cNvSpPr txBox="1"/>
                            <wps:spPr>
                              <a:xfrm>
                                <a:off x="4649470" y="3367405"/>
                                <a:ext cx="1443355" cy="1492885"/>
                              </a:xfrm>
                              <a:prstGeom prst="rect">
                                <a:avLst/>
                              </a:prstGeom>
                              <a:noFill/>
                              <a:ln w="1270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3C5B8A7D"/>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55pt;margin-top:78.85pt;height:117.55pt;width:113.65pt;z-index:251668480;mso-width-relative:page;mso-height-relative:page;" filled="f" stroked="t" coordsize="21600,21600" o:gfxdata="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BVowufXAAAACgEAAA8AAAAAAAAAAQAgAAAAIgAAAGRycy9kb3ducmV2LnhtbFBLAQIUABQAAAAI&#10;AIdO4kBAg3j1YAIAAKEEAAAOAAAAAAAAAAEAIAAAACYBAABkcnMvZTJvRG9jLnhtbFBLBQYAAAAA&#10;BgAGAFkBAAD4BQAAAAA=&#10;">
                      <v:fill on="f" focussize="0,0"/>
                      <v:stroke weight="1pt" color="#000000 [3213]" joinstyle="round"/>
                      <v:imagedata o:title=""/>
                      <o:lock v:ext="edit" aspectratio="f"/>
                      <v:textbox>
                        <w:txbxContent>
                          <w:p w14:paraId="3C5B8A7D"/>
                        </w:txbxContent>
                      </v:textbox>
                    </v:shape>
                  </w:pict>
                </mc:Fallback>
              </mc:AlternateContent>
            </w:r>
            <w:r>
              <w:rPr>
                <w:sz w:val="28"/>
              </w:rPr>
              <mc:AlternateContent>
                <mc:Choice Requires="wps">
                  <w:drawing>
                    <wp:anchor distT="0" distB="0" distL="114300" distR="114300" simplePos="0" relativeHeight="251672576" behindDoc="0" locked="0" layoutInCell="1" allowOverlap="1">
                      <wp:simplePos x="0" y="0"/>
                      <wp:positionH relativeFrom="column">
                        <wp:posOffset>1023620</wp:posOffset>
                      </wp:positionH>
                      <wp:positionV relativeFrom="paragraph">
                        <wp:posOffset>1758315</wp:posOffset>
                      </wp:positionV>
                      <wp:extent cx="128905" cy="113030"/>
                      <wp:effectExtent l="12700" t="12700" r="29845" b="26670"/>
                      <wp:wrapNone/>
                      <wp:docPr id="112" name="五角星 112"/>
                      <wp:cNvGraphicFramePr/>
                      <a:graphic xmlns:a="http://schemas.openxmlformats.org/drawingml/2006/main">
                        <a:graphicData uri="http://schemas.microsoft.com/office/word/2010/wordprocessingShape">
                          <wps:wsp>
                            <wps:cNvSpPr/>
                            <wps:spPr>
                              <a:xfrm>
                                <a:off x="2736215" y="3990975"/>
                                <a:ext cx="128905" cy="113030"/>
                              </a:xfrm>
                              <a:prstGeom prst="star5">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80.6pt;margin-top:138.45pt;height:8.9pt;width:10.15pt;z-index:251672576;v-text-anchor:middle;mso-width-relative:page;mso-height-relative:page;" fillcolor="#FF0000" filled="t" stroked="t" coordsize="128905,113030" o:gfxdata="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QT3ectkAAAALAQAADwAAAAAAAAABACAAAAAiAAAA&#10;ZHJzL2Rvd25yZXYueG1sUEsBAhQAFAAAAAgAh07iQLSCB8t4AgAA8AQAAA4AAAAAAAAAAQAgAAAA&#10;KAEAAGRycy9lMm9Eb2MueG1sUEsFBgAAAAAGAAYAWQEAABIGAAAAAA==&#10;" path="m0,43173l49237,43173,64452,0,79667,43173,128904,43173,89070,69856,104286,113029,64452,86346,24618,113029,39834,69856xe">
                      <v:path o:connectlocs="64452,0;0,43173;24618,113029;104286,113029;128904,43173" o:connectangles="247,164,82,82,0"/>
                      <v:fill on="t" focussize="0,0"/>
                      <v:stroke weight="2pt" color="#FF0000 [2404]" joinstyle="round"/>
                      <v:imagedata o:title=""/>
                      <o:lock v:ext="edit" aspectratio="f"/>
                    </v:shape>
                  </w:pict>
                </mc:Fallback>
              </mc:AlternateContent>
            </w:r>
            <w:r>
              <w:drawing>
                <wp:anchor distT="0" distB="0" distL="114300" distR="114300" simplePos="0" relativeHeight="251670528" behindDoc="0" locked="0" layoutInCell="1" allowOverlap="1">
                  <wp:simplePos x="0" y="0"/>
                  <wp:positionH relativeFrom="column">
                    <wp:posOffset>299720</wp:posOffset>
                  </wp:positionH>
                  <wp:positionV relativeFrom="paragraph">
                    <wp:posOffset>1010920</wp:posOffset>
                  </wp:positionV>
                  <wp:extent cx="1423670" cy="1471930"/>
                  <wp:effectExtent l="0" t="0" r="5080" b="13970"/>
                  <wp:wrapNone/>
                  <wp:docPr id="1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6"/>
                          <pic:cNvPicPr>
                            <a:picLocks noChangeAspect="1"/>
                          </pic:cNvPicPr>
                        </pic:nvPicPr>
                        <pic:blipFill>
                          <a:blip r:embed="rId12"/>
                          <a:stretch>
                            <a:fillRect/>
                          </a:stretch>
                        </pic:blipFill>
                        <pic:spPr>
                          <a:xfrm>
                            <a:off x="0" y="0"/>
                            <a:ext cx="1423670" cy="1471930"/>
                          </a:xfrm>
                          <a:prstGeom prst="rect">
                            <a:avLst/>
                          </a:prstGeom>
                          <a:noFill/>
                          <a:ln>
                            <a:noFill/>
                          </a:ln>
                        </pic:spPr>
                      </pic:pic>
                    </a:graphicData>
                  </a:graphic>
                </wp:anchor>
              </w:drawing>
            </w:r>
            <w:r>
              <w:rPr>
                <w:sz w:val="28"/>
              </w:rPr>
              <mc:AlternateContent>
                <mc:Choice Requires="wps">
                  <w:drawing>
                    <wp:anchor distT="0" distB="0" distL="114300" distR="114300" simplePos="0" relativeHeight="251671552" behindDoc="0" locked="0" layoutInCell="1" allowOverlap="1">
                      <wp:simplePos x="0" y="0"/>
                      <wp:positionH relativeFrom="column">
                        <wp:posOffset>659130</wp:posOffset>
                      </wp:positionH>
                      <wp:positionV relativeFrom="paragraph">
                        <wp:posOffset>1423035</wp:posOffset>
                      </wp:positionV>
                      <wp:extent cx="825500" cy="349250"/>
                      <wp:effectExtent l="0" t="0" r="0" b="0"/>
                      <wp:wrapNone/>
                      <wp:docPr id="111" name="文本框 111"/>
                      <wp:cNvGraphicFramePr/>
                      <a:graphic xmlns:a="http://schemas.openxmlformats.org/drawingml/2006/main">
                        <a:graphicData uri="http://schemas.microsoft.com/office/word/2010/wordprocessingShape">
                          <wps:wsp>
                            <wps:cNvSpPr txBox="1"/>
                            <wps:spPr>
                              <a:xfrm>
                                <a:off x="3688715" y="3684905"/>
                                <a:ext cx="825500" cy="3492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93DFEB">
                                  <w:pPr>
                                    <w:rPr>
                                      <w:rFonts w:hint="eastAsia" w:eastAsia="宋体"/>
                                      <w:b/>
                                      <w:bCs/>
                                      <w:color w:val="FF0000"/>
                                      <w:lang w:val="en-US" w:eastAsia="zh-CN"/>
                                    </w:rPr>
                                  </w:pPr>
                                  <w:r>
                                    <w:rPr>
                                      <w:rFonts w:hint="eastAsia"/>
                                      <w:b/>
                                      <w:bCs/>
                                      <w:color w:val="FF0000"/>
                                      <w:lang w:val="en-US" w:eastAsia="zh-CN"/>
                                    </w:rPr>
                                    <w:t>本项目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1.9pt;margin-top:112.05pt;height:27.5pt;width:65pt;z-index:251671552;mso-width-relative:page;mso-height-relative:page;" filled="f" stroked="f" coordsize="21600,21600" o:gfxdata="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sRyxj9sAAAALAQAADwAAAAAAAAAB&#10;ACAAAAAiAAAAZHJzL2Rvd25yZXYueG1sUEsBAhQAFAAAAAgAh07iQHZEBOBGAgAAdQQAAA4AAAAA&#10;AAAAAQAgAAAAKgEAAGRycy9lMm9Eb2MueG1sUEsFBgAAAAAGAAYAWQEAAOIFAAAAAA==&#10;">
                      <v:fill on="f" focussize="0,0"/>
                      <v:stroke on="f" weight="0.5pt"/>
                      <v:imagedata o:title=""/>
                      <o:lock v:ext="edit" aspectratio="f"/>
                      <v:textbox>
                        <w:txbxContent>
                          <w:p w14:paraId="6B93DFEB">
                            <w:pPr>
                              <w:rPr>
                                <w:rFonts w:hint="eastAsia" w:eastAsia="宋体"/>
                                <w:b/>
                                <w:bCs/>
                                <w:color w:val="FF0000"/>
                                <w:lang w:val="en-US" w:eastAsia="zh-CN"/>
                              </w:rPr>
                            </w:pPr>
                            <w:r>
                              <w:rPr>
                                <w:rFonts w:hint="eastAsia"/>
                                <w:b/>
                                <w:bCs/>
                                <w:color w:val="FF0000"/>
                                <w:lang w:val="en-US" w:eastAsia="zh-CN"/>
                              </w:rPr>
                              <w:t>本项目</w:t>
                            </w:r>
                          </w:p>
                        </w:txbxContent>
                      </v:textbox>
                    </v:shape>
                  </w:pict>
                </mc:Fallback>
              </mc:AlternateContent>
            </w:r>
            <w:r>
              <w:rPr>
                <w:sz w:val="28"/>
              </w:rPr>
              <mc:AlternateContent>
                <mc:Choice Requires="wps">
                  <w:drawing>
                    <wp:anchor distT="0" distB="0" distL="114300" distR="114300" simplePos="0" relativeHeight="251669504" behindDoc="0" locked="0" layoutInCell="1" allowOverlap="1">
                      <wp:simplePos x="0" y="0"/>
                      <wp:positionH relativeFrom="column">
                        <wp:posOffset>1666875</wp:posOffset>
                      </wp:positionH>
                      <wp:positionV relativeFrom="paragraph">
                        <wp:posOffset>2493645</wp:posOffset>
                      </wp:positionV>
                      <wp:extent cx="334010" cy="309245"/>
                      <wp:effectExtent l="8890" t="9525" r="19050" b="24130"/>
                      <wp:wrapNone/>
                      <wp:docPr id="113" name="直接连接符 113"/>
                      <wp:cNvGraphicFramePr/>
                      <a:graphic xmlns:a="http://schemas.openxmlformats.org/drawingml/2006/main">
                        <a:graphicData uri="http://schemas.microsoft.com/office/word/2010/wordprocessingShape">
                          <wps:wsp>
                            <wps:cNvCnPr/>
                            <wps:spPr>
                              <a:xfrm>
                                <a:off x="3284220" y="4780280"/>
                                <a:ext cx="334010" cy="309245"/>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31.25pt;margin-top:196.35pt;height:24.35pt;width:26.3pt;z-index:251669504;mso-width-relative:page;mso-height-relative:page;" filled="f" stroked="t" coordsize="21600,21600" o:gfxdata="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bb14htoAAAALAQAADwAAAAAAAAABACAAAAAiAAAAZHJzL2Rvd25yZXYueG1sUEsBAhQAFAAAAAgA&#10;h07iQKrHKlfqAQAArwMAAA4AAAAAAAAAAQAgAAAAKQEAAGRycy9lMm9Eb2MueG1sUEsFBgAAAAAG&#10;AAYAWQEAAIUFAAAAAA==&#10;">
                      <v:fill on="f" focussize="0,0"/>
                      <v:stroke weight="2pt" color="#000000 [3213]" joinstyle="round"/>
                      <v:imagedata o:title=""/>
                      <o:lock v:ext="edit" aspectratio="f"/>
                    </v:line>
                  </w:pict>
                </mc:Fallback>
              </mc:AlternateContent>
            </w:r>
          </w:p>
          <w:p w14:paraId="73D25CA8">
            <w:pPr>
              <w:spacing w:line="360" w:lineRule="auto"/>
              <w:jc w:val="center"/>
              <w:rPr>
                <w:rFonts w:hint="default" w:ascii="Times New Roman" w:hAnsi="Times New Roman" w:cs="Times New Roman"/>
                <w:bCs/>
                <w:color w:val="0000FF"/>
                <w:sz w:val="24"/>
                <w:szCs w:val="24"/>
                <w:lang w:eastAsia="zh-CN"/>
              </w:rPr>
            </w:pPr>
            <w:r>
              <w:rPr>
                <w:rFonts w:hint="eastAsia"/>
                <w:b/>
                <w:bCs/>
                <w:lang w:val="en-US" w:eastAsia="zh-CN"/>
              </w:rPr>
              <w:t>图1-3  建设项目与大气环境分区管控位置关系图</w:t>
            </w:r>
          </w:p>
          <w:p w14:paraId="2CD95F53">
            <w:pPr>
              <w:spacing w:line="360" w:lineRule="auto"/>
              <w:ind w:firstLine="480" w:firstLineChars="200"/>
              <w:jc w:val="both"/>
              <w:rPr>
                <w:rFonts w:hint="eastAsia" w:ascii="Times New Roman" w:hAnsi="Times New Roman" w:cs="Times New Roman"/>
                <w:color w:val="auto"/>
                <w:lang w:val="en-US" w:eastAsia="zh-CN"/>
              </w:rPr>
            </w:pPr>
            <w:r>
              <w:rPr>
                <w:rFonts w:hint="eastAsia" w:cs="Times New Roman"/>
                <w:color w:val="auto"/>
                <w:lang w:val="en-US" w:eastAsia="zh-CN"/>
              </w:rPr>
              <w:t>（3）</w:t>
            </w:r>
            <w:r>
              <w:rPr>
                <w:rFonts w:hint="eastAsia" w:ascii="Times New Roman" w:hAnsi="Times New Roman" w:cs="Times New Roman"/>
                <w:color w:val="auto"/>
                <w:lang w:val="en-US" w:eastAsia="zh-CN"/>
              </w:rPr>
              <w:t xml:space="preserve">土壤环境分区防控要求 </w:t>
            </w:r>
          </w:p>
          <w:p w14:paraId="5EA39ADB">
            <w:pPr>
              <w:spacing w:line="360" w:lineRule="auto"/>
              <w:ind w:firstLine="480" w:firstLineChars="200"/>
              <w:jc w:val="both"/>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根据《安徽省六安市“三线一单”文本》，本项目所在区域属于土壤环境一般防控区。</w:t>
            </w:r>
          </w:p>
          <w:p w14:paraId="226AF832">
            <w:pPr>
              <w:spacing w:line="360" w:lineRule="auto"/>
              <w:jc w:val="center"/>
              <w:rPr>
                <w:rFonts w:hint="default" w:ascii="Times New Roman" w:hAnsi="Times New Roman" w:cs="Times New Roman"/>
                <w:b/>
                <w:bCs w:val="0"/>
                <w:color w:val="auto"/>
                <w:sz w:val="24"/>
                <w:szCs w:val="24"/>
                <w:lang w:eastAsia="zh-CN"/>
              </w:rPr>
            </w:pPr>
            <w:r>
              <w:rPr>
                <w:rFonts w:hint="default" w:ascii="Times New Roman" w:hAnsi="Times New Roman" w:eastAsia="宋体" w:cs="Times New Roman"/>
                <w:b/>
                <w:bCs w:val="0"/>
                <w:color w:val="auto"/>
                <w:sz w:val="24"/>
                <w:szCs w:val="24"/>
                <w:lang w:val="en-US" w:eastAsia="zh-CN"/>
              </w:rPr>
              <w:t>表1-</w:t>
            </w:r>
            <w:r>
              <w:rPr>
                <w:rFonts w:hint="eastAsia" w:cs="Times New Roman"/>
                <w:b/>
                <w:bCs w:val="0"/>
                <w:color w:val="auto"/>
                <w:sz w:val="24"/>
                <w:szCs w:val="24"/>
                <w:lang w:val="en-US" w:eastAsia="zh-CN"/>
              </w:rPr>
              <w:t>3</w:t>
            </w:r>
            <w:r>
              <w:rPr>
                <w:rFonts w:hint="eastAsia" w:eastAsia="宋体" w:cs="Times New Roman"/>
                <w:b/>
                <w:bCs w:val="0"/>
                <w:color w:val="auto"/>
                <w:sz w:val="24"/>
                <w:szCs w:val="24"/>
                <w:lang w:val="en-US" w:eastAsia="zh-CN"/>
              </w:rPr>
              <w:t xml:space="preserve">  </w:t>
            </w:r>
            <w:r>
              <w:rPr>
                <w:rFonts w:hint="eastAsia" w:cs="Times New Roman"/>
                <w:b/>
                <w:bCs w:val="0"/>
                <w:color w:val="auto"/>
                <w:sz w:val="24"/>
                <w:szCs w:val="24"/>
                <w:lang w:val="en-US" w:eastAsia="zh-CN"/>
              </w:rPr>
              <w:t>与土壤环境分区管控要求的协调性分析</w:t>
            </w:r>
          </w:p>
          <w:tbl>
            <w:tblPr>
              <w:tblStyle w:val="27"/>
              <w:tblW w:w="83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7"/>
              <w:gridCol w:w="4730"/>
              <w:gridCol w:w="2007"/>
            </w:tblGrid>
            <w:tr w14:paraId="00439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7" w:type="dxa"/>
                  <w:vAlign w:val="center"/>
                </w:tcPr>
                <w:p w14:paraId="7D9A4B82">
                  <w:pPr>
                    <w:pStyle w:val="2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管控单元分类</w:t>
                  </w:r>
                </w:p>
              </w:tc>
              <w:tc>
                <w:tcPr>
                  <w:tcW w:w="4730" w:type="dxa"/>
                  <w:vAlign w:val="center"/>
                </w:tcPr>
                <w:p w14:paraId="3451F7CB">
                  <w:pPr>
                    <w:pStyle w:val="2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环境管控要求</w:t>
                  </w:r>
                </w:p>
              </w:tc>
              <w:tc>
                <w:tcPr>
                  <w:tcW w:w="2007" w:type="dxa"/>
                  <w:vAlign w:val="center"/>
                </w:tcPr>
                <w:p w14:paraId="0D72B29F">
                  <w:pPr>
                    <w:pStyle w:val="2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协调性分析</w:t>
                  </w:r>
                </w:p>
              </w:tc>
            </w:tr>
            <w:tr w14:paraId="6556E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7" w:type="dxa"/>
                  <w:vAlign w:val="center"/>
                </w:tcPr>
                <w:p w14:paraId="517177CE">
                  <w:pPr>
                    <w:keepNext w:val="0"/>
                    <w:keepLines w:val="0"/>
                    <w:widowControl/>
                    <w:suppressLineNumbers w:val="0"/>
                    <w:jc w:val="center"/>
                    <w:rPr>
                      <w:sz w:val="21"/>
                      <w:szCs w:val="21"/>
                    </w:rPr>
                  </w:pPr>
                  <w:r>
                    <w:rPr>
                      <w:rFonts w:hint="eastAsia" w:ascii="宋体" w:hAnsi="宋体" w:eastAsia="宋体" w:cs="宋体"/>
                      <w:color w:val="000000"/>
                      <w:kern w:val="0"/>
                      <w:sz w:val="21"/>
                      <w:szCs w:val="21"/>
                      <w:lang w:val="en-US" w:eastAsia="zh-CN" w:bidi="ar"/>
                    </w:rPr>
                    <w:t>一般防控区</w:t>
                  </w:r>
                </w:p>
                <w:p w14:paraId="4E09B8FB">
                  <w:pPr>
                    <w:pStyle w:val="2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cs="Times New Roman"/>
                      <w:b w:val="0"/>
                      <w:bCs/>
                      <w:color w:val="auto"/>
                      <w:sz w:val="21"/>
                      <w:szCs w:val="21"/>
                      <w:vertAlign w:val="baseline"/>
                      <w:lang w:val="en-US" w:eastAsia="zh-CN"/>
                    </w:rPr>
                  </w:pPr>
                </w:p>
              </w:tc>
              <w:tc>
                <w:tcPr>
                  <w:tcW w:w="4730" w:type="dxa"/>
                  <w:vAlign w:val="center"/>
                </w:tcPr>
                <w:p w14:paraId="268A6EE4">
                  <w:pPr>
                    <w:keepNext w:val="0"/>
                    <w:keepLines w:val="0"/>
                    <w:widowControl/>
                    <w:suppressLineNumbers w:val="0"/>
                    <w:jc w:val="left"/>
                    <w:rPr>
                      <w:sz w:val="21"/>
                      <w:szCs w:val="21"/>
                    </w:rPr>
                  </w:pPr>
                  <w:r>
                    <w:rPr>
                      <w:rFonts w:hint="eastAsia" w:ascii="宋体" w:hAnsi="宋体" w:eastAsia="宋体" w:cs="宋体"/>
                      <w:color w:val="000000"/>
                      <w:kern w:val="0"/>
                      <w:sz w:val="21"/>
                      <w:szCs w:val="21"/>
                      <w:lang w:val="en-US" w:eastAsia="zh-CN" w:bidi="ar"/>
                    </w:rPr>
                    <w:t xml:space="preserve">依据《中华人民共和国土壤污染防治法》《土壤污染防治行动计划》《安徽省土壤污染防治工作方案》《安徽省“十四五”环境保护规划》《安徽省“十四五”土壤、地下水和农村生态环境保护规划》《安徽省重金属污染防控工作方案》《安徽省“十四五”危险废物工业固体废物污染环境防治规划》《安徽省土壤污染防治工作方案》《六 </w:t>
                  </w:r>
                </w:p>
                <w:p w14:paraId="6A113999">
                  <w:pPr>
                    <w:keepNext w:val="0"/>
                    <w:keepLines w:val="0"/>
                    <w:widowControl/>
                    <w:suppressLineNumbers w:val="0"/>
                    <w:jc w:val="left"/>
                    <w:rPr>
                      <w:sz w:val="21"/>
                      <w:szCs w:val="21"/>
                    </w:rPr>
                  </w:pPr>
                  <w:r>
                    <w:rPr>
                      <w:rFonts w:hint="eastAsia" w:ascii="宋体" w:hAnsi="宋体" w:eastAsia="宋体" w:cs="宋体"/>
                      <w:color w:val="000000"/>
                      <w:kern w:val="0"/>
                      <w:sz w:val="21"/>
                      <w:szCs w:val="21"/>
                      <w:lang w:val="en-US" w:eastAsia="zh-CN" w:bidi="ar"/>
                    </w:rPr>
                    <w:t>安市“十四五”生态环境保护规划》《六安市土壤污染防治工作方案》等要求对一般管控区实施</w:t>
                  </w:r>
                </w:p>
                <w:p w14:paraId="7ED1C3C4">
                  <w:pPr>
                    <w:keepNext w:val="0"/>
                    <w:keepLines w:val="0"/>
                    <w:widowControl/>
                    <w:suppressLineNumbers w:val="0"/>
                    <w:jc w:val="left"/>
                    <w:rPr>
                      <w:rFonts w:hint="default" w:cs="Times New Roman"/>
                      <w:b w:val="0"/>
                      <w:bCs/>
                      <w:color w:val="auto"/>
                      <w:sz w:val="21"/>
                      <w:szCs w:val="21"/>
                      <w:vertAlign w:val="baseline"/>
                      <w:lang w:val="en-US" w:eastAsia="zh-CN"/>
                    </w:rPr>
                  </w:pPr>
                  <w:r>
                    <w:rPr>
                      <w:rFonts w:hint="eastAsia" w:ascii="宋体" w:hAnsi="宋体" w:eastAsia="宋体" w:cs="宋体"/>
                      <w:color w:val="000000"/>
                      <w:kern w:val="0"/>
                      <w:sz w:val="21"/>
                      <w:szCs w:val="21"/>
                      <w:lang w:val="en-US" w:eastAsia="zh-CN" w:bidi="ar"/>
                    </w:rPr>
                    <w:t>管控。</w:t>
                  </w:r>
                </w:p>
              </w:tc>
              <w:tc>
                <w:tcPr>
                  <w:tcW w:w="2007" w:type="dxa"/>
                  <w:vAlign w:val="center"/>
                </w:tcPr>
                <w:p w14:paraId="51BFF800">
                  <w:pPr>
                    <w:keepNext w:val="0"/>
                    <w:keepLines w:val="0"/>
                    <w:widowControl/>
                    <w:suppressLineNumbers w:val="0"/>
                    <w:jc w:val="left"/>
                    <w:rPr>
                      <w:rFonts w:hint="default" w:cs="Times New Roman"/>
                      <w:b w:val="0"/>
                      <w:bCs/>
                      <w:color w:val="auto"/>
                      <w:sz w:val="21"/>
                      <w:szCs w:val="21"/>
                      <w:vertAlign w:val="baseline"/>
                      <w:lang w:val="en-US" w:eastAsia="zh-CN"/>
                    </w:rPr>
                  </w:pPr>
                  <w:r>
                    <w:rPr>
                      <w:rFonts w:hint="eastAsia" w:ascii="宋体" w:hAnsi="宋体" w:eastAsia="宋体" w:cs="宋体"/>
                      <w:color w:val="000000"/>
                      <w:kern w:val="0"/>
                      <w:sz w:val="21"/>
                      <w:szCs w:val="21"/>
                      <w:lang w:val="en-US" w:eastAsia="zh-CN" w:bidi="ar"/>
                    </w:rPr>
                    <w:t>企业固废按照国家有关规定进行安全处置，企业将进一步加强对土壤的跟踪管理和监控。</w:t>
                  </w:r>
                </w:p>
              </w:tc>
            </w:tr>
          </w:tbl>
          <w:p w14:paraId="3D7B120A">
            <w:pPr>
              <w:spacing w:line="360" w:lineRule="auto"/>
              <w:jc w:val="center"/>
              <w:rPr>
                <w:rFonts w:hint="default" w:ascii="Times New Roman" w:hAnsi="Times New Roman" w:cs="Times New Roman"/>
                <w:bCs/>
                <w:color w:val="0000FF"/>
                <w:sz w:val="24"/>
                <w:szCs w:val="24"/>
                <w:lang w:eastAsia="zh-CN"/>
              </w:rPr>
            </w:pPr>
            <w:r>
              <w:rPr>
                <w:sz w:val="28"/>
              </w:rPr>
              <mc:AlternateContent>
                <mc:Choice Requires="wps">
                  <w:drawing>
                    <wp:anchor distT="0" distB="0" distL="114300" distR="114300" simplePos="0" relativeHeight="251677696" behindDoc="0" locked="0" layoutInCell="1" allowOverlap="1">
                      <wp:simplePos x="0" y="0"/>
                      <wp:positionH relativeFrom="column">
                        <wp:posOffset>1588770</wp:posOffset>
                      </wp:positionH>
                      <wp:positionV relativeFrom="paragraph">
                        <wp:posOffset>2469515</wp:posOffset>
                      </wp:positionV>
                      <wp:extent cx="334010" cy="309245"/>
                      <wp:effectExtent l="8890" t="9525" r="19050" b="24130"/>
                      <wp:wrapNone/>
                      <wp:docPr id="125" name="直接连接符 125"/>
                      <wp:cNvGraphicFramePr/>
                      <a:graphic xmlns:a="http://schemas.openxmlformats.org/drawingml/2006/main">
                        <a:graphicData uri="http://schemas.microsoft.com/office/word/2010/wordprocessingShape">
                          <wps:wsp>
                            <wps:cNvCnPr/>
                            <wps:spPr>
                              <a:xfrm>
                                <a:off x="0" y="0"/>
                                <a:ext cx="334010" cy="309245"/>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25.1pt;margin-top:194.45pt;height:24.35pt;width:26.3pt;z-index:251677696;mso-width-relative:page;mso-height-relative:page;" filled="f" stroked="t" coordsize="21600,21600" o:gfxdata="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Q2fVvNoAAAALAQAA&#10;DwAAAAAAAAABACAAAAAiAAAAZHJzL2Rvd25yZXYueG1sUEsBAhQAFAAAAAgAh07iQHB2nQveAQAA&#10;owMAAA4AAAAAAAAAAQAgAAAAKQEAAGRycy9lMm9Eb2MueG1sUEsFBgAAAAAGAAYAWQEAAHkFAAAA&#10;AA==&#10;">
                      <v:fill on="f" focussize="0,0"/>
                      <v:stroke weight="2pt" color="#000000 [3213]" joinstyle="round"/>
                      <v:imagedata o:title=""/>
                      <o:lock v:ext="edit" aspectratio="f"/>
                    </v:line>
                  </w:pict>
                </mc:Fallback>
              </mc:AlternateContent>
            </w:r>
            <w:r>
              <w:rPr>
                <w:sz w:val="28"/>
              </w:rPr>
              <mc:AlternateContent>
                <mc:Choice Requires="wps">
                  <w:drawing>
                    <wp:anchor distT="0" distB="0" distL="114300" distR="114300" simplePos="0" relativeHeight="251676672" behindDoc="0" locked="0" layoutInCell="1" allowOverlap="1">
                      <wp:simplePos x="0" y="0"/>
                      <wp:positionH relativeFrom="column">
                        <wp:posOffset>843280</wp:posOffset>
                      </wp:positionH>
                      <wp:positionV relativeFrom="paragraph">
                        <wp:posOffset>1216660</wp:posOffset>
                      </wp:positionV>
                      <wp:extent cx="825500" cy="349250"/>
                      <wp:effectExtent l="0" t="0" r="0" b="0"/>
                      <wp:wrapNone/>
                      <wp:docPr id="124" name="文本框 124"/>
                      <wp:cNvGraphicFramePr/>
                      <a:graphic xmlns:a="http://schemas.openxmlformats.org/drawingml/2006/main">
                        <a:graphicData uri="http://schemas.microsoft.com/office/word/2010/wordprocessingShape">
                          <wps:wsp>
                            <wps:cNvSpPr txBox="1"/>
                            <wps:spPr>
                              <a:xfrm>
                                <a:off x="0" y="0"/>
                                <a:ext cx="825500" cy="3492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F51CB3">
                                  <w:pPr>
                                    <w:rPr>
                                      <w:rFonts w:hint="eastAsia" w:eastAsia="宋体"/>
                                      <w:b/>
                                      <w:bCs/>
                                      <w:color w:val="FF0000"/>
                                      <w:lang w:val="en-US" w:eastAsia="zh-CN"/>
                                    </w:rPr>
                                  </w:pPr>
                                  <w:r>
                                    <w:rPr>
                                      <w:rFonts w:hint="eastAsia"/>
                                      <w:b/>
                                      <w:bCs/>
                                      <w:color w:val="FF0000"/>
                                      <w:lang w:val="en-US" w:eastAsia="zh-CN"/>
                                    </w:rPr>
                                    <w:t>本项目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6.4pt;margin-top:95.8pt;height:27.5pt;width:65pt;z-index:251676672;mso-width-relative:page;mso-height-relative:page;" filled="f" stroked="f" coordsize="21600,21600" o:gfxdata="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Lt/t0HaAAAACwEAAA8AAAAAAAAAAQAgAAAAIgAAAGRy&#10;cy9kb3ducmV2LnhtbFBLAQIUABQAAAAIAIdO4kDPpaSePAIAAGkEAAAOAAAAAAAAAAEAIAAAACkB&#10;AABkcnMvZTJvRG9jLnhtbFBLBQYAAAAABgAGAFkBAADXBQAAAAA=&#10;">
                      <v:fill on="f" focussize="0,0"/>
                      <v:stroke on="f" weight="0.5pt"/>
                      <v:imagedata o:title=""/>
                      <o:lock v:ext="edit" aspectratio="f"/>
                      <v:textbox>
                        <w:txbxContent>
                          <w:p w14:paraId="7FF51CB3">
                            <w:pPr>
                              <w:rPr>
                                <w:rFonts w:hint="eastAsia" w:eastAsia="宋体"/>
                                <w:b/>
                                <w:bCs/>
                                <w:color w:val="FF0000"/>
                                <w:lang w:val="en-US" w:eastAsia="zh-CN"/>
                              </w:rPr>
                            </w:pPr>
                            <w:r>
                              <w:rPr>
                                <w:rFonts w:hint="eastAsia"/>
                                <w:b/>
                                <w:bCs/>
                                <w:color w:val="FF0000"/>
                                <w:lang w:val="en-US" w:eastAsia="zh-CN"/>
                              </w:rPr>
                              <w:t>本项目</w:t>
                            </w:r>
                          </w:p>
                        </w:txbxContent>
                      </v:textbox>
                    </v:shape>
                  </w:pict>
                </mc:Fallback>
              </mc:AlternateContent>
            </w:r>
            <w:r>
              <w:rPr>
                <w:sz w:val="28"/>
              </w:rPr>
              <mc:AlternateContent>
                <mc:Choice Requires="wps">
                  <w:drawing>
                    <wp:anchor distT="0" distB="0" distL="114300" distR="114300" simplePos="0" relativeHeight="251675648" behindDoc="0" locked="0" layoutInCell="1" allowOverlap="1">
                      <wp:simplePos x="0" y="0"/>
                      <wp:positionH relativeFrom="column">
                        <wp:posOffset>1120775</wp:posOffset>
                      </wp:positionH>
                      <wp:positionV relativeFrom="paragraph">
                        <wp:posOffset>1511935</wp:posOffset>
                      </wp:positionV>
                      <wp:extent cx="128905" cy="113030"/>
                      <wp:effectExtent l="12700" t="12700" r="29845" b="26670"/>
                      <wp:wrapNone/>
                      <wp:docPr id="123" name="五角星 123"/>
                      <wp:cNvGraphicFramePr/>
                      <a:graphic xmlns:a="http://schemas.openxmlformats.org/drawingml/2006/main">
                        <a:graphicData uri="http://schemas.microsoft.com/office/word/2010/wordprocessingShape">
                          <wps:wsp>
                            <wps:cNvSpPr/>
                            <wps:spPr>
                              <a:xfrm>
                                <a:off x="0" y="0"/>
                                <a:ext cx="128905" cy="113030"/>
                              </a:xfrm>
                              <a:prstGeom prst="star5">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88.25pt;margin-top:119.05pt;height:8.9pt;width:10.15pt;z-index:251675648;v-text-anchor:middle;mso-width-relative:page;mso-height-relative:page;" fillcolor="#FF0000" filled="t" stroked="t" coordsize="128905,113030" o:gfxdata="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tXfkPdgAAAALAQAADwAAAAAAAAABACAAAAAiAAAAZHJzL2Rvd25yZXYueG1s&#10;UEsBAhQAFAAAAAgAh07iQPtyo/NqAgAA5AQAAA4AAAAAAAAAAQAgAAAAJwEAAGRycy9lMm9Eb2Mu&#10;eG1sUEsFBgAAAAAGAAYAWQEAAAMGAAAAAA==&#10;" path="m0,43173l49237,43173,64452,0,79667,43173,128904,43173,89070,69856,104286,113029,64452,86346,24618,113029,39834,69856xe">
                      <v:path o:connectlocs="64452,0;0,43173;24618,113029;104286,113029;128904,43173" o:connectangles="247,164,82,82,0"/>
                      <v:fill on="t" focussize="0,0"/>
                      <v:stroke weight="2pt" color="#FF0000 [2404]" joinstyle="round"/>
                      <v:imagedata o:title=""/>
                      <o:lock v:ext="edit" aspectratio="f"/>
                    </v:shape>
                  </w:pict>
                </mc:Fallback>
              </mc:AlternateContent>
            </w:r>
            <w:r>
              <w:rPr>
                <w:sz w:val="28"/>
              </w:rPr>
              <mc:AlternateContent>
                <mc:Choice Requires="wps">
                  <w:drawing>
                    <wp:anchor distT="0" distB="0" distL="114300" distR="114300" simplePos="0" relativeHeight="251674624" behindDoc="0" locked="0" layoutInCell="1" allowOverlap="1">
                      <wp:simplePos x="0" y="0"/>
                      <wp:positionH relativeFrom="column">
                        <wp:posOffset>311150</wp:posOffset>
                      </wp:positionH>
                      <wp:positionV relativeFrom="paragraph">
                        <wp:posOffset>899160</wp:posOffset>
                      </wp:positionV>
                      <wp:extent cx="1664970" cy="1556385"/>
                      <wp:effectExtent l="6350" t="6350" r="24130" b="18415"/>
                      <wp:wrapNone/>
                      <wp:docPr id="122" name="文本框 122"/>
                      <wp:cNvGraphicFramePr/>
                      <a:graphic xmlns:a="http://schemas.openxmlformats.org/drawingml/2006/main">
                        <a:graphicData uri="http://schemas.microsoft.com/office/word/2010/wordprocessingShape">
                          <wps:wsp>
                            <wps:cNvSpPr txBox="1"/>
                            <wps:spPr>
                              <a:xfrm>
                                <a:off x="0" y="0"/>
                                <a:ext cx="1664970" cy="1556385"/>
                              </a:xfrm>
                              <a:prstGeom prst="rect">
                                <a:avLst/>
                              </a:prstGeom>
                              <a:noFill/>
                              <a:ln w="1270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58AEE60F"/>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5pt;margin-top:70.8pt;height:122.55pt;width:131.1pt;z-index:251674624;mso-width-relative:page;mso-height-relative:page;" filled="f" stroked="t" coordsize="21600,21600" o:gfxdata="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LqqT71wAAAAoBAAAP&#10;AAAAAAAAAAEAIAAAACIAAABkcnMvZG93bnJldi54bWxQSwECFAAUAAAACACHTuJAUhoIzFICAACV&#10;BAAADgAAAAAAAAABACAAAAAmAQAAZHJzL2Uyb0RvYy54bWxQSwUGAAAAAAYABgBZAQAA6gUAAAAA&#10;">
                      <v:fill on="f" focussize="0,0"/>
                      <v:stroke weight="1pt" color="#000000 [3213]" joinstyle="round"/>
                      <v:imagedata o:title=""/>
                      <o:lock v:ext="edit" aspectratio="f"/>
                      <v:textbox>
                        <w:txbxContent>
                          <w:p w14:paraId="58AEE60F"/>
                        </w:txbxContent>
                      </v:textbox>
                    </v:shape>
                  </w:pict>
                </mc:Fallback>
              </mc:AlternateContent>
            </w:r>
            <w:r>
              <w:drawing>
                <wp:anchor distT="0" distB="0" distL="114300" distR="114300" simplePos="0" relativeHeight="251673600" behindDoc="0" locked="0" layoutInCell="1" allowOverlap="1">
                  <wp:simplePos x="0" y="0"/>
                  <wp:positionH relativeFrom="column">
                    <wp:posOffset>317500</wp:posOffset>
                  </wp:positionH>
                  <wp:positionV relativeFrom="paragraph">
                    <wp:posOffset>904875</wp:posOffset>
                  </wp:positionV>
                  <wp:extent cx="1656715" cy="1558290"/>
                  <wp:effectExtent l="0" t="0" r="635" b="3810"/>
                  <wp:wrapNone/>
                  <wp:docPr id="1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8"/>
                          <pic:cNvPicPr>
                            <a:picLocks noChangeAspect="1"/>
                          </pic:cNvPicPr>
                        </pic:nvPicPr>
                        <pic:blipFill>
                          <a:blip r:embed="rId13"/>
                          <a:stretch>
                            <a:fillRect/>
                          </a:stretch>
                        </pic:blipFill>
                        <pic:spPr>
                          <a:xfrm>
                            <a:off x="0" y="0"/>
                            <a:ext cx="1656715" cy="1558290"/>
                          </a:xfrm>
                          <a:prstGeom prst="rect">
                            <a:avLst/>
                          </a:prstGeom>
                          <a:noFill/>
                          <a:ln>
                            <a:noFill/>
                          </a:ln>
                        </pic:spPr>
                      </pic:pic>
                    </a:graphicData>
                  </a:graphic>
                </wp:anchor>
              </w:drawing>
            </w:r>
            <w:r>
              <w:drawing>
                <wp:inline distT="0" distB="0" distL="114300" distR="114300">
                  <wp:extent cx="5266055" cy="3726180"/>
                  <wp:effectExtent l="0" t="0" r="10795" b="7620"/>
                  <wp:docPr id="1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7"/>
                          <pic:cNvPicPr>
                            <a:picLocks noChangeAspect="1"/>
                          </pic:cNvPicPr>
                        </pic:nvPicPr>
                        <pic:blipFill>
                          <a:blip r:embed="rId14"/>
                          <a:stretch>
                            <a:fillRect/>
                          </a:stretch>
                        </pic:blipFill>
                        <pic:spPr>
                          <a:xfrm>
                            <a:off x="0" y="0"/>
                            <a:ext cx="5266055" cy="3726180"/>
                          </a:xfrm>
                          <a:prstGeom prst="rect">
                            <a:avLst/>
                          </a:prstGeom>
                          <a:noFill/>
                          <a:ln>
                            <a:noFill/>
                          </a:ln>
                        </pic:spPr>
                      </pic:pic>
                    </a:graphicData>
                  </a:graphic>
                </wp:inline>
              </w:drawing>
            </w:r>
          </w:p>
          <w:p w14:paraId="52BA1AFB">
            <w:pPr>
              <w:pStyle w:val="2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bCs w:val="0"/>
                <w:color w:val="auto"/>
                <w:sz w:val="24"/>
                <w:szCs w:val="24"/>
                <w:lang w:val="en-US" w:eastAsia="zh-CN"/>
              </w:rPr>
            </w:pPr>
            <w:r>
              <w:rPr>
                <w:rFonts w:hint="eastAsia"/>
                <w:b/>
                <w:bCs/>
                <w:lang w:val="en-US" w:eastAsia="zh-CN"/>
              </w:rPr>
              <w:t>图1-4  建设项目与土壤环境分区管控位置关系图</w:t>
            </w:r>
          </w:p>
          <w:p w14:paraId="15A2FD56">
            <w:pPr>
              <w:spacing w:line="360" w:lineRule="auto"/>
              <w:ind w:firstLine="480" w:firstLineChars="200"/>
              <w:jc w:val="both"/>
              <w:rPr>
                <w:rFonts w:hint="default" w:ascii="Times New Roman" w:hAnsi="Times New Roman" w:eastAsia="宋体" w:cs="Times New Roman"/>
                <w:b/>
                <w:bCs w:val="0"/>
                <w:color w:val="auto"/>
                <w:sz w:val="24"/>
                <w:szCs w:val="24"/>
                <w:lang w:val="en-US" w:eastAsia="zh-CN"/>
              </w:rPr>
            </w:pPr>
            <w:r>
              <w:rPr>
                <w:rFonts w:hint="eastAsia" w:cs="Times New Roman"/>
                <w:color w:val="auto"/>
                <w:lang w:val="en-US" w:eastAsia="zh-CN"/>
              </w:rPr>
              <w:t>（4）项目与“三线一单”要求符合性分析</w:t>
            </w:r>
            <w:r>
              <w:rPr>
                <w:rFonts w:hint="eastAsia" w:ascii="Times New Roman" w:hAnsi="Times New Roman" w:cs="Times New Roman"/>
                <w:color w:val="auto"/>
                <w:lang w:val="en-US" w:eastAsia="zh-CN"/>
              </w:rPr>
              <w:t xml:space="preserve"> </w:t>
            </w:r>
          </w:p>
          <w:p w14:paraId="2643B2FF">
            <w:pPr>
              <w:pStyle w:val="2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cs="Times New Roman"/>
                <w:b/>
                <w:bCs w:val="0"/>
                <w:color w:val="auto"/>
                <w:sz w:val="24"/>
                <w:szCs w:val="24"/>
                <w:lang w:val="en-US" w:eastAsia="zh-CN"/>
              </w:rPr>
            </w:pPr>
            <w:r>
              <w:rPr>
                <w:rFonts w:hint="default" w:ascii="Times New Roman" w:hAnsi="Times New Roman" w:eastAsia="宋体" w:cs="Times New Roman"/>
                <w:b/>
                <w:bCs w:val="0"/>
                <w:color w:val="auto"/>
                <w:sz w:val="24"/>
                <w:szCs w:val="24"/>
                <w:lang w:val="en-US" w:eastAsia="zh-CN"/>
              </w:rPr>
              <w:t>表1-</w:t>
            </w:r>
            <w:r>
              <w:rPr>
                <w:rFonts w:hint="eastAsia" w:cs="Times New Roman"/>
                <w:b/>
                <w:bCs w:val="0"/>
                <w:color w:val="auto"/>
                <w:sz w:val="24"/>
                <w:szCs w:val="24"/>
                <w:lang w:val="en-US" w:eastAsia="zh-CN"/>
              </w:rPr>
              <w:t>4</w:t>
            </w:r>
            <w:r>
              <w:rPr>
                <w:rFonts w:hint="eastAsia" w:eastAsia="宋体" w:cs="Times New Roman"/>
                <w:b/>
                <w:bCs w:val="0"/>
                <w:color w:val="auto"/>
                <w:sz w:val="24"/>
                <w:szCs w:val="24"/>
                <w:lang w:val="en-US" w:eastAsia="zh-CN"/>
              </w:rPr>
              <w:t xml:space="preserve">  </w:t>
            </w:r>
            <w:r>
              <w:rPr>
                <w:rFonts w:hint="eastAsia" w:cs="Times New Roman"/>
                <w:b/>
                <w:bCs w:val="0"/>
                <w:color w:val="auto"/>
                <w:sz w:val="24"/>
                <w:szCs w:val="24"/>
                <w:lang w:val="en-US" w:eastAsia="zh-CN"/>
              </w:rPr>
              <w:t>本项目与“三线一单”要求符合性分析</w:t>
            </w:r>
          </w:p>
          <w:tbl>
            <w:tblPr>
              <w:tblStyle w:val="27"/>
              <w:tblW w:w="83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7"/>
              <w:gridCol w:w="470"/>
              <w:gridCol w:w="3626"/>
              <w:gridCol w:w="3561"/>
            </w:tblGrid>
            <w:tr w14:paraId="55258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Align w:val="center"/>
                </w:tcPr>
                <w:p w14:paraId="06990D94">
                  <w:pPr>
                    <w:pStyle w:val="2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序号</w:t>
                  </w:r>
                </w:p>
              </w:tc>
              <w:tc>
                <w:tcPr>
                  <w:tcW w:w="4096" w:type="dxa"/>
                  <w:gridSpan w:val="2"/>
                  <w:vAlign w:val="center"/>
                </w:tcPr>
                <w:p w14:paraId="0ED19F79">
                  <w:pPr>
                    <w:pStyle w:val="2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“三线一单”要求</w:t>
                  </w:r>
                </w:p>
              </w:tc>
              <w:tc>
                <w:tcPr>
                  <w:tcW w:w="3561" w:type="dxa"/>
                  <w:vAlign w:val="center"/>
                </w:tcPr>
                <w:p w14:paraId="436CFF0F">
                  <w:pPr>
                    <w:pStyle w:val="2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本项目情况</w:t>
                  </w:r>
                </w:p>
              </w:tc>
            </w:tr>
            <w:tr w14:paraId="5485B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Align w:val="center"/>
                </w:tcPr>
                <w:p w14:paraId="3A5067FC">
                  <w:pPr>
                    <w:pStyle w:val="2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1</w:t>
                  </w:r>
                </w:p>
              </w:tc>
              <w:tc>
                <w:tcPr>
                  <w:tcW w:w="470" w:type="dxa"/>
                  <w:vAlign w:val="center"/>
                </w:tcPr>
                <w:p w14:paraId="455DC36A">
                  <w:pPr>
                    <w:pStyle w:val="2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生态保护红线</w:t>
                  </w:r>
                </w:p>
              </w:tc>
              <w:tc>
                <w:tcPr>
                  <w:tcW w:w="3626" w:type="dxa"/>
                  <w:vAlign w:val="center"/>
                </w:tcPr>
                <w:p w14:paraId="10EF9DF5">
                  <w:pPr>
                    <w:keepNext w:val="0"/>
                    <w:keepLines w:val="0"/>
                    <w:widowControl/>
                    <w:suppressLineNumbers w:val="0"/>
                    <w:jc w:val="left"/>
                    <w:rPr>
                      <w:rFonts w:hint="default" w:cs="Times New Roman"/>
                      <w:b w:val="0"/>
                      <w:bCs/>
                      <w:color w:val="auto"/>
                      <w:sz w:val="21"/>
                      <w:szCs w:val="21"/>
                      <w:vertAlign w:val="baseline"/>
                      <w:lang w:val="en-US" w:eastAsia="zh-CN"/>
                    </w:rPr>
                  </w:pPr>
                  <w:r>
                    <w:rPr>
                      <w:rFonts w:hint="eastAsia" w:ascii="宋体" w:hAnsi="宋体" w:eastAsia="宋体" w:cs="宋体"/>
                      <w:color w:val="000000"/>
                      <w:kern w:val="0"/>
                      <w:sz w:val="21"/>
                      <w:szCs w:val="21"/>
                      <w:lang w:val="en-US" w:eastAsia="zh-CN" w:bidi="ar"/>
                    </w:rPr>
                    <w:t>相关规划环评应将生态空间管控作为重要内容，规划区域涉及生态保护红线的，在规划环评结论和审查意见中应落实生态保护红线的管理要求，提出相应对策措施。除受自然条件限制、确实无法避让的铁路、公路、航道、防洪、管道、干渠、通讯、输变电等重要基础设施项目外，在生态保护红线范围内，依法不予审批新建工业项目和矿产开发项目的环评文件。</w:t>
                  </w:r>
                </w:p>
              </w:tc>
              <w:tc>
                <w:tcPr>
                  <w:tcW w:w="3561" w:type="dxa"/>
                  <w:vAlign w:val="center"/>
                </w:tcPr>
                <w:p w14:paraId="1BC636D6">
                  <w:pPr>
                    <w:keepNext w:val="0"/>
                    <w:keepLines w:val="0"/>
                    <w:widowControl/>
                    <w:suppressLineNumbers w:val="0"/>
                    <w:jc w:val="left"/>
                    <w:rPr>
                      <w:rFonts w:hint="default" w:cs="Times New Roman"/>
                      <w:b w:val="0"/>
                      <w:bCs/>
                      <w:color w:val="auto"/>
                      <w:sz w:val="21"/>
                      <w:szCs w:val="21"/>
                      <w:vertAlign w:val="baseline"/>
                      <w:lang w:val="en-US" w:eastAsia="zh-CN"/>
                    </w:rPr>
                  </w:pPr>
                  <w:r>
                    <w:rPr>
                      <w:rFonts w:hint="eastAsia" w:ascii="宋体" w:hAnsi="宋体" w:eastAsia="宋体" w:cs="宋体"/>
                      <w:color w:val="000000"/>
                      <w:kern w:val="0"/>
                      <w:sz w:val="21"/>
                      <w:szCs w:val="21"/>
                      <w:lang w:val="en-US" w:eastAsia="zh-CN" w:bidi="ar"/>
                    </w:rPr>
                    <w:t>本项目位于</w:t>
                  </w:r>
                  <w:r>
                    <w:rPr>
                      <w:rFonts w:hint="eastAsia" w:ascii="宋体" w:hAnsi="宋体" w:cs="宋体"/>
                      <w:color w:val="000000"/>
                      <w:kern w:val="0"/>
                      <w:sz w:val="21"/>
                      <w:szCs w:val="21"/>
                      <w:lang w:val="en-US" w:eastAsia="zh-CN" w:bidi="ar"/>
                    </w:rPr>
                    <w:t>霍山县诸佛庵镇狮山村穆家畈组</w:t>
                  </w:r>
                  <w:r>
                    <w:rPr>
                      <w:rFonts w:hint="eastAsia" w:ascii="宋体" w:hAnsi="宋体" w:eastAsia="宋体" w:cs="宋体"/>
                      <w:color w:val="000000"/>
                      <w:kern w:val="0"/>
                      <w:sz w:val="21"/>
                      <w:szCs w:val="21"/>
                      <w:lang w:val="en-US" w:eastAsia="zh-CN" w:bidi="ar"/>
                    </w:rPr>
                    <w:t>，项目用地</w:t>
                  </w:r>
                  <w:r>
                    <w:rPr>
                      <w:rFonts w:hint="eastAsia" w:ascii="宋体" w:hAnsi="宋体" w:cs="宋体"/>
                      <w:color w:val="000000"/>
                      <w:kern w:val="0"/>
                      <w:sz w:val="21"/>
                      <w:szCs w:val="21"/>
                      <w:lang w:val="en-US" w:eastAsia="zh-CN" w:bidi="ar"/>
                    </w:rPr>
                    <w:t>性质</w:t>
                  </w:r>
                  <w:r>
                    <w:rPr>
                      <w:rFonts w:hint="eastAsia" w:ascii="宋体" w:hAnsi="宋体" w:eastAsia="宋体" w:cs="宋体"/>
                      <w:color w:val="000000"/>
                      <w:kern w:val="0"/>
                      <w:sz w:val="21"/>
                      <w:szCs w:val="21"/>
                      <w:lang w:val="en-US" w:eastAsia="zh-CN" w:bidi="ar"/>
                    </w:rPr>
                    <w:t>为工业用地，占地不涉及生态保护红线，符合生态保护红线要求。</w:t>
                  </w:r>
                </w:p>
              </w:tc>
            </w:tr>
            <w:tr w14:paraId="30963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Align w:val="center"/>
                </w:tcPr>
                <w:p w14:paraId="6F76EE0F">
                  <w:pPr>
                    <w:pStyle w:val="2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2</w:t>
                  </w:r>
                </w:p>
              </w:tc>
              <w:tc>
                <w:tcPr>
                  <w:tcW w:w="470" w:type="dxa"/>
                  <w:vAlign w:val="center"/>
                </w:tcPr>
                <w:p w14:paraId="5C89FF41">
                  <w:pPr>
                    <w:pStyle w:val="2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环境质量底线</w:t>
                  </w:r>
                </w:p>
              </w:tc>
              <w:tc>
                <w:tcPr>
                  <w:tcW w:w="3626" w:type="dxa"/>
                  <w:vAlign w:val="center"/>
                </w:tcPr>
                <w:p w14:paraId="2C3B6701">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环境质量底线是国家和地方设置的大气、水和土壤环境质量目标，也是改善环境质量的基准线。有关规划环评应落实区域环境质量目标管理要求，提出区域或者行业污染物排放总量管控建议以及优化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控制要求。</w:t>
                  </w:r>
                </w:p>
              </w:tc>
              <w:tc>
                <w:tcPr>
                  <w:tcW w:w="3561" w:type="dxa"/>
                  <w:vAlign w:val="center"/>
                </w:tcPr>
                <w:p w14:paraId="756309B7">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根据霍山县人民政府网</w:t>
                  </w:r>
                  <w:r>
                    <w:rPr>
                      <w:rFonts w:hint="default" w:ascii="Times New Roman" w:hAnsi="Times New Roman" w:eastAsia="宋体" w:cs="Times New Roman"/>
                      <w:color w:val="000000"/>
                      <w:kern w:val="0"/>
                      <w:sz w:val="21"/>
                      <w:szCs w:val="21"/>
                      <w:lang w:val="en-US" w:eastAsia="zh-CN" w:bidi="ar"/>
                    </w:rPr>
                    <w:t>2025</w:t>
                  </w:r>
                  <w:r>
                    <w:rPr>
                      <w:rFonts w:hint="eastAsia" w:ascii="宋体" w:hAnsi="宋体" w:eastAsia="宋体" w:cs="宋体"/>
                      <w:color w:val="000000"/>
                      <w:kern w:val="0"/>
                      <w:sz w:val="21"/>
                      <w:szCs w:val="21"/>
                      <w:lang w:val="en-US" w:eastAsia="zh-CN" w:bidi="ar"/>
                    </w:rPr>
                    <w:t>年</w:t>
                  </w:r>
                  <w:r>
                    <w:rPr>
                      <w:rFonts w:hint="default" w:ascii="Times New Roman" w:hAnsi="Times New Roman" w:eastAsia="宋体" w:cs="Times New Roman"/>
                      <w:color w:val="000000"/>
                      <w:kern w:val="0"/>
                      <w:sz w:val="21"/>
                      <w:szCs w:val="21"/>
                      <w:lang w:val="en-US" w:eastAsia="zh-CN" w:bidi="ar"/>
                    </w:rPr>
                    <w:t>1</w:t>
                  </w:r>
                  <w:r>
                    <w:rPr>
                      <w:rFonts w:hint="eastAsia" w:ascii="宋体" w:hAnsi="宋体" w:eastAsia="宋体" w:cs="宋体"/>
                      <w:color w:val="000000"/>
                      <w:kern w:val="0"/>
                      <w:sz w:val="21"/>
                      <w:szCs w:val="21"/>
                      <w:lang w:val="en-US" w:eastAsia="zh-CN" w:bidi="ar"/>
                    </w:rPr>
                    <w:t>月</w:t>
                  </w:r>
                  <w:r>
                    <w:rPr>
                      <w:rFonts w:hint="default" w:ascii="Times New Roman" w:hAnsi="Times New Roman" w:eastAsia="宋体" w:cs="Times New Roman"/>
                      <w:color w:val="000000"/>
                      <w:kern w:val="0"/>
                      <w:sz w:val="21"/>
                      <w:szCs w:val="21"/>
                      <w:lang w:val="en-US" w:eastAsia="zh-CN" w:bidi="ar"/>
                    </w:rPr>
                    <w:t>9</w:t>
                  </w:r>
                  <w:r>
                    <w:rPr>
                      <w:rFonts w:hint="eastAsia" w:ascii="宋体" w:hAnsi="宋体" w:eastAsia="宋体" w:cs="宋体"/>
                      <w:color w:val="000000"/>
                      <w:kern w:val="0"/>
                      <w:sz w:val="21"/>
                      <w:szCs w:val="21"/>
                      <w:lang w:val="en-US" w:eastAsia="zh-CN" w:bidi="ar"/>
                    </w:rPr>
                    <w:t>日发布的《</w:t>
                  </w:r>
                  <w:r>
                    <w:rPr>
                      <w:rFonts w:hint="default" w:ascii="Times New Roman" w:hAnsi="Times New Roman" w:eastAsia="宋体" w:cs="Times New Roman"/>
                      <w:color w:val="000000"/>
                      <w:kern w:val="0"/>
                      <w:sz w:val="21"/>
                      <w:szCs w:val="21"/>
                      <w:lang w:val="en-US" w:eastAsia="zh-CN" w:bidi="ar"/>
                    </w:rPr>
                    <w:t>2024</w:t>
                  </w:r>
                  <w:r>
                    <w:rPr>
                      <w:rFonts w:hint="eastAsia" w:ascii="宋体" w:hAnsi="宋体" w:eastAsia="宋体" w:cs="宋体"/>
                      <w:color w:val="000000"/>
                      <w:kern w:val="0"/>
                      <w:sz w:val="21"/>
                      <w:szCs w:val="21"/>
                      <w:lang w:val="en-US" w:eastAsia="zh-CN" w:bidi="ar"/>
                    </w:rPr>
                    <w:t>年霍山县环境质量报告》，项目所在区域环境空气</w:t>
                  </w:r>
                  <w:r>
                    <w:rPr>
                      <w:rFonts w:hint="default" w:ascii="Times New Roman" w:hAnsi="Times New Roman" w:eastAsia="宋体" w:cs="Times New Roman"/>
                      <w:color w:val="000000"/>
                      <w:kern w:val="0"/>
                      <w:sz w:val="21"/>
                      <w:szCs w:val="21"/>
                      <w:lang w:val="en-US" w:eastAsia="zh-CN" w:bidi="ar"/>
                    </w:rPr>
                    <w:t>PM</w:t>
                  </w:r>
                  <w:r>
                    <w:rPr>
                      <w:rFonts w:hint="default" w:ascii="Times New Roman" w:hAnsi="Times New Roman" w:eastAsia="宋体" w:cs="Times New Roman"/>
                      <w:color w:val="000000"/>
                      <w:kern w:val="0"/>
                      <w:sz w:val="21"/>
                      <w:szCs w:val="21"/>
                      <w:vertAlign w:val="subscript"/>
                      <w:lang w:val="en-US" w:eastAsia="zh-CN" w:bidi="ar"/>
                    </w:rPr>
                    <w:t>10</w:t>
                  </w: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PM</w:t>
                  </w:r>
                  <w:r>
                    <w:rPr>
                      <w:rFonts w:hint="default" w:ascii="Times New Roman" w:hAnsi="Times New Roman" w:eastAsia="宋体" w:cs="Times New Roman"/>
                      <w:color w:val="000000"/>
                      <w:kern w:val="0"/>
                      <w:sz w:val="21"/>
                      <w:szCs w:val="21"/>
                      <w:vertAlign w:val="subscript"/>
                      <w:lang w:val="en-US" w:eastAsia="zh-CN" w:bidi="ar"/>
                    </w:rPr>
                    <w:t>2.5</w:t>
                  </w: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SO</w:t>
                  </w:r>
                  <w:r>
                    <w:rPr>
                      <w:rFonts w:hint="default" w:ascii="Times New Roman" w:hAnsi="Times New Roman" w:eastAsia="宋体" w:cs="Times New Roman"/>
                      <w:color w:val="000000"/>
                      <w:kern w:val="0"/>
                      <w:sz w:val="21"/>
                      <w:szCs w:val="21"/>
                      <w:vertAlign w:val="subscript"/>
                      <w:lang w:val="en-US" w:eastAsia="zh-CN" w:bidi="ar"/>
                    </w:rPr>
                    <w:t>2</w:t>
                  </w: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NO</w:t>
                  </w:r>
                  <w:r>
                    <w:rPr>
                      <w:rFonts w:hint="default" w:ascii="Times New Roman" w:hAnsi="Times New Roman" w:eastAsia="宋体" w:cs="Times New Roman"/>
                      <w:color w:val="000000"/>
                      <w:kern w:val="0"/>
                      <w:sz w:val="21"/>
                      <w:szCs w:val="21"/>
                      <w:vertAlign w:val="subscript"/>
                      <w:lang w:val="en-US" w:eastAsia="zh-CN" w:bidi="ar"/>
                    </w:rPr>
                    <w:t>2</w:t>
                  </w:r>
                  <w:r>
                    <w:rPr>
                      <w:rFonts w:hint="default" w:ascii="Times New Roman" w:hAnsi="Times New Roman" w:eastAsia="宋体" w:cs="Times New Roman"/>
                      <w:color w:val="000000"/>
                      <w:kern w:val="0"/>
                      <w:sz w:val="21"/>
                      <w:szCs w:val="21"/>
                      <w:lang w:val="en-US" w:eastAsia="zh-CN" w:bidi="ar"/>
                    </w:rPr>
                    <w:t xml:space="preserve"> </w:t>
                  </w:r>
                  <w:r>
                    <w:rPr>
                      <w:rFonts w:hint="eastAsia" w:ascii="宋体" w:hAnsi="宋体" w:eastAsia="宋体" w:cs="宋体"/>
                      <w:color w:val="000000"/>
                      <w:kern w:val="0"/>
                      <w:sz w:val="21"/>
                      <w:szCs w:val="21"/>
                      <w:lang w:val="en-US" w:eastAsia="zh-CN" w:bidi="ar"/>
                    </w:rPr>
                    <w:t>年平均浓度、</w:t>
                  </w:r>
                  <w:r>
                    <w:rPr>
                      <w:rFonts w:hint="default" w:ascii="Times New Roman" w:hAnsi="Times New Roman" w:eastAsia="宋体" w:cs="Times New Roman"/>
                      <w:color w:val="000000"/>
                      <w:kern w:val="0"/>
                      <w:sz w:val="21"/>
                      <w:szCs w:val="21"/>
                      <w:lang w:val="en-US" w:eastAsia="zh-CN" w:bidi="ar"/>
                    </w:rPr>
                    <w:t>CO</w:t>
                  </w:r>
                  <w:r>
                    <w:rPr>
                      <w:rFonts w:hint="eastAsia" w:ascii="宋体" w:hAnsi="宋体" w:eastAsia="宋体" w:cs="宋体"/>
                      <w:color w:val="000000"/>
                      <w:kern w:val="0"/>
                      <w:sz w:val="21"/>
                      <w:szCs w:val="21"/>
                      <w:lang w:val="en-US" w:eastAsia="zh-CN" w:bidi="ar"/>
                    </w:rPr>
                    <w:t>日平均第</w:t>
                  </w:r>
                  <w:r>
                    <w:rPr>
                      <w:rFonts w:hint="default" w:ascii="Times New Roman" w:hAnsi="Times New Roman" w:eastAsia="宋体" w:cs="Times New Roman"/>
                      <w:color w:val="000000"/>
                      <w:kern w:val="0"/>
                      <w:sz w:val="21"/>
                      <w:szCs w:val="21"/>
                      <w:lang w:val="en-US" w:eastAsia="zh-CN" w:bidi="ar"/>
                    </w:rPr>
                    <w:t>95</w:t>
                  </w:r>
                  <w:r>
                    <w:rPr>
                      <w:rFonts w:hint="eastAsia" w:ascii="宋体" w:hAnsi="宋体" w:eastAsia="宋体" w:cs="宋体"/>
                      <w:color w:val="000000"/>
                      <w:kern w:val="0"/>
                      <w:sz w:val="21"/>
                      <w:szCs w:val="21"/>
                      <w:lang w:val="en-US" w:eastAsia="zh-CN" w:bidi="ar"/>
                    </w:rPr>
                    <w:t>百分位数质量度、</w:t>
                  </w:r>
                  <w:r>
                    <w:rPr>
                      <w:rFonts w:hint="default" w:ascii="Times New Roman" w:hAnsi="Times New Roman" w:eastAsia="宋体" w:cs="Times New Roman"/>
                      <w:color w:val="000000"/>
                      <w:kern w:val="0"/>
                      <w:sz w:val="21"/>
                      <w:szCs w:val="21"/>
                      <w:lang w:val="en-US" w:eastAsia="zh-CN" w:bidi="ar"/>
                    </w:rPr>
                    <w:t>O</w:t>
                  </w:r>
                  <w:r>
                    <w:rPr>
                      <w:rFonts w:hint="default" w:ascii="Times New Roman" w:hAnsi="Times New Roman" w:eastAsia="宋体" w:cs="Times New Roman"/>
                      <w:color w:val="000000"/>
                      <w:kern w:val="0"/>
                      <w:sz w:val="21"/>
                      <w:szCs w:val="21"/>
                      <w:vertAlign w:val="subscript"/>
                      <w:lang w:val="en-US" w:eastAsia="zh-CN" w:bidi="ar"/>
                    </w:rPr>
                    <w:t>3</w:t>
                  </w:r>
                  <w:r>
                    <w:rPr>
                      <w:rFonts w:hint="eastAsia" w:ascii="宋体" w:hAnsi="宋体" w:eastAsia="宋体" w:cs="宋体"/>
                      <w:color w:val="000000"/>
                      <w:kern w:val="0"/>
                      <w:sz w:val="21"/>
                      <w:szCs w:val="21"/>
                      <w:lang w:val="en-US" w:eastAsia="zh-CN" w:bidi="ar"/>
                    </w:rPr>
                    <w:t>日最大</w:t>
                  </w:r>
                  <w:r>
                    <w:rPr>
                      <w:rFonts w:hint="default" w:ascii="Times New Roman" w:hAnsi="Times New Roman" w:eastAsia="宋体" w:cs="Times New Roman"/>
                      <w:color w:val="000000"/>
                      <w:kern w:val="0"/>
                      <w:sz w:val="21"/>
                      <w:szCs w:val="21"/>
                      <w:lang w:val="en-US" w:eastAsia="zh-CN" w:bidi="ar"/>
                    </w:rPr>
                    <w:t>8h</w:t>
                  </w:r>
                  <w:r>
                    <w:rPr>
                      <w:rFonts w:hint="eastAsia" w:ascii="宋体" w:hAnsi="宋体" w:eastAsia="宋体" w:cs="宋体"/>
                      <w:color w:val="000000"/>
                      <w:kern w:val="0"/>
                      <w:sz w:val="21"/>
                      <w:szCs w:val="21"/>
                      <w:lang w:val="en-US" w:eastAsia="zh-CN" w:bidi="ar"/>
                    </w:rPr>
                    <w:t>平均浓度第</w:t>
                  </w:r>
                  <w:r>
                    <w:rPr>
                      <w:rFonts w:hint="default" w:ascii="Times New Roman" w:hAnsi="Times New Roman" w:eastAsia="宋体" w:cs="Times New Roman"/>
                      <w:color w:val="000000"/>
                      <w:kern w:val="0"/>
                      <w:sz w:val="21"/>
                      <w:szCs w:val="21"/>
                      <w:lang w:val="en-US" w:eastAsia="zh-CN" w:bidi="ar"/>
                    </w:rPr>
                    <w:t>90</w:t>
                  </w:r>
                  <w:r>
                    <w:rPr>
                      <w:rFonts w:hint="eastAsia" w:ascii="宋体" w:hAnsi="宋体" w:eastAsia="宋体" w:cs="宋体"/>
                      <w:color w:val="000000"/>
                      <w:kern w:val="0"/>
                      <w:sz w:val="21"/>
                      <w:szCs w:val="21"/>
                      <w:lang w:val="en-US" w:eastAsia="zh-CN" w:bidi="ar"/>
                    </w:rPr>
                    <w:t>百分位满足《环境空气质量标准》（</w:t>
                  </w:r>
                  <w:r>
                    <w:rPr>
                      <w:rFonts w:hint="default" w:ascii="Times New Roman" w:hAnsi="Times New Roman" w:eastAsia="宋体" w:cs="Times New Roman"/>
                      <w:color w:val="000000"/>
                      <w:kern w:val="0"/>
                      <w:sz w:val="21"/>
                      <w:szCs w:val="21"/>
                      <w:lang w:val="en-US" w:eastAsia="zh-CN" w:bidi="ar"/>
                    </w:rPr>
                    <w:t>GB3095-2012</w:t>
                  </w:r>
                  <w:r>
                    <w:rPr>
                      <w:rFonts w:hint="eastAsia" w:ascii="宋体" w:hAnsi="宋体" w:eastAsia="宋体" w:cs="宋体"/>
                      <w:color w:val="000000"/>
                      <w:kern w:val="0"/>
                      <w:sz w:val="21"/>
                      <w:szCs w:val="21"/>
                      <w:lang w:val="en-US" w:eastAsia="zh-CN" w:bidi="ar"/>
                    </w:rPr>
                    <w:t>）中二级标准限值的要求。本项目所在区域地表水质量满足《地表水环境质量标准》（</w:t>
                  </w:r>
                  <w:r>
                    <w:rPr>
                      <w:rFonts w:hint="default" w:ascii="Times New Roman" w:hAnsi="Times New Roman" w:eastAsia="宋体" w:cs="Times New Roman"/>
                      <w:color w:val="000000"/>
                      <w:kern w:val="0"/>
                      <w:sz w:val="21"/>
                      <w:szCs w:val="21"/>
                      <w:lang w:val="en-US" w:eastAsia="zh-CN" w:bidi="ar"/>
                    </w:rPr>
                    <w:t>GB3838-2002</w:t>
                  </w:r>
                  <w:r>
                    <w:rPr>
                      <w:rFonts w:hint="eastAsia" w:ascii="宋体" w:hAnsi="宋体" w:eastAsia="宋体" w:cs="宋体"/>
                      <w:color w:val="000000"/>
                      <w:kern w:val="0"/>
                      <w:sz w:val="21"/>
                      <w:szCs w:val="21"/>
                      <w:lang w:val="en-US" w:eastAsia="zh-CN" w:bidi="ar"/>
                    </w:rPr>
                    <w:t>）Ⅲ类水标准，声环境达到《声环境质量标准》（</w:t>
                  </w:r>
                  <w:r>
                    <w:rPr>
                      <w:rFonts w:hint="default" w:ascii="Times New Roman" w:hAnsi="Times New Roman" w:eastAsia="宋体" w:cs="Times New Roman"/>
                      <w:color w:val="000000"/>
                      <w:kern w:val="0"/>
                      <w:sz w:val="21"/>
                      <w:szCs w:val="21"/>
                      <w:lang w:val="en-US" w:eastAsia="zh-CN" w:bidi="ar"/>
                    </w:rPr>
                    <w:t>GB3096-2008</w:t>
                  </w:r>
                  <w:r>
                    <w:rPr>
                      <w:rFonts w:hint="eastAsia" w:ascii="宋体" w:hAnsi="宋体" w:eastAsia="宋体" w:cs="宋体"/>
                      <w:color w:val="000000"/>
                      <w:kern w:val="0"/>
                      <w:sz w:val="21"/>
                      <w:szCs w:val="21"/>
                      <w:lang w:val="en-US" w:eastAsia="zh-CN" w:bidi="ar"/>
                    </w:rPr>
                    <w:t>）中</w:t>
                  </w:r>
                  <w:r>
                    <w:rPr>
                      <w:rFonts w:hint="eastAsia" w:cs="Times New Roman"/>
                      <w:color w:val="000000"/>
                      <w:kern w:val="0"/>
                      <w:sz w:val="21"/>
                      <w:szCs w:val="21"/>
                      <w:lang w:val="en-US" w:eastAsia="zh-CN" w:bidi="ar"/>
                    </w:rPr>
                    <w:t>2</w:t>
                  </w:r>
                  <w:r>
                    <w:rPr>
                      <w:rFonts w:hint="eastAsia" w:ascii="宋体" w:hAnsi="宋体" w:eastAsia="宋体" w:cs="宋体"/>
                      <w:color w:val="000000"/>
                      <w:kern w:val="0"/>
                      <w:sz w:val="21"/>
                      <w:szCs w:val="21"/>
                      <w:lang w:val="en-US" w:eastAsia="zh-CN" w:bidi="ar"/>
                    </w:rPr>
                    <w:t>类标准，项目所在地为达标区。本项目废水、废气、固废均得到合理处置，对周边影响较小，不会突破项目所在地的环境质量底线。</w:t>
                  </w:r>
                </w:p>
              </w:tc>
            </w:tr>
            <w:tr w14:paraId="048AD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Align w:val="center"/>
                </w:tcPr>
                <w:p w14:paraId="7AD98ECD">
                  <w:pPr>
                    <w:pStyle w:val="2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3</w:t>
                  </w:r>
                </w:p>
              </w:tc>
              <w:tc>
                <w:tcPr>
                  <w:tcW w:w="470" w:type="dxa"/>
                  <w:vAlign w:val="center"/>
                </w:tcPr>
                <w:p w14:paraId="023F27BC">
                  <w:pPr>
                    <w:pStyle w:val="2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资源利用上线</w:t>
                  </w:r>
                </w:p>
              </w:tc>
              <w:tc>
                <w:tcPr>
                  <w:tcW w:w="3626" w:type="dxa"/>
                  <w:vAlign w:val="center"/>
                </w:tcPr>
                <w:p w14:paraId="51284493">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相关规划环评应依据有关资源利用上线，对规划实施以及规划内项目的资源开发利用，区分不同行业，从能源资源开发等量或减量替代、开采方式和规模控制、利用效率和保护措施等方面提出建议，为规划编制和审批决策提供重要依据。</w:t>
                  </w:r>
                </w:p>
              </w:tc>
              <w:tc>
                <w:tcPr>
                  <w:tcW w:w="3561" w:type="dxa"/>
                  <w:vAlign w:val="center"/>
                </w:tcPr>
                <w:p w14:paraId="32717BB2">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本项目建设过程中所利用的资源主要为水和电，项目建成运行后通过内部管理、设备选择、原辅材料的选用管理和污染治理等多方面采取合理可行的防治措施，以“节能、降耗、减污”为目标，有效地控制污染。项目的水、电等资源利用不会突破城区的资源利用上线。</w:t>
                  </w:r>
                </w:p>
              </w:tc>
            </w:tr>
            <w:tr w14:paraId="730EF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Align w:val="center"/>
                </w:tcPr>
                <w:p w14:paraId="45E3A2BE">
                  <w:pPr>
                    <w:pStyle w:val="2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4</w:t>
                  </w:r>
                </w:p>
              </w:tc>
              <w:tc>
                <w:tcPr>
                  <w:tcW w:w="470" w:type="dxa"/>
                  <w:vAlign w:val="center"/>
                </w:tcPr>
                <w:p w14:paraId="14F9D0EE">
                  <w:pPr>
                    <w:pStyle w:val="2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环境准入负面清单</w:t>
                  </w:r>
                </w:p>
              </w:tc>
              <w:tc>
                <w:tcPr>
                  <w:tcW w:w="3626" w:type="dxa"/>
                  <w:vAlign w:val="center"/>
                </w:tcPr>
                <w:p w14:paraId="57315AA1">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default" w:ascii="Times New Roman" w:hAnsi="Times New Roman" w:eastAsia="宋体" w:cs="Times New Roman"/>
                      <w:color w:val="auto"/>
                      <w:sz w:val="21"/>
                      <w:szCs w:val="21"/>
                    </w:rPr>
                    <w:t>环境准入负面清单是基于生态保护红线、环境质量底线和资源利用上线，以清</w:t>
                  </w:r>
                  <w:r>
                    <w:rPr>
                      <w:rFonts w:hint="eastAsia" w:cs="Times New Roman"/>
                      <w:color w:val="auto"/>
                      <w:sz w:val="21"/>
                      <w:szCs w:val="21"/>
                      <w:lang w:eastAsia="zh-CN"/>
                    </w:rPr>
                    <w:t>单方</w:t>
                  </w:r>
                  <w:r>
                    <w:rPr>
                      <w:rFonts w:hint="default" w:ascii="Times New Roman" w:hAnsi="Times New Roman" w:eastAsia="宋体" w:cs="Times New Roman"/>
                      <w:color w:val="auto"/>
                      <w:sz w:val="21"/>
                      <w:szCs w:val="21"/>
                    </w:rPr>
                    <w:t>式列出的禁止、限制等差别化环境准入条件和要求。要在规划环评清单式管理试点的基础上，从布局选址、资源利用效率、资源配置方式等方面入手，制定环境准入负面清单，充分发挥负面清单对产业发展和项目准入的指导和约束作用</w:t>
                  </w:r>
                  <w:r>
                    <w:rPr>
                      <w:rFonts w:hint="eastAsia" w:ascii="宋体" w:hAnsi="宋体" w:eastAsia="宋体" w:cs="宋体"/>
                      <w:color w:val="000000"/>
                      <w:kern w:val="0"/>
                      <w:sz w:val="21"/>
                      <w:szCs w:val="21"/>
                      <w:lang w:val="en-US" w:eastAsia="zh-CN" w:bidi="ar"/>
                    </w:rPr>
                    <w:t>。</w:t>
                  </w:r>
                </w:p>
              </w:tc>
              <w:tc>
                <w:tcPr>
                  <w:tcW w:w="3561" w:type="dxa"/>
                  <w:vAlign w:val="center"/>
                </w:tcPr>
                <w:p w14:paraId="28BA6210">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本项目属于C制造业C2922塑料板、管、型材制造，不在负面清单之列；对照《产业结构调整指导目录（20</w:t>
                  </w:r>
                  <w:r>
                    <w:rPr>
                      <w:rFonts w:hint="eastAsia" w:ascii="宋体" w:hAnsi="宋体" w:cs="宋体"/>
                      <w:color w:val="000000"/>
                      <w:kern w:val="0"/>
                      <w:sz w:val="21"/>
                      <w:szCs w:val="21"/>
                      <w:lang w:val="en-US" w:eastAsia="zh-CN" w:bidi="ar"/>
                    </w:rPr>
                    <w:t>24</w:t>
                  </w:r>
                  <w:r>
                    <w:rPr>
                      <w:rFonts w:hint="eastAsia" w:ascii="宋体" w:hAnsi="宋体" w:eastAsia="宋体" w:cs="宋体"/>
                      <w:color w:val="000000"/>
                      <w:kern w:val="0"/>
                      <w:sz w:val="21"/>
                      <w:szCs w:val="21"/>
                      <w:lang w:val="en-US" w:eastAsia="zh-CN" w:bidi="ar"/>
                    </w:rPr>
                    <w:t>年本）》中内容，本项目不属于鼓励类、限制类和淘汰类，视为允许类，符合国家产业政策。</w:t>
                  </w:r>
                </w:p>
              </w:tc>
            </w:tr>
          </w:tbl>
          <w:p w14:paraId="46DD4FFD">
            <w:pPr>
              <w:spacing w:line="360" w:lineRule="auto"/>
              <w:ind w:firstLine="480" w:firstLineChars="200"/>
              <w:jc w:val="both"/>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综上，本项目符合《关于以改善环境质量为核心加强环境影响评价管理的通知》（环环评</w:t>
            </w:r>
            <w:r>
              <w:rPr>
                <w:rFonts w:hint="default" w:ascii="Times New Roman" w:hAnsi="Times New Roman" w:cs="Times New Roman"/>
                <w:color w:val="auto"/>
                <w:lang w:val="en-US" w:eastAsia="zh-CN"/>
              </w:rPr>
              <w:t>[2016]150</w:t>
            </w:r>
            <w:r>
              <w:rPr>
                <w:rFonts w:hint="eastAsia" w:ascii="Times New Roman" w:hAnsi="Times New Roman" w:cs="Times New Roman"/>
                <w:color w:val="auto"/>
                <w:lang w:val="en-US" w:eastAsia="zh-CN"/>
              </w:rPr>
              <w:t>号）中“三线一单”相关要求。</w:t>
            </w:r>
          </w:p>
          <w:p w14:paraId="6D3B2951">
            <w:pPr>
              <w:spacing w:line="360" w:lineRule="auto"/>
              <w:ind w:firstLine="482" w:firstLineChars="200"/>
              <w:jc w:val="both"/>
              <w:rPr>
                <w:rFonts w:hint="default" w:ascii="Times New Roman" w:hAnsi="Times New Roman" w:eastAsia="宋体" w:cs="Times New Roman"/>
                <w:b/>
                <w:bCs w:val="0"/>
                <w:color w:val="auto"/>
                <w:sz w:val="24"/>
                <w:lang w:val="en-US" w:eastAsia="zh-CN"/>
              </w:rPr>
            </w:pPr>
            <w:r>
              <w:rPr>
                <w:rFonts w:hint="eastAsia" w:cs="Times New Roman"/>
                <w:b/>
                <w:bCs w:val="0"/>
                <w:color w:val="auto"/>
                <w:sz w:val="24"/>
                <w:lang w:val="en-US" w:eastAsia="zh-CN"/>
              </w:rPr>
              <w:t>3、选址符合性分析</w:t>
            </w:r>
          </w:p>
          <w:p w14:paraId="25BD435D">
            <w:pPr>
              <w:spacing w:line="360" w:lineRule="auto"/>
              <w:ind w:firstLine="480" w:firstLineChars="200"/>
              <w:jc w:val="both"/>
              <w:rPr>
                <w:rFonts w:hint="default" w:ascii="Times New Roman" w:hAnsi="Times New Roman" w:cs="Times New Roman"/>
                <w:color w:val="auto"/>
              </w:rPr>
            </w:pPr>
            <w:r>
              <w:rPr>
                <w:rFonts w:hint="eastAsia" w:ascii="Times New Roman" w:hAnsi="Times New Roman" w:cs="Times New Roman"/>
                <w:color w:val="auto"/>
                <w:lang w:val="en-US" w:eastAsia="zh-CN"/>
              </w:rPr>
              <w:t>本项目建设地点位于</w:t>
            </w:r>
            <w:r>
              <w:rPr>
                <w:rFonts w:hint="eastAsia" w:ascii="新宋体" w:hAnsi="新宋体" w:eastAsia="新宋体" w:cs="新宋体"/>
                <w:color w:val="auto"/>
                <w:kern w:val="0"/>
                <w:sz w:val="24"/>
                <w:szCs w:val="24"/>
                <w:lang w:val="en-US" w:eastAsia="zh-CN" w:bidi="ar"/>
              </w:rPr>
              <w:t>霍山县诸佛庵镇</w:t>
            </w:r>
            <w:r>
              <w:rPr>
                <w:rFonts w:hint="eastAsia" w:ascii="宋体" w:hAnsi="宋体" w:cs="宋体"/>
                <w:sz w:val="24"/>
                <w:szCs w:val="24"/>
                <w:lang w:val="en-US" w:eastAsia="zh-CN"/>
              </w:rPr>
              <w:t>穆家畈组，</w:t>
            </w:r>
            <w:r>
              <w:rPr>
                <w:rFonts w:hint="eastAsia" w:cs="Times New Roman"/>
                <w:color w:val="auto"/>
                <w:lang w:val="en-US" w:eastAsia="zh-CN"/>
              </w:rPr>
              <w:t>根据企业提供的不动产权证书【皖（2023）霍山县不动产权第0629628号】，本项目</w:t>
            </w:r>
            <w:r>
              <w:rPr>
                <w:rFonts w:hint="eastAsia" w:ascii="Times New Roman" w:hAnsi="Times New Roman" w:cs="Times New Roman"/>
                <w:color w:val="auto"/>
                <w:lang w:val="en-US" w:eastAsia="zh-CN"/>
              </w:rPr>
              <w:t>用地性质</w:t>
            </w:r>
            <w:r>
              <w:rPr>
                <w:rFonts w:hint="eastAsia" w:cs="Times New Roman"/>
                <w:color w:val="auto"/>
                <w:lang w:val="en-US" w:eastAsia="zh-CN"/>
              </w:rPr>
              <w:t>属于</w:t>
            </w:r>
            <w:r>
              <w:rPr>
                <w:rFonts w:hint="eastAsia" w:ascii="Times New Roman" w:hAnsi="Times New Roman" w:cs="Times New Roman"/>
                <w:color w:val="auto"/>
                <w:lang w:val="en-US" w:eastAsia="zh-CN"/>
              </w:rPr>
              <w:t>工业用地</w:t>
            </w:r>
            <w:r>
              <w:rPr>
                <w:rFonts w:hint="eastAsia" w:cs="Times New Roman"/>
                <w:color w:val="auto"/>
                <w:lang w:val="en-US" w:eastAsia="zh-CN"/>
              </w:rPr>
              <w:t>。</w:t>
            </w:r>
            <w:r>
              <w:rPr>
                <w:rFonts w:hint="eastAsia" w:ascii="Times New Roman" w:hAnsi="Times New Roman" w:cs="Times New Roman"/>
                <w:color w:val="auto"/>
                <w:lang w:val="en-US" w:eastAsia="zh-CN"/>
              </w:rPr>
              <w:t>根据现场勘查，本项目</w:t>
            </w:r>
            <w:r>
              <w:rPr>
                <w:rFonts w:hint="eastAsia"/>
                <w:lang w:eastAsia="zh-CN"/>
              </w:rPr>
              <w:t>东侧为安徽易可竹业科技有限公司，</w:t>
            </w:r>
            <w:r>
              <w:rPr>
                <w:rFonts w:hint="eastAsia"/>
              </w:rPr>
              <w:t>主要从事</w:t>
            </w:r>
            <w:r>
              <w:rPr>
                <w:rFonts w:hint="eastAsia"/>
                <w:lang w:eastAsia="zh-CN"/>
              </w:rPr>
              <w:t>竹制品制造等；北</w:t>
            </w:r>
            <w:r>
              <w:rPr>
                <w:rFonts w:hint="eastAsia"/>
              </w:rPr>
              <w:t>侧</w:t>
            </w:r>
            <w:r>
              <w:rPr>
                <w:rFonts w:hint="eastAsia"/>
                <w:lang w:eastAsia="zh-CN"/>
              </w:rPr>
              <w:t>为牌李路；</w:t>
            </w:r>
            <w:r>
              <w:rPr>
                <w:rFonts w:hint="eastAsia"/>
              </w:rPr>
              <w:t>南侧为</w:t>
            </w:r>
            <w:r>
              <w:rPr>
                <w:rFonts w:hint="eastAsia"/>
                <w:lang w:val="en-US" w:eastAsia="zh-CN"/>
              </w:rPr>
              <w:t>老公路；</w:t>
            </w:r>
            <w:r>
              <w:rPr>
                <w:rFonts w:hint="eastAsia"/>
                <w:lang w:eastAsia="zh-CN"/>
              </w:rPr>
              <w:t>西侧</w:t>
            </w:r>
            <w:r>
              <w:rPr>
                <w:rFonts w:hint="eastAsia"/>
                <w:lang w:val="en-US" w:eastAsia="zh-CN"/>
              </w:rPr>
              <w:t>为</w:t>
            </w:r>
            <w:r>
              <w:rPr>
                <w:rFonts w:hint="eastAsia" w:ascii="新宋体" w:hAnsi="新宋体" w:eastAsia="新宋体" w:cs="新宋体"/>
                <w:color w:val="auto"/>
                <w:kern w:val="0"/>
                <w:sz w:val="24"/>
                <w:szCs w:val="24"/>
                <w:lang w:val="en-US" w:eastAsia="zh-CN" w:bidi="ar"/>
              </w:rPr>
              <w:t>狮山村穆家畈组</w:t>
            </w:r>
            <w:r>
              <w:rPr>
                <w:rFonts w:hint="eastAsia" w:ascii="宋体" w:hAnsi="宋体" w:cs="宋体"/>
                <w:sz w:val="24"/>
                <w:szCs w:val="24"/>
                <w:lang w:val="en-US" w:eastAsia="zh-CN"/>
              </w:rPr>
              <w:t>的居民</w:t>
            </w:r>
            <w:r>
              <w:rPr>
                <w:rFonts w:hint="eastAsia"/>
                <w:lang w:eastAsia="zh-CN"/>
              </w:rPr>
              <w:t>；</w:t>
            </w:r>
            <w:r>
              <w:rPr>
                <w:rFonts w:hint="eastAsia"/>
                <w:lang w:val="en-US" w:eastAsia="zh-CN"/>
              </w:rPr>
              <w:t>根据项目与“生态环境分区管控”中相对位置分析，项目选址不涉及生态红线和饮用水源保护区等环境敏感区，</w:t>
            </w:r>
            <w:r>
              <w:rPr>
                <w:rFonts w:hint="eastAsia" w:ascii="Times New Roman" w:hAnsi="Times New Roman" w:cs="Times New Roman"/>
                <w:color w:val="auto"/>
                <w:lang w:val="en-US" w:eastAsia="zh-CN"/>
              </w:rPr>
              <w:t>本项目评价区域内无生态保护区、自然保护区、风景旅游区、文化遗产保护区及饮用水源保护区等环境敏感区。本项目为</w:t>
            </w:r>
            <w:r>
              <w:rPr>
                <w:rFonts w:hint="eastAsia" w:cs="Times New Roman"/>
                <w:color w:val="auto"/>
                <w:lang w:val="en-US" w:eastAsia="zh-CN"/>
              </w:rPr>
              <w:t>塑料制品</w:t>
            </w:r>
            <w:r>
              <w:rPr>
                <w:rFonts w:hint="eastAsia" w:ascii="Times New Roman" w:hAnsi="Times New Roman" w:cs="Times New Roman"/>
                <w:color w:val="auto"/>
                <w:lang w:val="en-US" w:eastAsia="zh-CN"/>
              </w:rPr>
              <w:t xml:space="preserve">制造，项目生产过程中采取有效措施确保废气、废水、噪声等污染物达标排放的前提下，不会对周边环境造成明显影响。 </w:t>
            </w:r>
          </w:p>
          <w:p w14:paraId="37453391">
            <w:pPr>
              <w:spacing w:line="360" w:lineRule="auto"/>
              <w:ind w:firstLine="480" w:firstLineChars="200"/>
              <w:jc w:val="both"/>
              <w:rPr>
                <w:rFonts w:hint="default" w:ascii="Times New Roman" w:hAnsi="Times New Roman" w:cs="Times New Roman"/>
                <w:color w:val="auto"/>
              </w:rPr>
            </w:pPr>
            <w:r>
              <w:rPr>
                <w:rFonts w:hint="eastAsia" w:ascii="Times New Roman" w:hAnsi="Times New Roman" w:cs="Times New Roman"/>
                <w:color w:val="auto"/>
                <w:lang w:val="en-US" w:eastAsia="zh-CN"/>
              </w:rPr>
              <w:t>因此，项目选址合理。</w:t>
            </w:r>
          </w:p>
          <w:p w14:paraId="57D66BC9">
            <w:pPr>
              <w:spacing w:line="360" w:lineRule="auto"/>
              <w:ind w:firstLine="482" w:firstLineChars="200"/>
              <w:jc w:val="both"/>
              <w:rPr>
                <w:rFonts w:hint="eastAsia" w:ascii="Times New Roman" w:hAnsi="Times New Roman" w:cs="Times New Roman"/>
                <w:b/>
                <w:bCs/>
                <w:color w:val="auto"/>
                <w:lang w:val="en-US" w:eastAsia="zh-CN"/>
              </w:rPr>
            </w:pPr>
            <w:r>
              <w:rPr>
                <w:rFonts w:hint="eastAsia" w:cs="Times New Roman"/>
                <w:b/>
                <w:bCs/>
                <w:color w:val="auto"/>
                <w:lang w:val="en-US" w:eastAsia="zh-CN"/>
              </w:rPr>
              <w:t>4、</w:t>
            </w:r>
            <w:r>
              <w:rPr>
                <w:rFonts w:hint="eastAsia" w:ascii="Times New Roman" w:hAnsi="Times New Roman" w:cs="Times New Roman"/>
                <w:b/>
                <w:bCs/>
                <w:color w:val="auto"/>
                <w:lang w:val="en-US" w:eastAsia="zh-CN"/>
              </w:rPr>
              <w:t xml:space="preserve">与霍山县国家重点生态功能区产业准入负面清单相符性分析 </w:t>
            </w:r>
          </w:p>
          <w:p w14:paraId="2E3E03B3">
            <w:pPr>
              <w:spacing w:line="360" w:lineRule="auto"/>
              <w:ind w:firstLine="480" w:firstLineChars="200"/>
              <w:jc w:val="both"/>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霍山县地处大别山水土保持生态功能区。在贯彻落实主体功能区战略、严格执行《产业结构调整指导目录（</w:t>
            </w:r>
            <w:r>
              <w:rPr>
                <w:rFonts w:hint="default" w:ascii="Times New Roman" w:hAnsi="Times New Roman" w:cs="Times New Roman"/>
                <w:color w:val="auto"/>
                <w:lang w:val="en-US" w:eastAsia="zh-CN"/>
              </w:rPr>
              <w:t>2024</w:t>
            </w:r>
            <w:r>
              <w:rPr>
                <w:rFonts w:hint="eastAsia" w:ascii="Times New Roman" w:hAnsi="Times New Roman" w:cs="Times New Roman"/>
                <w:color w:val="auto"/>
                <w:lang w:val="en-US" w:eastAsia="zh-CN"/>
              </w:rPr>
              <w:t xml:space="preserve">本）》的基础上，结合霍山县实际制定霍山县国家重点生态功能区产业准入负面清单。本负面清单涉及国民经济七门类 </w:t>
            </w:r>
            <w:r>
              <w:rPr>
                <w:rFonts w:hint="default" w:ascii="Times New Roman" w:hAnsi="Times New Roman" w:cs="Times New Roman"/>
                <w:color w:val="auto"/>
                <w:lang w:val="en-US" w:eastAsia="zh-CN"/>
              </w:rPr>
              <w:t>13</w:t>
            </w:r>
            <w:r>
              <w:rPr>
                <w:rFonts w:hint="eastAsia" w:ascii="Times New Roman" w:hAnsi="Times New Roman" w:cs="Times New Roman"/>
                <w:color w:val="auto"/>
                <w:lang w:val="en-US" w:eastAsia="zh-CN"/>
              </w:rPr>
              <w:t>大类</w:t>
            </w:r>
            <w:r>
              <w:rPr>
                <w:rFonts w:hint="default" w:ascii="Times New Roman" w:hAnsi="Times New Roman" w:cs="Times New Roman"/>
                <w:color w:val="auto"/>
                <w:lang w:val="en-US" w:eastAsia="zh-CN"/>
              </w:rPr>
              <w:t>24</w:t>
            </w:r>
            <w:r>
              <w:rPr>
                <w:rFonts w:hint="eastAsia" w:ascii="Times New Roman" w:hAnsi="Times New Roman" w:cs="Times New Roman"/>
                <w:color w:val="auto"/>
                <w:lang w:val="en-US" w:eastAsia="zh-CN"/>
              </w:rPr>
              <w:t>中类</w:t>
            </w:r>
            <w:r>
              <w:rPr>
                <w:rFonts w:hint="default" w:ascii="Times New Roman" w:hAnsi="Times New Roman" w:cs="Times New Roman"/>
                <w:color w:val="auto"/>
                <w:lang w:val="en-US" w:eastAsia="zh-CN"/>
              </w:rPr>
              <w:t>43</w:t>
            </w:r>
            <w:r>
              <w:rPr>
                <w:rFonts w:hint="eastAsia" w:ascii="Times New Roman" w:hAnsi="Times New Roman" w:cs="Times New Roman"/>
                <w:color w:val="auto"/>
                <w:lang w:val="en-US" w:eastAsia="zh-CN"/>
              </w:rPr>
              <w:t>小类。其中限制类国民经济七大门类</w:t>
            </w:r>
            <w:r>
              <w:rPr>
                <w:rFonts w:hint="default" w:ascii="Times New Roman" w:hAnsi="Times New Roman" w:cs="Times New Roman"/>
                <w:color w:val="auto"/>
                <w:lang w:val="en-US" w:eastAsia="zh-CN"/>
              </w:rPr>
              <w:t>12</w:t>
            </w:r>
            <w:r>
              <w:rPr>
                <w:rFonts w:hint="eastAsia" w:ascii="Times New Roman" w:hAnsi="Times New Roman" w:cs="Times New Roman"/>
                <w:color w:val="auto"/>
                <w:lang w:val="en-US" w:eastAsia="zh-CN"/>
              </w:rPr>
              <w:t>大类</w:t>
            </w:r>
            <w:r>
              <w:rPr>
                <w:rFonts w:hint="default" w:ascii="Times New Roman" w:hAnsi="Times New Roman" w:cs="Times New Roman"/>
                <w:color w:val="auto"/>
                <w:lang w:val="en-US" w:eastAsia="zh-CN"/>
              </w:rPr>
              <w:t>20</w:t>
            </w:r>
            <w:r>
              <w:rPr>
                <w:rFonts w:hint="eastAsia" w:ascii="Times New Roman" w:hAnsi="Times New Roman" w:cs="Times New Roman"/>
                <w:color w:val="auto"/>
                <w:lang w:val="en-US" w:eastAsia="zh-CN"/>
              </w:rPr>
              <w:t>中类</w:t>
            </w:r>
            <w:r>
              <w:rPr>
                <w:rFonts w:hint="default" w:ascii="Times New Roman" w:hAnsi="Times New Roman" w:cs="Times New Roman"/>
                <w:color w:val="auto"/>
                <w:lang w:val="en-US" w:eastAsia="zh-CN"/>
              </w:rPr>
              <w:t>39</w:t>
            </w:r>
            <w:r>
              <w:rPr>
                <w:rFonts w:hint="eastAsia" w:ascii="Times New Roman" w:hAnsi="Times New Roman" w:cs="Times New Roman"/>
                <w:color w:val="auto"/>
                <w:lang w:val="en-US" w:eastAsia="zh-CN"/>
              </w:rPr>
              <w:t>小类，禁止类涉及国民经济一大门类</w:t>
            </w:r>
            <w:r>
              <w:rPr>
                <w:rFonts w:hint="default" w:ascii="Times New Roman" w:hAnsi="Times New Roman" w:cs="Times New Roman"/>
                <w:color w:val="auto"/>
                <w:lang w:val="en-US" w:eastAsia="zh-CN"/>
              </w:rPr>
              <w:t>1</w:t>
            </w:r>
            <w:r>
              <w:rPr>
                <w:rFonts w:hint="eastAsia" w:ascii="Times New Roman" w:hAnsi="Times New Roman" w:cs="Times New Roman"/>
                <w:color w:val="auto"/>
                <w:lang w:val="en-US" w:eastAsia="zh-CN"/>
              </w:rPr>
              <w:t>大类</w:t>
            </w:r>
            <w:r>
              <w:rPr>
                <w:rFonts w:hint="default" w:ascii="Times New Roman" w:hAnsi="Times New Roman" w:cs="Times New Roman"/>
                <w:color w:val="auto"/>
                <w:lang w:val="en-US" w:eastAsia="zh-CN"/>
              </w:rPr>
              <w:t>4</w:t>
            </w:r>
            <w:r>
              <w:rPr>
                <w:rFonts w:hint="eastAsia" w:ascii="Times New Roman" w:hAnsi="Times New Roman" w:cs="Times New Roman"/>
                <w:color w:val="auto"/>
                <w:lang w:val="en-US" w:eastAsia="zh-CN"/>
              </w:rPr>
              <w:t>中类</w:t>
            </w:r>
            <w:r>
              <w:rPr>
                <w:rFonts w:hint="default" w:ascii="Times New Roman" w:hAnsi="Times New Roman" w:cs="Times New Roman"/>
                <w:color w:val="auto"/>
                <w:lang w:val="en-US" w:eastAsia="zh-CN"/>
              </w:rPr>
              <w:t>4</w:t>
            </w:r>
            <w:r>
              <w:rPr>
                <w:rFonts w:hint="eastAsia" w:ascii="Times New Roman" w:hAnsi="Times New Roman" w:cs="Times New Roman"/>
                <w:color w:val="auto"/>
                <w:lang w:val="en-US" w:eastAsia="zh-CN"/>
              </w:rPr>
              <w:t>小类，本项目属于</w:t>
            </w:r>
            <w:r>
              <w:rPr>
                <w:rFonts w:hint="eastAsia" w:cs="Times New Roman"/>
                <w:color w:val="auto"/>
                <w:lang w:val="en-US" w:eastAsia="zh-CN"/>
              </w:rPr>
              <w:t>塑料制品制造</w:t>
            </w:r>
            <w:r>
              <w:rPr>
                <w:rFonts w:hint="eastAsia" w:ascii="Times New Roman" w:hAnsi="Times New Roman" w:cs="Times New Roman"/>
                <w:color w:val="auto"/>
                <w:lang w:val="en-US" w:eastAsia="zh-CN"/>
              </w:rPr>
              <w:t xml:space="preserve">行业，不在霍山县国家重点生态功能区产业准入负面清单之列，符合霍山县国家重点生态功能区产业准入负面清单。 </w:t>
            </w:r>
          </w:p>
          <w:p w14:paraId="58D88FF4">
            <w:pPr>
              <w:spacing w:line="360" w:lineRule="auto"/>
              <w:ind w:firstLine="482" w:firstLineChars="200"/>
              <w:jc w:val="both"/>
              <w:rPr>
                <w:rFonts w:hint="eastAsia" w:ascii="Times New Roman" w:hAnsi="Times New Roman" w:cs="Times New Roman"/>
                <w:b/>
                <w:bCs/>
                <w:color w:val="auto"/>
                <w:lang w:val="en-US" w:eastAsia="zh-CN"/>
              </w:rPr>
            </w:pPr>
            <w:r>
              <w:rPr>
                <w:rFonts w:hint="eastAsia" w:cs="Times New Roman"/>
                <w:b/>
                <w:bCs/>
                <w:color w:val="auto"/>
                <w:lang w:val="en-US" w:eastAsia="zh-CN"/>
              </w:rPr>
              <w:t>5、</w:t>
            </w:r>
            <w:r>
              <w:rPr>
                <w:rFonts w:hint="eastAsia" w:ascii="Times New Roman" w:hAnsi="Times New Roman" w:cs="Times New Roman"/>
                <w:b/>
                <w:bCs/>
                <w:color w:val="auto"/>
                <w:lang w:val="en-US" w:eastAsia="zh-CN"/>
              </w:rPr>
              <w:t>与《霍山县“十四五”生态环境保护规划（</w:t>
            </w:r>
            <w:r>
              <w:rPr>
                <w:rFonts w:hint="default" w:ascii="Times New Roman" w:hAnsi="Times New Roman" w:cs="Times New Roman"/>
                <w:b/>
                <w:bCs/>
                <w:color w:val="auto"/>
                <w:lang w:val="en-US" w:eastAsia="zh-CN"/>
              </w:rPr>
              <w:t>2021-2025</w:t>
            </w:r>
            <w:r>
              <w:rPr>
                <w:rFonts w:hint="eastAsia" w:ascii="Times New Roman" w:hAnsi="Times New Roman" w:cs="Times New Roman"/>
                <w:b/>
                <w:bCs/>
                <w:color w:val="auto"/>
                <w:lang w:val="en-US" w:eastAsia="zh-CN"/>
              </w:rPr>
              <w:t xml:space="preserve">）》符合性分析 </w:t>
            </w:r>
          </w:p>
          <w:p w14:paraId="6DE46A1C">
            <w:pPr>
              <w:spacing w:line="360" w:lineRule="auto"/>
              <w:jc w:val="center"/>
              <w:rPr>
                <w:rFonts w:hint="eastAsia" w:cs="Times New Roman"/>
                <w:b/>
                <w:bCs w:val="0"/>
                <w:color w:val="auto"/>
                <w:sz w:val="24"/>
                <w:szCs w:val="24"/>
                <w:lang w:val="en-US" w:eastAsia="zh-CN"/>
              </w:rPr>
            </w:pPr>
            <w:r>
              <w:rPr>
                <w:rFonts w:hint="default" w:cs="Times New Roman"/>
                <w:b/>
                <w:bCs w:val="0"/>
                <w:color w:val="auto"/>
                <w:sz w:val="24"/>
                <w:szCs w:val="24"/>
                <w:lang w:val="en-US" w:eastAsia="zh-CN"/>
              </w:rPr>
              <w:t>表1-</w:t>
            </w:r>
            <w:r>
              <w:rPr>
                <w:rFonts w:hint="eastAsia" w:cs="Times New Roman"/>
                <w:b/>
                <w:bCs w:val="0"/>
                <w:color w:val="auto"/>
                <w:sz w:val="24"/>
                <w:szCs w:val="24"/>
                <w:lang w:val="en-US" w:eastAsia="zh-CN"/>
              </w:rPr>
              <w:t>5  与霍山县“十四五”生态环境保护规划相符性分析一览表</w:t>
            </w:r>
          </w:p>
          <w:tbl>
            <w:tblPr>
              <w:tblStyle w:val="27"/>
              <w:tblW w:w="83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7"/>
              <w:gridCol w:w="4100"/>
              <w:gridCol w:w="2190"/>
              <w:gridCol w:w="907"/>
            </w:tblGrid>
            <w:tr w14:paraId="635CA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7" w:type="dxa"/>
                  <w:vAlign w:val="center"/>
                </w:tcPr>
                <w:p w14:paraId="2B98111E">
                  <w:pPr>
                    <w:pStyle w:val="16"/>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文件名称</w:t>
                  </w:r>
                </w:p>
              </w:tc>
              <w:tc>
                <w:tcPr>
                  <w:tcW w:w="4100" w:type="dxa"/>
                  <w:vAlign w:val="center"/>
                </w:tcPr>
                <w:p w14:paraId="5A01274E">
                  <w:pPr>
                    <w:pStyle w:val="16"/>
                    <w:keepNext w:val="0"/>
                    <w:keepLines w:val="0"/>
                    <w:pageBreakBefore w:val="0"/>
                    <w:widowControl w:val="0"/>
                    <w:kinsoku/>
                    <w:wordWrap/>
                    <w:overflowPunct/>
                    <w:topLinePunct w:val="0"/>
                    <w:autoSpaceDE/>
                    <w:autoSpaceDN/>
                    <w:bidi w:val="0"/>
                    <w:adjustRightInd/>
                    <w:snapToGrid/>
                    <w:ind w:left="0"/>
                    <w:jc w:val="center"/>
                    <w:textAlignment w:val="auto"/>
                    <w:rPr>
                      <w:rFonts w:hint="default"/>
                      <w:sz w:val="21"/>
                      <w:szCs w:val="21"/>
                      <w:vertAlign w:val="baseline"/>
                      <w:lang w:val="en-US" w:eastAsia="zh-CN"/>
                    </w:rPr>
                  </w:pPr>
                  <w:r>
                    <w:rPr>
                      <w:rFonts w:hint="eastAsia"/>
                      <w:sz w:val="21"/>
                      <w:szCs w:val="21"/>
                      <w:vertAlign w:val="baseline"/>
                      <w:lang w:val="en-US" w:eastAsia="zh-CN"/>
                    </w:rPr>
                    <w:t>相关要求</w:t>
                  </w:r>
                </w:p>
              </w:tc>
              <w:tc>
                <w:tcPr>
                  <w:tcW w:w="2190" w:type="dxa"/>
                  <w:vAlign w:val="center"/>
                </w:tcPr>
                <w:p w14:paraId="73157420">
                  <w:pPr>
                    <w:pStyle w:val="16"/>
                    <w:keepNext w:val="0"/>
                    <w:keepLines w:val="0"/>
                    <w:pageBreakBefore w:val="0"/>
                    <w:widowControl w:val="0"/>
                    <w:kinsoku/>
                    <w:wordWrap/>
                    <w:overflowPunct/>
                    <w:topLinePunct w:val="0"/>
                    <w:autoSpaceDE/>
                    <w:autoSpaceDN/>
                    <w:bidi w:val="0"/>
                    <w:adjustRightInd/>
                    <w:snapToGrid/>
                    <w:ind w:left="0"/>
                    <w:jc w:val="center"/>
                    <w:textAlignment w:val="auto"/>
                    <w:rPr>
                      <w:rFonts w:hint="default"/>
                      <w:sz w:val="21"/>
                      <w:szCs w:val="21"/>
                      <w:vertAlign w:val="baseline"/>
                      <w:lang w:val="en-US" w:eastAsia="zh-CN"/>
                    </w:rPr>
                  </w:pPr>
                  <w:r>
                    <w:rPr>
                      <w:rFonts w:hint="eastAsia"/>
                      <w:sz w:val="21"/>
                      <w:szCs w:val="21"/>
                      <w:vertAlign w:val="baseline"/>
                      <w:lang w:val="en-US" w:eastAsia="zh-CN"/>
                    </w:rPr>
                    <w:t>符合性分析</w:t>
                  </w:r>
                </w:p>
              </w:tc>
              <w:tc>
                <w:tcPr>
                  <w:tcW w:w="907" w:type="dxa"/>
                  <w:vAlign w:val="center"/>
                </w:tcPr>
                <w:p w14:paraId="54CA579B">
                  <w:pPr>
                    <w:pStyle w:val="16"/>
                    <w:keepNext w:val="0"/>
                    <w:keepLines w:val="0"/>
                    <w:pageBreakBefore w:val="0"/>
                    <w:widowControl w:val="0"/>
                    <w:kinsoku/>
                    <w:wordWrap/>
                    <w:overflowPunct/>
                    <w:topLinePunct w:val="0"/>
                    <w:autoSpaceDE/>
                    <w:autoSpaceDN/>
                    <w:bidi w:val="0"/>
                    <w:adjustRightInd/>
                    <w:snapToGrid/>
                    <w:ind w:left="0"/>
                    <w:jc w:val="center"/>
                    <w:textAlignment w:val="auto"/>
                    <w:rPr>
                      <w:rFonts w:hint="default"/>
                      <w:sz w:val="21"/>
                      <w:szCs w:val="21"/>
                      <w:vertAlign w:val="baseline"/>
                      <w:lang w:val="en-US" w:eastAsia="zh-CN"/>
                    </w:rPr>
                  </w:pPr>
                  <w:r>
                    <w:rPr>
                      <w:rFonts w:hint="eastAsia"/>
                      <w:sz w:val="21"/>
                      <w:szCs w:val="21"/>
                      <w:vertAlign w:val="baseline"/>
                      <w:lang w:val="en-US" w:eastAsia="zh-CN"/>
                    </w:rPr>
                    <w:t>相符性</w:t>
                  </w:r>
                </w:p>
              </w:tc>
            </w:tr>
            <w:tr w14:paraId="0A4BF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7" w:type="dxa"/>
                  <w:vMerge w:val="restart"/>
                  <w:vAlign w:val="center"/>
                </w:tcPr>
                <w:p w14:paraId="04375009">
                  <w:pPr>
                    <w:keepNext w:val="0"/>
                    <w:keepLines w:val="0"/>
                    <w:pageBreakBefore w:val="0"/>
                    <w:widowControl/>
                    <w:suppressLineNumbers w:val="0"/>
                    <w:kinsoku/>
                    <w:wordWrap/>
                    <w:overflowPunct/>
                    <w:topLinePunct w:val="0"/>
                    <w:autoSpaceDE/>
                    <w:autoSpaceDN/>
                    <w:bidi w:val="0"/>
                    <w:adjustRightInd/>
                    <w:snapToGrid/>
                    <w:ind w:left="0"/>
                    <w:jc w:val="center"/>
                    <w:textAlignment w:val="auto"/>
                    <w:rPr>
                      <w:rFonts w:hint="eastAsia"/>
                      <w:sz w:val="21"/>
                      <w:szCs w:val="21"/>
                      <w:vertAlign w:val="baseline"/>
                      <w:lang w:val="en-US" w:eastAsia="zh-CN"/>
                    </w:rPr>
                  </w:pPr>
                  <w:r>
                    <w:rPr>
                      <w:rFonts w:hint="eastAsia" w:ascii="宋体" w:hAnsi="宋体" w:eastAsia="宋体" w:cs="宋体"/>
                      <w:color w:val="000000"/>
                      <w:kern w:val="0"/>
                      <w:sz w:val="21"/>
                      <w:szCs w:val="21"/>
                      <w:lang w:val="en-US" w:eastAsia="zh-CN" w:bidi="ar"/>
                    </w:rPr>
                    <w:t>霍山县“十四五”生态环境保护规划（</w:t>
                  </w:r>
                  <w:r>
                    <w:rPr>
                      <w:rFonts w:hint="default" w:ascii="Times New Roman" w:hAnsi="Times New Roman" w:eastAsia="宋体" w:cs="Times New Roman"/>
                      <w:color w:val="000000"/>
                      <w:kern w:val="0"/>
                      <w:sz w:val="21"/>
                      <w:szCs w:val="21"/>
                      <w:lang w:val="en-US" w:eastAsia="zh-CN" w:bidi="ar"/>
                    </w:rPr>
                    <w:t>2021-2025</w:t>
                  </w:r>
                  <w:r>
                    <w:rPr>
                      <w:rFonts w:hint="eastAsia" w:ascii="宋体" w:hAnsi="宋体" w:eastAsia="宋体" w:cs="宋体"/>
                      <w:color w:val="000000"/>
                      <w:kern w:val="0"/>
                      <w:sz w:val="21"/>
                      <w:szCs w:val="21"/>
                      <w:lang w:val="en-US" w:eastAsia="zh-CN" w:bidi="ar"/>
                    </w:rPr>
                    <w:t>年）</w:t>
                  </w:r>
                </w:p>
              </w:tc>
              <w:tc>
                <w:tcPr>
                  <w:tcW w:w="4100" w:type="dxa"/>
                  <w:vAlign w:val="center"/>
                </w:tcPr>
                <w:p w14:paraId="200C6859">
                  <w:pPr>
                    <w:keepNext w:val="0"/>
                    <w:keepLines w:val="0"/>
                    <w:pageBreakBefore w:val="0"/>
                    <w:widowControl/>
                    <w:suppressLineNumbers w:val="0"/>
                    <w:kinsoku/>
                    <w:wordWrap/>
                    <w:overflowPunct/>
                    <w:topLinePunct w:val="0"/>
                    <w:autoSpaceDE/>
                    <w:autoSpaceDN/>
                    <w:bidi w:val="0"/>
                    <w:adjustRightInd/>
                    <w:snapToGrid/>
                    <w:ind w:left="0"/>
                    <w:jc w:val="both"/>
                    <w:textAlignment w:val="auto"/>
                    <w:rPr>
                      <w:rFonts w:hint="eastAsia"/>
                      <w:sz w:val="21"/>
                      <w:szCs w:val="21"/>
                      <w:vertAlign w:val="baseline"/>
                      <w:lang w:val="en-US" w:eastAsia="zh-CN"/>
                    </w:rPr>
                  </w:pPr>
                  <w:r>
                    <w:rPr>
                      <w:rFonts w:hint="eastAsia" w:ascii="Times New Roman" w:hAnsi="Times New Roman" w:eastAsia="宋体" w:cs="Times New Roman"/>
                      <w:color w:val="000000"/>
                      <w:kern w:val="0"/>
                      <w:sz w:val="21"/>
                      <w:szCs w:val="21"/>
                      <w:lang w:val="en-US" w:eastAsia="zh-CN" w:bidi="ar"/>
                    </w:rPr>
                    <w:t>①</w:t>
                  </w:r>
                  <w:r>
                    <w:rPr>
                      <w:rFonts w:hint="eastAsia" w:ascii="宋体" w:hAnsi="宋体" w:eastAsia="宋体" w:cs="宋体"/>
                      <w:color w:val="000000"/>
                      <w:kern w:val="0"/>
                      <w:sz w:val="21"/>
                      <w:szCs w:val="21"/>
                      <w:lang w:val="en-US" w:eastAsia="zh-CN" w:bidi="ar"/>
                    </w:rPr>
                    <w:t>优化产业结构，践行绿色发展：实施产业“负面清单”管理，设定产业准入生态门槛，限时限期关停淘汰类产业；严格控制限制类产业新增产能，并强制推进生态化升级改造，加强“散乱污”企业整治；对于地处生态敏感地区的污染型企业，限期搬迁入园或关停。坚决遏制水泥、平板玻璃等行业产能盲目扩张，严格控制新增产能实行环境容量分区管理，在污染物排放浓度达标基础上，新建、扩建项目的新增主要污染物排放量不超过区域总量控制上限。严禁在自然保护区、风景名胜区、饮用水源保护区等生态敏感区新建工业项目。强化温室气体排放控制管理体系：强化节能减排，降低能源消耗强度，控制能源消费总量，减少二氧化碳排放量。</w:t>
                  </w:r>
                </w:p>
              </w:tc>
              <w:tc>
                <w:tcPr>
                  <w:tcW w:w="2190" w:type="dxa"/>
                  <w:vAlign w:val="center"/>
                </w:tcPr>
                <w:p w14:paraId="07B50CFB">
                  <w:pPr>
                    <w:keepNext w:val="0"/>
                    <w:keepLines w:val="0"/>
                    <w:pageBreakBefore w:val="0"/>
                    <w:widowControl/>
                    <w:suppressLineNumbers w:val="0"/>
                    <w:kinsoku/>
                    <w:wordWrap/>
                    <w:overflowPunct/>
                    <w:topLinePunct w:val="0"/>
                    <w:autoSpaceDE/>
                    <w:autoSpaceDN/>
                    <w:bidi w:val="0"/>
                    <w:adjustRightInd/>
                    <w:snapToGrid/>
                    <w:ind w:left="0"/>
                    <w:jc w:val="both"/>
                    <w:textAlignment w:val="auto"/>
                    <w:rPr>
                      <w:rFonts w:hint="eastAsia"/>
                      <w:sz w:val="21"/>
                      <w:szCs w:val="21"/>
                      <w:vertAlign w:val="baseline"/>
                      <w:lang w:val="en-US" w:eastAsia="zh-CN"/>
                    </w:rPr>
                  </w:pPr>
                  <w:r>
                    <w:rPr>
                      <w:rFonts w:hint="eastAsia" w:ascii="宋体" w:hAnsi="宋体" w:eastAsia="宋体" w:cs="宋体"/>
                      <w:color w:val="000000"/>
                      <w:kern w:val="0"/>
                      <w:sz w:val="21"/>
                      <w:szCs w:val="21"/>
                      <w:lang w:val="en-US" w:eastAsia="zh-CN" w:bidi="ar"/>
                    </w:rPr>
                    <w:t>本项目</w:t>
                  </w:r>
                  <w:r>
                    <w:rPr>
                      <w:rFonts w:hint="eastAsia" w:ascii="宋体" w:hAnsi="宋体" w:eastAsia="宋体" w:cs="宋体"/>
                      <w:color w:val="auto"/>
                      <w:kern w:val="0"/>
                      <w:sz w:val="21"/>
                      <w:szCs w:val="21"/>
                      <w:lang w:val="en-US" w:eastAsia="zh-CN" w:bidi="ar"/>
                    </w:rPr>
                    <w:t>为塑料制品制造</w:t>
                  </w:r>
                  <w:r>
                    <w:rPr>
                      <w:rFonts w:hint="eastAsia"/>
                      <w:color w:val="auto"/>
                      <w:sz w:val="21"/>
                      <w:szCs w:val="21"/>
                    </w:rPr>
                    <w:t>业</w:t>
                  </w:r>
                  <w:r>
                    <w:rPr>
                      <w:rFonts w:hint="eastAsia" w:ascii="宋体" w:hAnsi="宋体" w:eastAsia="宋体" w:cs="宋体"/>
                      <w:color w:val="auto"/>
                      <w:kern w:val="0"/>
                      <w:sz w:val="21"/>
                      <w:szCs w:val="21"/>
                      <w:lang w:val="en-US" w:eastAsia="zh-CN" w:bidi="ar"/>
                    </w:rPr>
                    <w:t>，不属于限制、淘汰类，本项目</w:t>
                  </w:r>
                  <w:r>
                    <w:rPr>
                      <w:rFonts w:hint="eastAsia" w:ascii="宋体" w:hAnsi="宋体" w:eastAsia="宋体" w:cs="宋体"/>
                      <w:color w:val="000000"/>
                      <w:kern w:val="0"/>
                      <w:sz w:val="21"/>
                      <w:szCs w:val="21"/>
                      <w:lang w:val="en-US" w:eastAsia="zh-CN" w:bidi="ar"/>
                    </w:rPr>
                    <w:t>不产生温室气体，产生的废气经处理后能达标排放，不超过区域总量控制上限；根据生态红线图，本项目建设区不涉及自然保护区、风景名胜区、饮用水源保护区等生态敏感区。</w:t>
                  </w:r>
                </w:p>
              </w:tc>
              <w:tc>
                <w:tcPr>
                  <w:tcW w:w="907" w:type="dxa"/>
                  <w:vAlign w:val="center"/>
                </w:tcPr>
                <w:p w14:paraId="581D8C36">
                  <w:pPr>
                    <w:pStyle w:val="16"/>
                    <w:keepNext w:val="0"/>
                    <w:keepLines w:val="0"/>
                    <w:pageBreakBefore w:val="0"/>
                    <w:widowControl w:val="0"/>
                    <w:kinsoku/>
                    <w:wordWrap/>
                    <w:overflowPunct/>
                    <w:topLinePunct w:val="0"/>
                    <w:autoSpaceDE/>
                    <w:autoSpaceDN/>
                    <w:bidi w:val="0"/>
                    <w:adjustRightInd/>
                    <w:snapToGrid/>
                    <w:ind w:left="0"/>
                    <w:jc w:val="center"/>
                    <w:textAlignment w:val="auto"/>
                    <w:rPr>
                      <w:rFonts w:hint="default"/>
                      <w:sz w:val="21"/>
                      <w:szCs w:val="21"/>
                      <w:vertAlign w:val="baseline"/>
                      <w:lang w:val="en-US" w:eastAsia="zh-CN"/>
                    </w:rPr>
                  </w:pPr>
                  <w:r>
                    <w:rPr>
                      <w:rFonts w:hint="eastAsia"/>
                      <w:sz w:val="21"/>
                      <w:szCs w:val="21"/>
                      <w:vertAlign w:val="baseline"/>
                      <w:lang w:val="en-US" w:eastAsia="zh-CN"/>
                    </w:rPr>
                    <w:t>符合</w:t>
                  </w:r>
                </w:p>
              </w:tc>
            </w:tr>
            <w:tr w14:paraId="79CB5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7" w:type="dxa"/>
                  <w:vMerge w:val="continue"/>
                  <w:vAlign w:val="center"/>
                </w:tcPr>
                <w:p w14:paraId="64433D35">
                  <w:pPr>
                    <w:keepNext w:val="0"/>
                    <w:keepLines w:val="0"/>
                    <w:pageBreakBefore w:val="0"/>
                    <w:widowControl/>
                    <w:suppressLineNumbers w:val="0"/>
                    <w:kinsoku/>
                    <w:wordWrap/>
                    <w:overflowPunct/>
                    <w:topLinePunct w:val="0"/>
                    <w:autoSpaceDE/>
                    <w:autoSpaceDN/>
                    <w:bidi w:val="0"/>
                    <w:adjustRightInd/>
                    <w:snapToGrid/>
                    <w:ind w:left="0"/>
                    <w:jc w:val="left"/>
                    <w:textAlignment w:val="auto"/>
                    <w:rPr>
                      <w:rFonts w:hint="eastAsia" w:ascii="宋体" w:hAnsi="宋体" w:eastAsia="宋体" w:cs="宋体"/>
                      <w:color w:val="000000"/>
                      <w:kern w:val="0"/>
                      <w:sz w:val="21"/>
                      <w:szCs w:val="21"/>
                      <w:lang w:val="en-US" w:eastAsia="zh-CN" w:bidi="ar"/>
                    </w:rPr>
                  </w:pPr>
                </w:p>
              </w:tc>
              <w:tc>
                <w:tcPr>
                  <w:tcW w:w="4100" w:type="dxa"/>
                  <w:vAlign w:val="center"/>
                </w:tcPr>
                <w:p w14:paraId="46A28199">
                  <w:pPr>
                    <w:keepNext w:val="0"/>
                    <w:keepLines w:val="0"/>
                    <w:pageBreakBefore w:val="0"/>
                    <w:widowControl/>
                    <w:suppressLineNumbers w:val="0"/>
                    <w:kinsoku/>
                    <w:wordWrap/>
                    <w:overflowPunct/>
                    <w:topLinePunct w:val="0"/>
                    <w:autoSpaceDE/>
                    <w:autoSpaceDN/>
                    <w:bidi w:val="0"/>
                    <w:adjustRightInd/>
                    <w:snapToGrid/>
                    <w:jc w:val="both"/>
                    <w:textAlignment w:val="auto"/>
                    <w:rPr>
                      <w:rFonts w:hint="eastAsia"/>
                      <w:sz w:val="21"/>
                      <w:szCs w:val="21"/>
                      <w:vertAlign w:val="baseline"/>
                      <w:lang w:val="en-US" w:eastAsia="zh-CN"/>
                    </w:rPr>
                  </w:pPr>
                  <w:r>
                    <w:rPr>
                      <w:rFonts w:hint="eastAsia" w:ascii="Times New Roman" w:hAnsi="Times New Roman" w:eastAsia="宋体" w:cs="Times New Roman"/>
                      <w:color w:val="000000"/>
                      <w:kern w:val="0"/>
                      <w:sz w:val="21"/>
                      <w:szCs w:val="21"/>
                      <w:lang w:val="en-US" w:eastAsia="zh-CN" w:bidi="ar"/>
                    </w:rPr>
                    <w:t>②</w:t>
                  </w:r>
                  <w:r>
                    <w:rPr>
                      <w:rFonts w:hint="eastAsia" w:ascii="宋体" w:hAnsi="宋体" w:eastAsia="宋体" w:cs="宋体"/>
                      <w:color w:val="000000"/>
                      <w:kern w:val="0"/>
                      <w:sz w:val="21"/>
                      <w:szCs w:val="21"/>
                      <w:lang w:val="en-US" w:eastAsia="zh-CN" w:bidi="ar"/>
                    </w:rPr>
                    <w:t>坚持分区施策，持续改善大气环境：严格降尘管控，加强降尘量监测质控工作。加强施工扬尘控制，施工工地严格落实“</w:t>
                  </w:r>
                  <w:r>
                    <w:rPr>
                      <w:rFonts w:hint="eastAsia" w:ascii="宋体" w:hAnsi="宋体" w:cs="宋体"/>
                      <w:color w:val="000000"/>
                      <w:kern w:val="0"/>
                      <w:sz w:val="21"/>
                      <w:szCs w:val="21"/>
                      <w:lang w:val="en-US" w:eastAsia="zh-CN" w:bidi="ar"/>
                    </w:rPr>
                    <w:t>六</w:t>
                  </w:r>
                  <w:r>
                    <w:rPr>
                      <w:rFonts w:hint="eastAsia" w:ascii="宋体" w:hAnsi="宋体" w:eastAsia="宋体" w:cs="宋体"/>
                      <w:color w:val="000000"/>
                      <w:kern w:val="0"/>
                      <w:sz w:val="21"/>
                      <w:szCs w:val="21"/>
                      <w:lang w:val="en-US" w:eastAsia="zh-CN" w:bidi="ar"/>
                    </w:rPr>
                    <w:t>个百分百”。鼓励各地推动实施“阳光施工”“阳光运输”，减少夜间施工。强化道路扬尘管控。推动挥发性有机物污染防治工作。大力推进低（无）</w:t>
                  </w:r>
                  <w:r>
                    <w:rPr>
                      <w:rFonts w:hint="default" w:ascii="Times New Roman" w:hAnsi="Times New Roman" w:eastAsia="宋体" w:cs="Times New Roman"/>
                      <w:color w:val="000000"/>
                      <w:kern w:val="0"/>
                      <w:sz w:val="21"/>
                      <w:szCs w:val="21"/>
                      <w:lang w:val="en-US" w:eastAsia="zh-CN" w:bidi="ar"/>
                    </w:rPr>
                    <w:t>VOCs</w:t>
                  </w:r>
                  <w:r>
                    <w:rPr>
                      <w:rFonts w:hint="eastAsia" w:ascii="宋体" w:hAnsi="宋体" w:eastAsia="宋体" w:cs="宋体"/>
                      <w:color w:val="000000"/>
                      <w:kern w:val="0"/>
                      <w:sz w:val="21"/>
                      <w:szCs w:val="21"/>
                      <w:lang w:val="en-US" w:eastAsia="zh-CN" w:bidi="ar"/>
                    </w:rPr>
                    <w:t>含量原辅材料替代。推进建设适宜高效的治污设施。鼓励企业采用多种技术的组合工艺，提高</w:t>
                  </w:r>
                  <w:r>
                    <w:rPr>
                      <w:rFonts w:hint="default" w:ascii="Times New Roman" w:hAnsi="Times New Roman" w:eastAsia="宋体" w:cs="Times New Roman"/>
                      <w:color w:val="000000"/>
                      <w:kern w:val="0"/>
                      <w:sz w:val="21"/>
                      <w:szCs w:val="21"/>
                      <w:lang w:val="en-US" w:eastAsia="zh-CN" w:bidi="ar"/>
                    </w:rPr>
                    <w:t>VOCs</w:t>
                  </w:r>
                  <w:r>
                    <w:rPr>
                      <w:rFonts w:hint="eastAsia" w:ascii="宋体" w:hAnsi="宋体" w:eastAsia="宋体" w:cs="宋体"/>
                      <w:color w:val="000000"/>
                      <w:kern w:val="0"/>
                      <w:sz w:val="21"/>
                      <w:szCs w:val="21"/>
                      <w:lang w:val="en-US" w:eastAsia="zh-CN" w:bidi="ar"/>
                    </w:rPr>
                    <w:t>治理效率。除恶臭异味治理外，一般不采用低温等离子、光催化、光氧化等技术。全面执行《挥发性有机物无组织排放控制标准》。严格落实建设项目环境影响评价和“三同时”验收制度，确保工业企业厂界噪声达标。加强固体废物环境监管。</w:t>
                  </w:r>
                </w:p>
              </w:tc>
              <w:tc>
                <w:tcPr>
                  <w:tcW w:w="2190" w:type="dxa"/>
                  <w:vAlign w:val="center"/>
                </w:tcPr>
                <w:p w14:paraId="369D415E">
                  <w:pPr>
                    <w:keepNext w:val="0"/>
                    <w:keepLines w:val="0"/>
                    <w:pageBreakBefore w:val="0"/>
                    <w:widowControl/>
                    <w:suppressLineNumbers w:val="0"/>
                    <w:kinsoku/>
                    <w:wordWrap/>
                    <w:overflowPunct/>
                    <w:topLinePunct w:val="0"/>
                    <w:autoSpaceDE/>
                    <w:autoSpaceDN/>
                    <w:bidi w:val="0"/>
                    <w:adjustRightInd/>
                    <w:snapToGrid/>
                    <w:jc w:val="both"/>
                    <w:textAlignment w:val="auto"/>
                    <w:rPr>
                      <w:sz w:val="21"/>
                      <w:szCs w:val="21"/>
                    </w:rPr>
                  </w:pPr>
                  <w:r>
                    <w:rPr>
                      <w:rFonts w:hint="eastAsia" w:ascii="宋体" w:hAnsi="宋体" w:eastAsia="宋体" w:cs="宋体"/>
                      <w:color w:val="000000"/>
                      <w:kern w:val="0"/>
                      <w:sz w:val="21"/>
                      <w:szCs w:val="21"/>
                      <w:lang w:val="en-US" w:eastAsia="zh-CN" w:bidi="ar"/>
                    </w:rPr>
                    <w:t>本项目施工地严格落实“</w:t>
                  </w:r>
                  <w:r>
                    <w:rPr>
                      <w:rFonts w:hint="eastAsia" w:ascii="宋体" w:hAnsi="宋体" w:cs="宋体"/>
                      <w:color w:val="000000"/>
                      <w:kern w:val="0"/>
                      <w:sz w:val="21"/>
                      <w:szCs w:val="21"/>
                      <w:lang w:val="en-US" w:eastAsia="zh-CN" w:bidi="ar"/>
                    </w:rPr>
                    <w:t>六</w:t>
                  </w:r>
                  <w:r>
                    <w:rPr>
                      <w:rFonts w:hint="eastAsia" w:ascii="宋体" w:hAnsi="宋体" w:eastAsia="宋体" w:cs="宋体"/>
                      <w:color w:val="000000"/>
                      <w:kern w:val="0"/>
                      <w:sz w:val="21"/>
                      <w:szCs w:val="21"/>
                      <w:lang w:val="en-US" w:eastAsia="zh-CN" w:bidi="ar"/>
                    </w:rPr>
                    <w:t>个百分百”。采取“阳光施工”“阳光运输”，不在夜间施工。本项目采用</w:t>
                  </w:r>
                  <w:r>
                    <w:rPr>
                      <w:rFonts w:hint="eastAsia" w:cs="Times New Roman"/>
                      <w:color w:val="000000"/>
                      <w:kern w:val="0"/>
                      <w:sz w:val="21"/>
                      <w:szCs w:val="21"/>
                      <w:lang w:val="en-US" w:eastAsia="zh-CN" w:bidi="ar"/>
                    </w:rPr>
                    <w:t>二</w:t>
                  </w:r>
                  <w:r>
                    <w:rPr>
                      <w:rFonts w:hint="eastAsia" w:ascii="宋体" w:hAnsi="宋体" w:eastAsia="宋体" w:cs="宋体"/>
                      <w:color w:val="000000"/>
                      <w:kern w:val="0"/>
                      <w:sz w:val="21"/>
                      <w:szCs w:val="21"/>
                      <w:lang w:val="en-US" w:eastAsia="zh-CN" w:bidi="ar"/>
                    </w:rPr>
                    <w:t>级活性炭吸附装置处理</w:t>
                  </w:r>
                  <w:r>
                    <w:rPr>
                      <w:rFonts w:hint="default" w:ascii="Times New Roman" w:hAnsi="Times New Roman" w:eastAsia="宋体" w:cs="Times New Roman"/>
                      <w:color w:val="000000"/>
                      <w:kern w:val="0"/>
                      <w:sz w:val="21"/>
                      <w:szCs w:val="21"/>
                      <w:lang w:val="en-US" w:eastAsia="zh-CN" w:bidi="ar"/>
                    </w:rPr>
                    <w:t>VOCs</w:t>
                  </w:r>
                  <w:r>
                    <w:rPr>
                      <w:rFonts w:hint="eastAsia" w:ascii="宋体" w:hAnsi="宋体" w:eastAsia="宋体" w:cs="宋体"/>
                      <w:color w:val="000000"/>
                      <w:kern w:val="0"/>
                      <w:sz w:val="21"/>
                      <w:szCs w:val="21"/>
                      <w:lang w:val="en-US" w:eastAsia="zh-CN" w:bidi="ar"/>
                    </w:rPr>
                    <w:t xml:space="preserve">，属于可行性技术；运营期 </w:t>
                  </w:r>
                </w:p>
                <w:p w14:paraId="1950D5DE">
                  <w:pPr>
                    <w:keepNext w:val="0"/>
                    <w:keepLines w:val="0"/>
                    <w:pageBreakBefore w:val="0"/>
                    <w:widowControl/>
                    <w:suppressLineNumbers w:val="0"/>
                    <w:kinsoku/>
                    <w:wordWrap/>
                    <w:overflowPunct/>
                    <w:topLinePunct w:val="0"/>
                    <w:autoSpaceDE/>
                    <w:autoSpaceDN/>
                    <w:bidi w:val="0"/>
                    <w:adjustRightInd/>
                    <w:snapToGrid/>
                    <w:jc w:val="both"/>
                    <w:textAlignment w:val="auto"/>
                    <w:rPr>
                      <w:sz w:val="21"/>
                      <w:szCs w:val="21"/>
                    </w:rPr>
                  </w:pPr>
                  <w:r>
                    <w:rPr>
                      <w:rFonts w:hint="eastAsia" w:ascii="宋体" w:hAnsi="宋体" w:eastAsia="宋体" w:cs="宋体"/>
                      <w:color w:val="000000"/>
                      <w:kern w:val="0"/>
                      <w:sz w:val="21"/>
                      <w:szCs w:val="21"/>
                      <w:lang w:val="en-US" w:eastAsia="zh-CN" w:bidi="ar"/>
                    </w:rPr>
                    <w:t xml:space="preserve">项目建设单位严格落实环境影响评价和建设“三同时”验收制度， </w:t>
                  </w:r>
                </w:p>
                <w:p w14:paraId="5EB9F71B">
                  <w:pPr>
                    <w:keepNext w:val="0"/>
                    <w:keepLines w:val="0"/>
                    <w:pageBreakBefore w:val="0"/>
                    <w:widowControl/>
                    <w:suppressLineNumbers w:val="0"/>
                    <w:kinsoku/>
                    <w:wordWrap/>
                    <w:overflowPunct/>
                    <w:topLinePunct w:val="0"/>
                    <w:autoSpaceDE/>
                    <w:autoSpaceDN/>
                    <w:bidi w:val="0"/>
                    <w:adjustRightInd/>
                    <w:snapToGrid/>
                    <w:jc w:val="both"/>
                    <w:textAlignment w:val="auto"/>
                    <w:rPr>
                      <w:rFonts w:hint="eastAsia"/>
                      <w:sz w:val="21"/>
                      <w:szCs w:val="21"/>
                      <w:vertAlign w:val="baseline"/>
                      <w:lang w:val="en-US" w:eastAsia="zh-CN"/>
                    </w:rPr>
                  </w:pPr>
                  <w:r>
                    <w:rPr>
                      <w:rFonts w:hint="eastAsia" w:ascii="宋体" w:hAnsi="宋体" w:eastAsia="宋体" w:cs="宋体"/>
                      <w:color w:val="000000"/>
                      <w:kern w:val="0"/>
                      <w:sz w:val="21"/>
                      <w:szCs w:val="21"/>
                      <w:lang w:val="en-US" w:eastAsia="zh-CN" w:bidi="ar"/>
                    </w:rPr>
                    <w:t>确保工业企业厂界噪声达标。加强固体废物环境监管。</w:t>
                  </w:r>
                </w:p>
              </w:tc>
              <w:tc>
                <w:tcPr>
                  <w:tcW w:w="907" w:type="dxa"/>
                  <w:vAlign w:val="center"/>
                </w:tcPr>
                <w:p w14:paraId="1FE195B8">
                  <w:pPr>
                    <w:pStyle w:val="16"/>
                    <w:keepNext w:val="0"/>
                    <w:keepLines w:val="0"/>
                    <w:pageBreakBefore w:val="0"/>
                    <w:widowControl w:val="0"/>
                    <w:kinsoku/>
                    <w:wordWrap/>
                    <w:overflowPunct/>
                    <w:topLinePunct w:val="0"/>
                    <w:autoSpaceDE/>
                    <w:autoSpaceDN/>
                    <w:bidi w:val="0"/>
                    <w:adjustRightInd/>
                    <w:snapToGrid/>
                    <w:ind w:left="0"/>
                    <w:jc w:val="center"/>
                    <w:textAlignment w:val="auto"/>
                    <w:rPr>
                      <w:rFonts w:hint="default"/>
                      <w:sz w:val="21"/>
                      <w:szCs w:val="21"/>
                      <w:vertAlign w:val="baseline"/>
                      <w:lang w:val="en-US" w:eastAsia="zh-CN"/>
                    </w:rPr>
                  </w:pPr>
                  <w:r>
                    <w:rPr>
                      <w:rFonts w:hint="eastAsia"/>
                      <w:sz w:val="21"/>
                      <w:szCs w:val="21"/>
                      <w:vertAlign w:val="baseline"/>
                      <w:lang w:val="en-US" w:eastAsia="zh-CN"/>
                    </w:rPr>
                    <w:t>符合</w:t>
                  </w:r>
                </w:p>
              </w:tc>
            </w:tr>
            <w:tr w14:paraId="393F2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7" w:type="dxa"/>
                  <w:vMerge w:val="continue"/>
                  <w:vAlign w:val="center"/>
                </w:tcPr>
                <w:p w14:paraId="3E83B3B5">
                  <w:pPr>
                    <w:keepNext w:val="0"/>
                    <w:keepLines w:val="0"/>
                    <w:pageBreakBefore w:val="0"/>
                    <w:widowControl/>
                    <w:suppressLineNumbers w:val="0"/>
                    <w:kinsoku/>
                    <w:wordWrap/>
                    <w:overflowPunct/>
                    <w:topLinePunct w:val="0"/>
                    <w:autoSpaceDE/>
                    <w:autoSpaceDN/>
                    <w:bidi w:val="0"/>
                    <w:adjustRightInd/>
                    <w:snapToGrid/>
                    <w:ind w:left="0"/>
                    <w:jc w:val="left"/>
                    <w:textAlignment w:val="auto"/>
                    <w:rPr>
                      <w:rFonts w:hint="eastAsia" w:ascii="宋体" w:hAnsi="宋体" w:eastAsia="宋体" w:cs="宋体"/>
                      <w:color w:val="000000"/>
                      <w:kern w:val="0"/>
                      <w:sz w:val="21"/>
                      <w:szCs w:val="21"/>
                      <w:lang w:val="en-US" w:eastAsia="zh-CN" w:bidi="ar"/>
                    </w:rPr>
                  </w:pPr>
                </w:p>
              </w:tc>
              <w:tc>
                <w:tcPr>
                  <w:tcW w:w="4100" w:type="dxa"/>
                  <w:vAlign w:val="center"/>
                </w:tcPr>
                <w:p w14:paraId="318BC3D3">
                  <w:pPr>
                    <w:keepNext w:val="0"/>
                    <w:keepLines w:val="0"/>
                    <w:pageBreakBefore w:val="0"/>
                    <w:widowControl/>
                    <w:suppressLineNumbers w:val="0"/>
                    <w:kinsoku/>
                    <w:wordWrap/>
                    <w:overflowPunct/>
                    <w:topLinePunct w:val="0"/>
                    <w:autoSpaceDE/>
                    <w:autoSpaceDN/>
                    <w:bidi w:val="0"/>
                    <w:adjustRightInd/>
                    <w:snapToGrid/>
                    <w:jc w:val="both"/>
                    <w:textAlignment w:val="auto"/>
                    <w:rPr>
                      <w:rFonts w:hint="eastAsia"/>
                      <w:sz w:val="21"/>
                      <w:szCs w:val="21"/>
                      <w:vertAlign w:val="baseline"/>
                      <w:lang w:val="en-US" w:eastAsia="zh-CN"/>
                    </w:rPr>
                  </w:pPr>
                  <w:r>
                    <w:rPr>
                      <w:rFonts w:hint="default" w:ascii="Times New Roman" w:hAnsi="Times New Roman" w:eastAsia="宋体" w:cs="Times New Roman"/>
                      <w:color w:val="000000"/>
                      <w:kern w:val="0"/>
                      <w:sz w:val="21"/>
                      <w:szCs w:val="21"/>
                      <w:lang w:val="en-US" w:eastAsia="zh-CN" w:bidi="ar"/>
                    </w:rPr>
                    <w:t>3</w:t>
                  </w:r>
                  <w:r>
                    <w:rPr>
                      <w:rFonts w:hint="eastAsia" w:ascii="宋体" w:hAnsi="宋体" w:eastAsia="宋体" w:cs="宋体"/>
                      <w:color w:val="000000"/>
                      <w:kern w:val="0"/>
                      <w:sz w:val="21"/>
                      <w:szCs w:val="21"/>
                      <w:lang w:val="en-US" w:eastAsia="zh-CN" w:bidi="ar"/>
                    </w:rPr>
                    <w:t>、落实“三线一单”分区分级管控体制。全面深化排污许可管理制度。</w:t>
                  </w:r>
                </w:p>
              </w:tc>
              <w:tc>
                <w:tcPr>
                  <w:tcW w:w="2190" w:type="dxa"/>
                  <w:vAlign w:val="center"/>
                </w:tcPr>
                <w:p w14:paraId="319632B0">
                  <w:pPr>
                    <w:keepNext w:val="0"/>
                    <w:keepLines w:val="0"/>
                    <w:pageBreakBefore w:val="0"/>
                    <w:widowControl/>
                    <w:suppressLineNumbers w:val="0"/>
                    <w:kinsoku/>
                    <w:wordWrap/>
                    <w:overflowPunct/>
                    <w:topLinePunct w:val="0"/>
                    <w:autoSpaceDE/>
                    <w:autoSpaceDN/>
                    <w:bidi w:val="0"/>
                    <w:adjustRightInd/>
                    <w:snapToGrid/>
                    <w:jc w:val="both"/>
                    <w:textAlignment w:val="auto"/>
                    <w:rPr>
                      <w:rFonts w:hint="eastAsia"/>
                      <w:sz w:val="21"/>
                      <w:szCs w:val="21"/>
                      <w:vertAlign w:val="baseline"/>
                      <w:lang w:val="en-US" w:eastAsia="zh-CN"/>
                    </w:rPr>
                  </w:pPr>
                  <w:r>
                    <w:rPr>
                      <w:rFonts w:hint="eastAsia" w:ascii="宋体" w:hAnsi="宋体" w:eastAsia="宋体" w:cs="宋体"/>
                      <w:color w:val="000000"/>
                      <w:kern w:val="0"/>
                      <w:sz w:val="21"/>
                      <w:szCs w:val="21"/>
                      <w:lang w:val="en-US" w:eastAsia="zh-CN" w:bidi="ar"/>
                    </w:rPr>
                    <w:t>根据“三线一单”分析可知，本项目满足分区管控要求。项目建设完成后建设单位应按要求办理排污许可。</w:t>
                  </w:r>
                </w:p>
              </w:tc>
              <w:tc>
                <w:tcPr>
                  <w:tcW w:w="907" w:type="dxa"/>
                  <w:vAlign w:val="center"/>
                </w:tcPr>
                <w:p w14:paraId="03AFD290">
                  <w:pPr>
                    <w:pStyle w:val="16"/>
                    <w:keepNext w:val="0"/>
                    <w:keepLines w:val="0"/>
                    <w:pageBreakBefore w:val="0"/>
                    <w:widowControl w:val="0"/>
                    <w:kinsoku/>
                    <w:wordWrap/>
                    <w:overflowPunct/>
                    <w:topLinePunct w:val="0"/>
                    <w:autoSpaceDE/>
                    <w:autoSpaceDN/>
                    <w:bidi w:val="0"/>
                    <w:adjustRightInd/>
                    <w:snapToGrid/>
                    <w:ind w:left="0"/>
                    <w:jc w:val="center"/>
                    <w:textAlignment w:val="auto"/>
                    <w:rPr>
                      <w:rFonts w:hint="default"/>
                      <w:sz w:val="21"/>
                      <w:szCs w:val="21"/>
                      <w:vertAlign w:val="baseline"/>
                      <w:lang w:val="en-US" w:eastAsia="zh-CN"/>
                    </w:rPr>
                  </w:pPr>
                  <w:r>
                    <w:rPr>
                      <w:rFonts w:hint="eastAsia"/>
                      <w:sz w:val="21"/>
                      <w:szCs w:val="21"/>
                      <w:vertAlign w:val="baseline"/>
                      <w:lang w:val="en-US" w:eastAsia="zh-CN"/>
                    </w:rPr>
                    <w:t>符合</w:t>
                  </w:r>
                </w:p>
              </w:tc>
            </w:tr>
          </w:tbl>
          <w:p w14:paraId="376411B0">
            <w:pPr>
              <w:spacing w:line="360" w:lineRule="auto"/>
              <w:ind w:firstLine="482" w:firstLineChars="200"/>
              <w:jc w:val="both"/>
              <w:rPr>
                <w:rFonts w:hint="eastAsia" w:ascii="Times New Roman" w:hAnsi="Times New Roman" w:cs="Times New Roman"/>
                <w:b/>
                <w:bCs/>
                <w:color w:val="auto"/>
                <w:lang w:val="en-US" w:eastAsia="zh-CN"/>
              </w:rPr>
            </w:pPr>
            <w:r>
              <w:rPr>
                <w:rFonts w:hint="eastAsia" w:cs="Times New Roman"/>
                <w:b/>
                <w:bCs/>
                <w:color w:val="auto"/>
                <w:lang w:val="en-US" w:eastAsia="zh-CN"/>
              </w:rPr>
              <w:t>6、</w:t>
            </w:r>
            <w:r>
              <w:rPr>
                <w:rFonts w:hint="eastAsia" w:ascii="Times New Roman" w:hAnsi="Times New Roman" w:cs="Times New Roman"/>
                <w:b/>
                <w:bCs/>
                <w:color w:val="auto"/>
                <w:lang w:val="en-US" w:eastAsia="zh-CN"/>
              </w:rPr>
              <w:t xml:space="preserve">与《淮河流域水污染防治暂行条例》符合性分析 </w:t>
            </w:r>
          </w:p>
          <w:p w14:paraId="20B4BE10">
            <w:pPr>
              <w:spacing w:line="360" w:lineRule="auto"/>
              <w:ind w:firstLine="480" w:firstLineChars="200"/>
              <w:jc w:val="both"/>
              <w:rPr>
                <w:rFonts w:hint="eastAsia" w:ascii="Times New Roman" w:hAnsi="Times New Roman" w:cs="Times New Roman"/>
                <w:b w:val="0"/>
                <w:bCs w:val="0"/>
                <w:color w:val="auto"/>
                <w:lang w:val="en-US" w:eastAsia="zh-CN"/>
              </w:rPr>
            </w:pPr>
            <w:r>
              <w:rPr>
                <w:rFonts w:hint="eastAsia" w:ascii="Times New Roman" w:hAnsi="Times New Roman" w:cs="Times New Roman"/>
                <w:b w:val="0"/>
                <w:bCs w:val="0"/>
                <w:color w:val="auto"/>
                <w:lang w:val="en-US" w:eastAsia="zh-CN"/>
              </w:rPr>
              <w:t>对照《淮河流域水污染防治暂行条例》（</w:t>
            </w:r>
            <w:r>
              <w:rPr>
                <w:rFonts w:hint="default" w:ascii="Times New Roman" w:hAnsi="Times New Roman" w:cs="Times New Roman"/>
                <w:b w:val="0"/>
                <w:bCs w:val="0"/>
                <w:color w:val="auto"/>
                <w:lang w:val="en-US" w:eastAsia="zh-CN"/>
              </w:rPr>
              <w:t>2011</w:t>
            </w:r>
            <w:r>
              <w:rPr>
                <w:rFonts w:hint="eastAsia" w:ascii="Times New Roman" w:hAnsi="Times New Roman" w:cs="Times New Roman"/>
                <w:b w:val="0"/>
                <w:bCs w:val="0"/>
                <w:color w:val="auto"/>
                <w:lang w:val="en-US" w:eastAsia="zh-CN"/>
              </w:rPr>
              <w:t>年</w:t>
            </w:r>
            <w:r>
              <w:rPr>
                <w:rFonts w:hint="default" w:ascii="Times New Roman" w:hAnsi="Times New Roman" w:cs="Times New Roman"/>
                <w:b w:val="0"/>
                <w:bCs w:val="0"/>
                <w:color w:val="auto"/>
                <w:lang w:val="en-US" w:eastAsia="zh-CN"/>
              </w:rPr>
              <w:t>1</w:t>
            </w:r>
            <w:r>
              <w:rPr>
                <w:rFonts w:hint="eastAsia" w:ascii="Times New Roman" w:hAnsi="Times New Roman" w:cs="Times New Roman"/>
                <w:b w:val="0"/>
                <w:bCs w:val="0"/>
                <w:color w:val="auto"/>
                <w:lang w:val="en-US" w:eastAsia="zh-CN"/>
              </w:rPr>
              <w:t>月</w:t>
            </w:r>
            <w:r>
              <w:rPr>
                <w:rFonts w:hint="default" w:ascii="Times New Roman" w:hAnsi="Times New Roman" w:cs="Times New Roman"/>
                <w:b w:val="0"/>
                <w:bCs w:val="0"/>
                <w:color w:val="auto"/>
                <w:lang w:val="en-US" w:eastAsia="zh-CN"/>
              </w:rPr>
              <w:t>8</w:t>
            </w:r>
            <w:r>
              <w:rPr>
                <w:rFonts w:hint="eastAsia" w:ascii="Times New Roman" w:hAnsi="Times New Roman" w:cs="Times New Roman"/>
                <w:b w:val="0"/>
                <w:bCs w:val="0"/>
                <w:color w:val="auto"/>
                <w:lang w:val="en-US" w:eastAsia="zh-CN"/>
              </w:rPr>
              <w:t>日修订），“禁止在淮河流域新建化学制浆造纸企业。禁止在淮河流域新建制革、化工、印染、电镀、酿造等污染严重的小型企业”，“严格限制在淮河流域新建前款所列大中型项目或者其他污染严重的项目；建设该类项目的，必须事先征得有关省人民政府环境保护行政主管部门的同意，并报国务院环境保护行政主管部门备案”。本项目不在禁止、限制类之列，符合产业准入要求。</w:t>
            </w:r>
          </w:p>
          <w:p w14:paraId="756CC79A">
            <w:pPr>
              <w:spacing w:line="360" w:lineRule="auto"/>
              <w:ind w:firstLine="482" w:firstLineChars="200"/>
              <w:jc w:val="both"/>
              <w:rPr>
                <w:rFonts w:hint="default" w:ascii="Times New Roman" w:hAnsi="Times New Roman" w:cs="Times New Roman"/>
                <w:b/>
                <w:bCs/>
                <w:color w:val="auto"/>
                <w:lang w:val="en-US" w:eastAsia="zh-CN"/>
              </w:rPr>
            </w:pPr>
            <w:r>
              <w:rPr>
                <w:rFonts w:hint="eastAsia" w:cs="Times New Roman"/>
                <w:b/>
                <w:bCs/>
                <w:color w:val="auto"/>
                <w:lang w:val="en-US" w:eastAsia="zh-CN"/>
              </w:rPr>
              <w:t>7、</w:t>
            </w:r>
            <w:r>
              <w:rPr>
                <w:rFonts w:hint="default" w:ascii="Times New Roman" w:hAnsi="Times New Roman" w:cs="Times New Roman"/>
                <w:b/>
                <w:bCs/>
                <w:color w:val="auto"/>
                <w:lang w:val="en-US" w:eastAsia="zh-CN"/>
              </w:rPr>
              <w:t>与《安徽省生态环境保护委员会办公室关于印发安徽省2022年大气污染防治工作要点》符合性分析</w:t>
            </w:r>
          </w:p>
          <w:p w14:paraId="58B841B7">
            <w:pPr>
              <w:spacing w:line="360" w:lineRule="auto"/>
              <w:ind w:firstLine="480" w:firstLineChars="200"/>
              <w:jc w:val="both"/>
              <w:rPr>
                <w:rFonts w:hint="default" w:ascii="Times New Roman" w:hAnsi="Times New Roman" w:cs="Times New Roman"/>
                <w:b w:val="0"/>
                <w:bCs w:val="0"/>
                <w:color w:val="auto"/>
                <w:lang w:val="en-US" w:eastAsia="zh-CN"/>
              </w:rPr>
            </w:pPr>
            <w:r>
              <w:rPr>
                <w:rFonts w:hint="default" w:ascii="Times New Roman" w:hAnsi="Times New Roman" w:cs="Times New Roman"/>
                <w:b w:val="0"/>
                <w:bCs w:val="0"/>
                <w:color w:val="auto"/>
                <w:lang w:val="en-US" w:eastAsia="zh-CN"/>
              </w:rPr>
              <w:t>对照《安徽省生态环境保护委员会办公室关于印发安徽省2022年大气污染防治工作要点》（安环委办〔2022〕37号），</w:t>
            </w:r>
            <w:r>
              <w:rPr>
                <w:rFonts w:hint="eastAsia" w:cs="Times New Roman"/>
                <w:b w:val="0"/>
                <w:bCs w:val="0"/>
                <w:color w:val="auto"/>
                <w:lang w:val="en-US" w:eastAsia="zh-CN"/>
              </w:rPr>
              <w:t>“</w:t>
            </w:r>
            <w:r>
              <w:rPr>
                <w:rFonts w:hint="default" w:ascii="Times New Roman" w:hAnsi="Times New Roman" w:cs="Times New Roman"/>
                <w:b w:val="0"/>
                <w:bCs w:val="0"/>
                <w:color w:val="auto"/>
                <w:lang w:val="en-US" w:eastAsia="zh-CN"/>
              </w:rPr>
              <w:t>依法依规淘汰落后产能和化解过剩产能，严禁新增钢铁、焦化、水泥熟料、平板玻璃、电解铝等产业</w:t>
            </w:r>
            <w:r>
              <w:rPr>
                <w:rFonts w:hint="eastAsia" w:cs="Times New Roman"/>
                <w:b w:val="0"/>
                <w:bCs w:val="0"/>
                <w:color w:val="auto"/>
                <w:lang w:val="en-US" w:eastAsia="zh-CN"/>
              </w:rPr>
              <w:t>”</w:t>
            </w:r>
            <w:r>
              <w:rPr>
                <w:rFonts w:hint="default" w:ascii="Times New Roman" w:hAnsi="Times New Roman" w:cs="Times New Roman"/>
                <w:b w:val="0"/>
                <w:bCs w:val="0"/>
                <w:color w:val="auto"/>
                <w:lang w:val="en-US" w:eastAsia="zh-CN"/>
              </w:rPr>
              <w:t>，本项目属于</w:t>
            </w:r>
            <w:r>
              <w:rPr>
                <w:rFonts w:hint="eastAsia" w:cs="Times New Roman"/>
                <w:b w:val="0"/>
                <w:bCs w:val="0"/>
                <w:color w:val="auto"/>
                <w:lang w:val="en-US" w:eastAsia="zh-CN"/>
              </w:rPr>
              <w:t>塑料制品制造</w:t>
            </w:r>
            <w:r>
              <w:rPr>
                <w:rFonts w:hint="default" w:ascii="Times New Roman" w:hAnsi="Times New Roman" w:cs="Times New Roman"/>
                <w:b w:val="0"/>
                <w:bCs w:val="0"/>
                <w:color w:val="auto"/>
                <w:lang w:val="en-US" w:eastAsia="zh-CN"/>
              </w:rPr>
              <w:t>行业，不在淘汰产业之列。坚持</w:t>
            </w:r>
            <w:r>
              <w:rPr>
                <w:rFonts w:hint="eastAsia" w:cs="Times New Roman"/>
                <w:b w:val="0"/>
                <w:bCs w:val="0"/>
                <w:color w:val="auto"/>
                <w:lang w:val="en-US" w:eastAsia="zh-CN"/>
              </w:rPr>
              <w:t>“</w:t>
            </w:r>
            <w:r>
              <w:rPr>
                <w:rFonts w:hint="default" w:ascii="Times New Roman" w:hAnsi="Times New Roman" w:cs="Times New Roman"/>
                <w:b w:val="0"/>
                <w:bCs w:val="0"/>
                <w:color w:val="auto"/>
                <w:lang w:val="en-US" w:eastAsia="zh-CN"/>
              </w:rPr>
              <w:t>加强大气面源污染治理，聚焦PM</w:t>
            </w:r>
            <w:r>
              <w:rPr>
                <w:rFonts w:hint="default" w:ascii="Times New Roman" w:hAnsi="Times New Roman" w:cs="Times New Roman"/>
                <w:b w:val="0"/>
                <w:bCs w:val="0"/>
                <w:color w:val="auto"/>
                <w:vertAlign w:val="subscript"/>
                <w:lang w:val="en-US" w:eastAsia="zh-CN"/>
              </w:rPr>
              <w:t>10</w:t>
            </w:r>
            <w:r>
              <w:rPr>
                <w:rFonts w:hint="default" w:ascii="Times New Roman" w:hAnsi="Times New Roman" w:cs="Times New Roman"/>
                <w:b w:val="0"/>
                <w:bCs w:val="0"/>
                <w:color w:val="auto"/>
                <w:lang w:val="en-US" w:eastAsia="zh-CN"/>
              </w:rPr>
              <w:t>治理，研究制订建筑施工颗粒物控制地方标准，强化施工、道路等扬尘管控，积极推行</w:t>
            </w:r>
            <w:r>
              <w:rPr>
                <w:rFonts w:hint="eastAsia" w:cs="Times New Roman"/>
                <w:b w:val="0"/>
                <w:bCs w:val="0"/>
                <w:color w:val="auto"/>
                <w:lang w:val="en-US" w:eastAsia="zh-CN"/>
              </w:rPr>
              <w:t>“</w:t>
            </w:r>
            <w:r>
              <w:rPr>
                <w:rFonts w:hint="default" w:ascii="Times New Roman" w:hAnsi="Times New Roman" w:cs="Times New Roman"/>
                <w:b w:val="0"/>
                <w:bCs w:val="0"/>
                <w:color w:val="auto"/>
                <w:lang w:val="en-US" w:eastAsia="zh-CN"/>
              </w:rPr>
              <w:t>绿色施工</w:t>
            </w:r>
            <w:r>
              <w:rPr>
                <w:rFonts w:hint="eastAsia" w:cs="Times New Roman"/>
                <w:b w:val="0"/>
                <w:bCs w:val="0"/>
                <w:color w:val="auto"/>
                <w:lang w:val="en-US" w:eastAsia="zh-CN"/>
              </w:rPr>
              <w:t>”</w:t>
            </w:r>
            <w:r>
              <w:rPr>
                <w:rFonts w:hint="default" w:ascii="Times New Roman" w:hAnsi="Times New Roman" w:cs="Times New Roman"/>
                <w:b w:val="0"/>
                <w:bCs w:val="0"/>
                <w:color w:val="auto"/>
                <w:lang w:val="en-US" w:eastAsia="zh-CN"/>
              </w:rPr>
              <w:t>，本项目涉及新建厂房，在落实环评提出的相关措施情况下，对周边大气环境影响较小。</w:t>
            </w:r>
          </w:p>
          <w:p w14:paraId="12BF9E27">
            <w:pPr>
              <w:spacing w:line="360" w:lineRule="auto"/>
              <w:ind w:firstLine="482" w:firstLineChars="200"/>
              <w:jc w:val="both"/>
              <w:rPr>
                <w:rFonts w:hint="default" w:ascii="Times New Roman" w:hAnsi="Times New Roman" w:cs="Times New Roman"/>
                <w:b/>
                <w:bCs/>
                <w:color w:val="auto"/>
                <w:lang w:val="en-US" w:eastAsia="zh-CN"/>
              </w:rPr>
            </w:pPr>
            <w:r>
              <w:rPr>
                <w:rFonts w:hint="eastAsia" w:cs="Times New Roman"/>
                <w:b/>
                <w:bCs/>
                <w:color w:val="auto"/>
                <w:lang w:val="en-US" w:eastAsia="zh-CN"/>
              </w:rPr>
              <w:t>8、</w:t>
            </w:r>
            <w:r>
              <w:rPr>
                <w:rFonts w:hint="default" w:ascii="Times New Roman" w:hAnsi="Times New Roman" w:cs="Times New Roman"/>
                <w:b/>
                <w:bCs/>
                <w:color w:val="auto"/>
                <w:lang w:val="en-US" w:eastAsia="zh-CN"/>
              </w:rPr>
              <w:t>与挥发性有机物相关政策符合性分析</w:t>
            </w:r>
          </w:p>
          <w:p w14:paraId="7BF5D8B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cs="Times New Roman"/>
                <w:b/>
                <w:bCs w:val="0"/>
                <w:color w:val="auto"/>
                <w:sz w:val="24"/>
                <w:szCs w:val="24"/>
                <w:lang w:val="en-US" w:eastAsia="zh-CN"/>
              </w:rPr>
            </w:pPr>
            <w:r>
              <w:rPr>
                <w:rFonts w:hint="default" w:cs="Times New Roman"/>
                <w:b/>
                <w:bCs w:val="0"/>
                <w:color w:val="auto"/>
                <w:sz w:val="24"/>
                <w:szCs w:val="24"/>
                <w:lang w:val="en-US" w:eastAsia="zh-CN"/>
              </w:rPr>
              <w:t>表1-</w:t>
            </w:r>
            <w:r>
              <w:rPr>
                <w:rFonts w:hint="eastAsia" w:cs="Times New Roman"/>
                <w:b/>
                <w:bCs w:val="0"/>
                <w:color w:val="auto"/>
                <w:sz w:val="24"/>
                <w:szCs w:val="24"/>
                <w:lang w:val="en-US" w:eastAsia="zh-CN"/>
              </w:rPr>
              <w:t xml:space="preserve">6  </w:t>
            </w:r>
            <w:r>
              <w:rPr>
                <w:rFonts w:hint="default" w:cs="Times New Roman"/>
                <w:b/>
                <w:bCs w:val="0"/>
                <w:color w:val="auto"/>
                <w:sz w:val="24"/>
                <w:szCs w:val="24"/>
                <w:lang w:val="en-US" w:eastAsia="zh-CN"/>
              </w:rPr>
              <w:t>本项目与挥发性有机物相关政策符合性分析</w:t>
            </w:r>
          </w:p>
          <w:tbl>
            <w:tblPr>
              <w:tblStyle w:val="2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32"/>
              <w:gridCol w:w="1211"/>
              <w:gridCol w:w="4436"/>
              <w:gridCol w:w="1685"/>
              <w:gridCol w:w="548"/>
            </w:tblGrid>
            <w:tr w14:paraId="53A57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1" w:type="pct"/>
                  <w:tcBorders>
                    <w:tl2br w:val="nil"/>
                    <w:tr2bl w:val="nil"/>
                  </w:tcBorders>
                  <w:noWrap w:val="0"/>
                  <w:vAlign w:val="center"/>
                </w:tcPr>
                <w:p w14:paraId="237416F9">
                  <w:pPr>
                    <w:pStyle w:val="43"/>
                    <w:keepNext w:val="0"/>
                    <w:keepLines w:val="0"/>
                    <w:pageBreakBefore w:val="0"/>
                    <w:widowControl w:val="0"/>
                    <w:kinsoku/>
                    <w:wordWrap/>
                    <w:overflowPunct/>
                    <w:topLinePunct w:val="0"/>
                    <w:bidi w:val="0"/>
                    <w:adjustRightInd/>
                    <w:snapToGrid/>
                    <w:spacing w:before="0" w:beforeLines="0" w:after="0" w:afterLines="0" w:line="240" w:lineRule="auto"/>
                    <w:ind w:right="0" w:firstLine="0" w:firstLineChars="0"/>
                    <w:jc w:val="center"/>
                    <w:textAlignment w:val="auto"/>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序号</w:t>
                  </w:r>
                </w:p>
              </w:tc>
              <w:tc>
                <w:tcPr>
                  <w:tcW w:w="737" w:type="pct"/>
                  <w:tcBorders>
                    <w:tl2br w:val="nil"/>
                    <w:tr2bl w:val="nil"/>
                  </w:tcBorders>
                  <w:noWrap w:val="0"/>
                  <w:vAlign w:val="center"/>
                </w:tcPr>
                <w:p w14:paraId="03B1C01B">
                  <w:pPr>
                    <w:pStyle w:val="43"/>
                    <w:keepNext w:val="0"/>
                    <w:keepLines w:val="0"/>
                    <w:pageBreakBefore w:val="0"/>
                    <w:widowControl w:val="0"/>
                    <w:kinsoku/>
                    <w:wordWrap/>
                    <w:overflowPunct/>
                    <w:topLinePunct w:val="0"/>
                    <w:bidi w:val="0"/>
                    <w:adjustRightInd/>
                    <w:snapToGrid/>
                    <w:spacing w:before="0" w:beforeLines="0" w:after="0" w:afterLines="0" w:line="240" w:lineRule="auto"/>
                    <w:ind w:right="0" w:firstLine="0" w:firstLineChars="0"/>
                    <w:jc w:val="center"/>
                    <w:textAlignment w:val="auto"/>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政策名称</w:t>
                  </w:r>
                </w:p>
              </w:tc>
              <w:tc>
                <w:tcPr>
                  <w:tcW w:w="2701" w:type="pct"/>
                  <w:tcBorders>
                    <w:tl2br w:val="nil"/>
                    <w:tr2bl w:val="nil"/>
                  </w:tcBorders>
                  <w:noWrap w:val="0"/>
                  <w:vAlign w:val="center"/>
                </w:tcPr>
                <w:p w14:paraId="05447A45">
                  <w:pPr>
                    <w:pStyle w:val="43"/>
                    <w:keepNext w:val="0"/>
                    <w:keepLines w:val="0"/>
                    <w:pageBreakBefore w:val="0"/>
                    <w:widowControl w:val="0"/>
                    <w:kinsoku/>
                    <w:wordWrap/>
                    <w:overflowPunct/>
                    <w:topLinePunct w:val="0"/>
                    <w:bidi w:val="0"/>
                    <w:adjustRightInd/>
                    <w:snapToGrid/>
                    <w:spacing w:before="0" w:beforeLines="0" w:after="0" w:afterLines="0" w:line="240" w:lineRule="auto"/>
                    <w:ind w:right="0" w:firstLine="0" w:firstLineChars="0"/>
                    <w:jc w:val="center"/>
                    <w:textAlignment w:val="auto"/>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相关要求</w:t>
                  </w:r>
                </w:p>
              </w:tc>
              <w:tc>
                <w:tcPr>
                  <w:tcW w:w="1025" w:type="pct"/>
                  <w:tcBorders>
                    <w:tl2br w:val="nil"/>
                    <w:tr2bl w:val="nil"/>
                  </w:tcBorders>
                  <w:noWrap w:val="0"/>
                  <w:vAlign w:val="center"/>
                </w:tcPr>
                <w:p w14:paraId="1F7147B5">
                  <w:pPr>
                    <w:pStyle w:val="43"/>
                    <w:keepNext w:val="0"/>
                    <w:keepLines w:val="0"/>
                    <w:pageBreakBefore w:val="0"/>
                    <w:widowControl w:val="0"/>
                    <w:kinsoku/>
                    <w:wordWrap/>
                    <w:overflowPunct/>
                    <w:topLinePunct w:val="0"/>
                    <w:bidi w:val="0"/>
                    <w:adjustRightInd/>
                    <w:snapToGrid/>
                    <w:spacing w:before="0" w:beforeLines="0" w:after="0" w:afterLines="0" w:line="240" w:lineRule="auto"/>
                    <w:ind w:right="0" w:firstLine="0" w:firstLineChars="0"/>
                    <w:jc w:val="center"/>
                    <w:textAlignment w:val="auto"/>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相符性分析</w:t>
                  </w:r>
                </w:p>
              </w:tc>
              <w:tc>
                <w:tcPr>
                  <w:tcW w:w="333" w:type="pct"/>
                  <w:tcBorders>
                    <w:tl2br w:val="nil"/>
                    <w:tr2bl w:val="nil"/>
                  </w:tcBorders>
                  <w:noWrap w:val="0"/>
                  <w:vAlign w:val="center"/>
                </w:tcPr>
                <w:p w14:paraId="4FA9A73A">
                  <w:pPr>
                    <w:pStyle w:val="43"/>
                    <w:keepNext w:val="0"/>
                    <w:keepLines w:val="0"/>
                    <w:pageBreakBefore w:val="0"/>
                    <w:widowControl w:val="0"/>
                    <w:kinsoku/>
                    <w:wordWrap/>
                    <w:overflowPunct/>
                    <w:topLinePunct w:val="0"/>
                    <w:bidi w:val="0"/>
                    <w:adjustRightInd/>
                    <w:snapToGrid/>
                    <w:spacing w:before="0" w:beforeLines="0" w:after="0" w:afterLines="0" w:line="240" w:lineRule="auto"/>
                    <w:ind w:right="0" w:firstLine="0" w:firstLineChars="0"/>
                    <w:jc w:val="center"/>
                    <w:textAlignment w:val="auto"/>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分析结果</w:t>
                  </w:r>
                </w:p>
              </w:tc>
            </w:tr>
            <w:tr w14:paraId="2BDE0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1" w:type="pct"/>
                  <w:vMerge w:val="restart"/>
                  <w:tcBorders>
                    <w:tl2br w:val="nil"/>
                    <w:tr2bl w:val="nil"/>
                  </w:tcBorders>
                  <w:noWrap w:val="0"/>
                  <w:vAlign w:val="center"/>
                </w:tcPr>
                <w:p w14:paraId="461D98C9">
                  <w:pPr>
                    <w:pStyle w:val="43"/>
                    <w:keepNext w:val="0"/>
                    <w:keepLines w:val="0"/>
                    <w:pageBreakBefore w:val="0"/>
                    <w:widowControl w:val="0"/>
                    <w:kinsoku/>
                    <w:wordWrap/>
                    <w:overflowPunct/>
                    <w:topLinePunct w:val="0"/>
                    <w:bidi w:val="0"/>
                    <w:adjustRightInd/>
                    <w:snapToGrid/>
                    <w:spacing w:before="0" w:beforeLines="0" w:after="0" w:afterLines="0" w:line="240" w:lineRule="auto"/>
                    <w:ind w:right="0" w:firstLine="0" w:firstLineChars="0"/>
                    <w:jc w:val="center"/>
                    <w:textAlignment w:val="auto"/>
                    <w:rPr>
                      <w:rFonts w:hint="default" w:ascii="Times New Roman" w:hAnsi="Times New Roman" w:eastAsia="宋体" w:cs="Times New Roman"/>
                      <w:b w:val="0"/>
                      <w:bCs w:val="0"/>
                      <w:color w:val="000000"/>
                      <w:sz w:val="21"/>
                      <w:szCs w:val="21"/>
                      <w:highlight w:val="none"/>
                      <w:lang w:val="en-US" w:eastAsia="zh-CN"/>
                    </w:rPr>
                  </w:pPr>
                  <w:r>
                    <w:rPr>
                      <w:rFonts w:hint="default" w:ascii="Times New Roman" w:hAnsi="Times New Roman" w:eastAsia="宋体" w:cs="Times New Roman"/>
                      <w:b w:val="0"/>
                      <w:bCs w:val="0"/>
                      <w:color w:val="000000"/>
                      <w:sz w:val="21"/>
                      <w:szCs w:val="21"/>
                      <w:highlight w:val="none"/>
                      <w:lang w:val="en-US" w:eastAsia="zh-CN"/>
                    </w:rPr>
                    <w:t>1</w:t>
                  </w:r>
                </w:p>
              </w:tc>
              <w:tc>
                <w:tcPr>
                  <w:tcW w:w="737" w:type="pct"/>
                  <w:vMerge w:val="restart"/>
                  <w:tcBorders>
                    <w:tl2br w:val="nil"/>
                    <w:tr2bl w:val="nil"/>
                  </w:tcBorders>
                  <w:noWrap w:val="0"/>
                  <w:vAlign w:val="center"/>
                </w:tcPr>
                <w:p w14:paraId="3297FAE3">
                  <w:pPr>
                    <w:keepNext w:val="0"/>
                    <w:keepLines w:val="0"/>
                    <w:pageBreakBefore w:val="0"/>
                    <w:widowControl w:val="0"/>
                    <w:kinsoku/>
                    <w:wordWrap/>
                    <w:overflowPunct/>
                    <w:topLinePunct w:val="0"/>
                    <w:autoSpaceDE w:val="0"/>
                    <w:autoSpaceDN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lang w:val="en-US" w:eastAsia="zh-CN"/>
                    </w:rPr>
                    <w:t>《关于加快解决当前挥发性有机物治理突出问题的通知》（环大气[2021]65号）符合性分析</w:t>
                  </w:r>
                </w:p>
              </w:tc>
              <w:tc>
                <w:tcPr>
                  <w:tcW w:w="2701" w:type="pct"/>
                  <w:tcBorders>
                    <w:tl2br w:val="nil"/>
                    <w:tr2bl w:val="nil"/>
                  </w:tcBorders>
                  <w:noWrap w:val="0"/>
                  <w:vAlign w:val="center"/>
                </w:tcPr>
                <w:p w14:paraId="62FA11EF">
                  <w:pPr>
                    <w:keepNext w:val="0"/>
                    <w:keepLines w:val="0"/>
                    <w:pageBreakBefore w:val="0"/>
                    <w:widowControl w:val="0"/>
                    <w:kinsoku/>
                    <w:wordWrap/>
                    <w:overflowPunct/>
                    <w:topLinePunct w:val="0"/>
                    <w:autoSpaceDE w:val="0"/>
                    <w:autoSpaceDN w:val="0"/>
                    <w:bidi w:val="0"/>
                    <w:adjustRightInd/>
                    <w:snapToGrid/>
                    <w:spacing w:line="240" w:lineRule="auto"/>
                    <w:ind w:right="0" w:firstLine="0" w:firstLineChars="0"/>
                    <w:jc w:val="both"/>
                    <w:textAlignment w:val="auto"/>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废气收集设施治理要求：产生VOCs的生产环节优先采用密闭设备、在密闭空间中操作或采用全密闭集气罩收集方式，并保持负压运行。对采用局部收集方式的企业，距废气收集系统排风罩开口面最远处的VOCs无组织排放位置控制风速不低于0.3m/s；废气收集系统的输送管道应密闭、无破损。</w:t>
                  </w:r>
                </w:p>
              </w:tc>
              <w:tc>
                <w:tcPr>
                  <w:tcW w:w="1025" w:type="pct"/>
                  <w:tcBorders>
                    <w:tl2br w:val="nil"/>
                    <w:tr2bl w:val="nil"/>
                  </w:tcBorders>
                  <w:noWrap w:val="0"/>
                  <w:vAlign w:val="center"/>
                </w:tcPr>
                <w:p w14:paraId="348A95B4">
                  <w:pPr>
                    <w:keepNext w:val="0"/>
                    <w:keepLines w:val="0"/>
                    <w:pageBreakBefore w:val="0"/>
                    <w:widowControl w:val="0"/>
                    <w:kinsoku/>
                    <w:wordWrap/>
                    <w:overflowPunct/>
                    <w:topLinePunct w:val="0"/>
                    <w:autoSpaceDE w:val="0"/>
                    <w:autoSpaceDN w:val="0"/>
                    <w:bidi w:val="0"/>
                    <w:adjustRightInd/>
                    <w:snapToGrid/>
                    <w:spacing w:line="240" w:lineRule="auto"/>
                    <w:ind w:right="0" w:firstLine="0" w:firstLineChars="0"/>
                    <w:jc w:val="center"/>
                    <w:textAlignment w:val="auto"/>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auto"/>
                      <w:spacing w:val="-4"/>
                      <w:sz w:val="21"/>
                      <w:szCs w:val="21"/>
                    </w:rPr>
                    <w:t>项目</w:t>
                  </w:r>
                  <w:r>
                    <w:rPr>
                      <w:rFonts w:hint="eastAsia" w:cs="Times New Roman"/>
                      <w:b w:val="0"/>
                      <w:bCs w:val="0"/>
                      <w:color w:val="auto"/>
                      <w:spacing w:val="-4"/>
                      <w:sz w:val="21"/>
                      <w:szCs w:val="21"/>
                      <w:lang w:val="en-US" w:eastAsia="zh-CN"/>
                    </w:rPr>
                    <w:t>有机</w:t>
                  </w:r>
                  <w:r>
                    <w:rPr>
                      <w:rFonts w:hint="default" w:ascii="Times New Roman" w:hAnsi="Times New Roman" w:cs="Times New Roman"/>
                      <w:b w:val="0"/>
                      <w:bCs w:val="0"/>
                      <w:color w:val="000000"/>
                      <w:sz w:val="21"/>
                      <w:szCs w:val="21"/>
                      <w:highlight w:val="none"/>
                    </w:rPr>
                    <w:t>废气采取集气罩</w:t>
                  </w:r>
                  <w:r>
                    <w:rPr>
                      <w:rFonts w:hint="default" w:ascii="Times New Roman" w:hAnsi="Times New Roman" w:cs="Times New Roman"/>
                      <w:b w:val="0"/>
                      <w:bCs w:val="0"/>
                      <w:color w:val="000000"/>
                      <w:sz w:val="21"/>
                      <w:szCs w:val="21"/>
                      <w:highlight w:val="none"/>
                      <w:lang w:eastAsia="zh-CN"/>
                    </w:rPr>
                    <w:t>收集</w:t>
                  </w:r>
                  <w:r>
                    <w:rPr>
                      <w:rFonts w:hint="default" w:ascii="Times New Roman" w:hAnsi="Times New Roman" w:cs="Times New Roman"/>
                      <w:b w:val="0"/>
                      <w:bCs w:val="0"/>
                      <w:color w:val="000000"/>
                      <w:sz w:val="21"/>
                      <w:szCs w:val="21"/>
                      <w:highlight w:val="none"/>
                    </w:rPr>
                    <w:t>，</w:t>
                  </w:r>
                  <w:r>
                    <w:rPr>
                      <w:rFonts w:hint="default" w:ascii="Times New Roman" w:hAnsi="Times New Roman" w:cs="Times New Roman"/>
                      <w:b w:val="0"/>
                      <w:bCs w:val="0"/>
                      <w:color w:val="000000"/>
                      <w:sz w:val="21"/>
                      <w:szCs w:val="21"/>
                      <w:highlight w:val="none"/>
                      <w:lang w:eastAsia="zh-CN"/>
                    </w:rPr>
                    <w:t>集气罩</w:t>
                  </w:r>
                  <w:r>
                    <w:rPr>
                      <w:rFonts w:hint="default" w:ascii="Times New Roman" w:hAnsi="Times New Roman" w:eastAsia="宋体" w:cs="Times New Roman"/>
                      <w:b w:val="0"/>
                      <w:bCs w:val="0"/>
                      <w:color w:val="000000"/>
                      <w:sz w:val="21"/>
                      <w:szCs w:val="21"/>
                      <w:highlight w:val="none"/>
                    </w:rPr>
                    <w:t>开口面最远处</w:t>
                  </w:r>
                  <w:r>
                    <w:rPr>
                      <w:rFonts w:hint="default" w:ascii="Times New Roman" w:hAnsi="Times New Roman" w:cs="Times New Roman"/>
                      <w:b w:val="0"/>
                      <w:bCs w:val="0"/>
                      <w:color w:val="000000"/>
                      <w:sz w:val="21"/>
                      <w:szCs w:val="21"/>
                      <w:highlight w:val="none"/>
                    </w:rPr>
                    <w:t>控制点风速不低于0.</w:t>
                  </w:r>
                  <w:r>
                    <w:rPr>
                      <w:rFonts w:hint="eastAsia" w:ascii="Times New Roman" w:hAnsi="Times New Roman" w:cs="Times New Roman"/>
                      <w:b w:val="0"/>
                      <w:bCs w:val="0"/>
                      <w:color w:val="000000"/>
                      <w:sz w:val="21"/>
                      <w:szCs w:val="21"/>
                      <w:highlight w:val="none"/>
                      <w:lang w:val="en-US" w:eastAsia="zh-CN"/>
                    </w:rPr>
                    <w:t>3</w:t>
                  </w:r>
                  <w:r>
                    <w:rPr>
                      <w:rFonts w:hint="default" w:ascii="Times New Roman" w:hAnsi="Times New Roman" w:cs="Times New Roman"/>
                      <w:b w:val="0"/>
                      <w:bCs w:val="0"/>
                      <w:color w:val="000000"/>
                      <w:sz w:val="21"/>
                      <w:szCs w:val="21"/>
                      <w:highlight w:val="none"/>
                    </w:rPr>
                    <w:t>m/s</w:t>
                  </w:r>
                  <w:r>
                    <w:rPr>
                      <w:rFonts w:hint="default" w:ascii="Times New Roman" w:hAnsi="Times New Roman" w:eastAsia="宋体" w:cs="Times New Roman"/>
                      <w:b w:val="0"/>
                      <w:bCs w:val="0"/>
                      <w:color w:val="000000"/>
                      <w:sz w:val="21"/>
                      <w:szCs w:val="21"/>
                      <w:highlight w:val="none"/>
                    </w:rPr>
                    <w:t>，</w:t>
                  </w:r>
                  <w:r>
                    <w:rPr>
                      <w:rFonts w:hint="default" w:ascii="Times New Roman" w:hAnsi="Times New Roman" w:eastAsia="宋体" w:cs="Times New Roman"/>
                      <w:b w:val="0"/>
                      <w:bCs w:val="0"/>
                      <w:color w:val="000000"/>
                      <w:sz w:val="21"/>
                      <w:szCs w:val="21"/>
                      <w:highlight w:val="none"/>
                      <w:lang w:eastAsia="zh-CN"/>
                    </w:rPr>
                    <w:t>定期检查</w:t>
                  </w:r>
                  <w:r>
                    <w:rPr>
                      <w:rFonts w:hint="default" w:ascii="Times New Roman" w:hAnsi="Times New Roman" w:eastAsia="宋体" w:cs="Times New Roman"/>
                      <w:b w:val="0"/>
                      <w:bCs w:val="0"/>
                      <w:color w:val="000000"/>
                      <w:sz w:val="21"/>
                      <w:szCs w:val="21"/>
                      <w:highlight w:val="none"/>
                    </w:rPr>
                    <w:t>废气收集系统的输送管道</w:t>
                  </w:r>
                  <w:r>
                    <w:rPr>
                      <w:rFonts w:hint="default" w:ascii="Times New Roman" w:hAnsi="Times New Roman" w:eastAsia="宋体" w:cs="Times New Roman"/>
                      <w:b w:val="0"/>
                      <w:bCs w:val="0"/>
                      <w:color w:val="000000"/>
                      <w:sz w:val="21"/>
                      <w:szCs w:val="21"/>
                      <w:highlight w:val="none"/>
                      <w:lang w:eastAsia="zh-CN"/>
                    </w:rPr>
                    <w:t>密闭性，</w:t>
                  </w:r>
                  <w:r>
                    <w:rPr>
                      <w:rFonts w:hint="default" w:ascii="Times New Roman" w:hAnsi="Times New Roman" w:eastAsia="宋体" w:cs="Times New Roman"/>
                      <w:b w:val="0"/>
                      <w:bCs w:val="0"/>
                      <w:color w:val="000000"/>
                      <w:sz w:val="21"/>
                      <w:szCs w:val="21"/>
                      <w:highlight w:val="none"/>
                    </w:rPr>
                    <w:t>减少无组织排放。</w:t>
                  </w:r>
                </w:p>
              </w:tc>
              <w:tc>
                <w:tcPr>
                  <w:tcW w:w="333" w:type="pct"/>
                  <w:tcBorders>
                    <w:tl2br w:val="nil"/>
                    <w:tr2bl w:val="nil"/>
                  </w:tcBorders>
                  <w:noWrap w:val="0"/>
                  <w:vAlign w:val="center"/>
                </w:tcPr>
                <w:p w14:paraId="5C416CD3">
                  <w:pPr>
                    <w:keepNext w:val="0"/>
                    <w:keepLines w:val="0"/>
                    <w:pageBreakBefore w:val="0"/>
                    <w:widowControl w:val="0"/>
                    <w:kinsoku/>
                    <w:wordWrap/>
                    <w:overflowPunct/>
                    <w:topLinePunct w:val="0"/>
                    <w:autoSpaceDE w:val="0"/>
                    <w:autoSpaceDN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b w:val="0"/>
                      <w:bCs w:val="0"/>
                      <w:color w:val="000000"/>
                      <w:sz w:val="21"/>
                      <w:szCs w:val="21"/>
                      <w:highlight w:val="none"/>
                      <w:lang w:eastAsia="zh-CN"/>
                    </w:rPr>
                  </w:pPr>
                  <w:r>
                    <w:rPr>
                      <w:rFonts w:hint="default" w:ascii="Times New Roman" w:hAnsi="Times New Roman" w:eastAsia="宋体" w:cs="Times New Roman"/>
                      <w:b w:val="0"/>
                      <w:bCs w:val="0"/>
                      <w:color w:val="000000"/>
                      <w:sz w:val="21"/>
                      <w:szCs w:val="21"/>
                      <w:highlight w:val="none"/>
                      <w:lang w:eastAsia="zh-CN"/>
                    </w:rPr>
                    <w:t>符合</w:t>
                  </w:r>
                </w:p>
              </w:tc>
            </w:tr>
            <w:tr w14:paraId="0878E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1" w:type="pct"/>
                  <w:vMerge w:val="continue"/>
                  <w:tcBorders>
                    <w:tl2br w:val="nil"/>
                    <w:tr2bl w:val="nil"/>
                  </w:tcBorders>
                  <w:noWrap w:val="0"/>
                  <w:vAlign w:val="center"/>
                </w:tcPr>
                <w:p w14:paraId="53401F0B">
                  <w:pPr>
                    <w:pStyle w:val="43"/>
                    <w:keepNext w:val="0"/>
                    <w:keepLines w:val="0"/>
                    <w:pageBreakBefore w:val="0"/>
                    <w:widowControl w:val="0"/>
                    <w:kinsoku/>
                    <w:wordWrap/>
                    <w:overflowPunct/>
                    <w:topLinePunct w:val="0"/>
                    <w:bidi w:val="0"/>
                    <w:adjustRightInd/>
                    <w:snapToGrid/>
                    <w:spacing w:before="0" w:beforeLines="0" w:after="0" w:afterLines="0" w:line="240" w:lineRule="auto"/>
                    <w:ind w:right="0" w:firstLine="0" w:firstLineChars="0"/>
                    <w:jc w:val="both"/>
                    <w:textAlignment w:val="auto"/>
                    <w:rPr>
                      <w:rFonts w:hint="default" w:ascii="Times New Roman" w:hAnsi="Times New Roman" w:eastAsia="宋体" w:cs="Times New Roman"/>
                      <w:b w:val="0"/>
                      <w:bCs w:val="0"/>
                      <w:color w:val="000000"/>
                      <w:sz w:val="21"/>
                      <w:szCs w:val="21"/>
                      <w:highlight w:val="none"/>
                      <w:lang w:val="en-US" w:eastAsia="zh-CN"/>
                    </w:rPr>
                  </w:pPr>
                </w:p>
              </w:tc>
              <w:tc>
                <w:tcPr>
                  <w:tcW w:w="737" w:type="pct"/>
                  <w:vMerge w:val="continue"/>
                  <w:tcBorders>
                    <w:tl2br w:val="nil"/>
                    <w:tr2bl w:val="nil"/>
                  </w:tcBorders>
                  <w:noWrap w:val="0"/>
                  <w:vAlign w:val="center"/>
                </w:tcPr>
                <w:p w14:paraId="489798CE">
                  <w:pPr>
                    <w:pStyle w:val="43"/>
                    <w:keepNext w:val="0"/>
                    <w:keepLines w:val="0"/>
                    <w:pageBreakBefore w:val="0"/>
                    <w:widowControl w:val="0"/>
                    <w:kinsoku/>
                    <w:wordWrap/>
                    <w:overflowPunct/>
                    <w:topLinePunct w:val="0"/>
                    <w:bidi w:val="0"/>
                    <w:adjustRightInd/>
                    <w:snapToGrid/>
                    <w:spacing w:before="0" w:beforeLines="0" w:after="0" w:afterLines="0" w:line="240" w:lineRule="auto"/>
                    <w:ind w:right="0" w:firstLine="0" w:firstLineChars="0"/>
                    <w:jc w:val="both"/>
                    <w:textAlignment w:val="auto"/>
                    <w:rPr>
                      <w:rFonts w:hint="default" w:ascii="Times New Roman" w:hAnsi="Times New Roman" w:eastAsia="宋体" w:cs="Times New Roman"/>
                      <w:b w:val="0"/>
                      <w:bCs w:val="0"/>
                      <w:color w:val="000000"/>
                      <w:sz w:val="21"/>
                      <w:szCs w:val="21"/>
                      <w:highlight w:val="none"/>
                    </w:rPr>
                  </w:pPr>
                </w:p>
              </w:tc>
              <w:tc>
                <w:tcPr>
                  <w:tcW w:w="2701" w:type="pct"/>
                  <w:tcBorders>
                    <w:tl2br w:val="nil"/>
                    <w:tr2bl w:val="nil"/>
                  </w:tcBorders>
                  <w:noWrap w:val="0"/>
                  <w:vAlign w:val="center"/>
                </w:tcPr>
                <w:p w14:paraId="54A7A88F">
                  <w:pPr>
                    <w:pStyle w:val="43"/>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both"/>
                    <w:textAlignment w:val="auto"/>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有机废气治理设施要求：新建治理设施或对现有治理设施实施改造，应依据排放废气特征、VOCs组分及浓度、生产工况等，合理选择治理技术；对治理难度大、单一治理工艺难以稳定达标的，宜采用多种技术的组合工艺；除恶臭异味治理外，一般不使用低温等离子、光催化、光氧化等技术。加强运行维护管理，做到治理设施</w:t>
                  </w:r>
                  <w:r>
                    <w:rPr>
                      <w:rFonts w:hint="eastAsia" w:ascii="Times New Roman" w:hAnsi="Times New Roman" w:eastAsia="宋体" w:cs="Times New Roman"/>
                      <w:b w:val="0"/>
                      <w:bCs w:val="0"/>
                      <w:color w:val="000000"/>
                      <w:sz w:val="21"/>
                      <w:szCs w:val="21"/>
                      <w:highlight w:val="none"/>
                      <w:lang w:eastAsia="zh-CN"/>
                    </w:rPr>
                    <w:t>及</w:t>
                  </w:r>
                  <w:r>
                    <w:rPr>
                      <w:rFonts w:hint="default" w:ascii="Times New Roman" w:hAnsi="Times New Roman" w:eastAsia="宋体" w:cs="Times New Roman"/>
                      <w:b w:val="0"/>
                      <w:bCs w:val="0"/>
                      <w:color w:val="000000"/>
                      <w:sz w:val="21"/>
                      <w:szCs w:val="21"/>
                      <w:highlight w:val="none"/>
                    </w:rPr>
                    <w:t>生产设备</w:t>
                  </w:r>
                  <w:r>
                    <w:rPr>
                      <w:rFonts w:hint="eastAsia" w:cs="Times New Roman"/>
                      <w:b w:val="0"/>
                      <w:bCs w:val="0"/>
                      <w:color w:val="000000"/>
                      <w:sz w:val="21"/>
                      <w:szCs w:val="21"/>
                      <w:highlight w:val="none"/>
                      <w:lang w:eastAsia="zh-CN"/>
                    </w:rPr>
                    <w:t>“</w:t>
                  </w:r>
                  <w:r>
                    <w:rPr>
                      <w:rFonts w:hint="default" w:ascii="Times New Roman" w:hAnsi="Times New Roman" w:eastAsia="宋体" w:cs="Times New Roman"/>
                      <w:b w:val="0"/>
                      <w:bCs w:val="0"/>
                      <w:color w:val="000000"/>
                      <w:sz w:val="21"/>
                      <w:szCs w:val="21"/>
                      <w:highlight w:val="none"/>
                    </w:rPr>
                    <w:t>先启后停</w:t>
                  </w:r>
                  <w:r>
                    <w:rPr>
                      <w:rFonts w:hint="eastAsia" w:cs="Times New Roman"/>
                      <w:b w:val="0"/>
                      <w:bCs w:val="0"/>
                      <w:color w:val="000000"/>
                      <w:sz w:val="21"/>
                      <w:szCs w:val="21"/>
                      <w:highlight w:val="none"/>
                      <w:lang w:eastAsia="zh-CN"/>
                    </w:rPr>
                    <w:t>”</w:t>
                  </w:r>
                  <w:r>
                    <w:rPr>
                      <w:rFonts w:hint="default" w:ascii="Times New Roman" w:hAnsi="Times New Roman" w:eastAsia="宋体" w:cs="Times New Roman"/>
                      <w:b w:val="0"/>
                      <w:bCs w:val="0"/>
                      <w:color w:val="000000"/>
                      <w:sz w:val="21"/>
                      <w:szCs w:val="21"/>
                      <w:highlight w:val="none"/>
                    </w:rPr>
                    <w:t>，在治理设施达到正常运行条件后方可启动生产设备，在生产设备停止、残留VOCs废气收集处理完毕后，方可停运治理设施；及时清理、更换吸附剂、吸收剂、催化剂、蓄热体、过滤棉、灯管、电器元件等治理设施耗材，确保设施能够稳定高效运行；做好生产设备和治理设施启停机时间、检维修情况、治理设施耗材维护更换、处置情况等台账记录；对于VOCs治理设施产生的废过滤棉、废催化剂、废吸附剂、废吸收剂、废有机溶剂等，应及时清运，属于危险废物的应交有资质的单位处理处置。采用活性炭吸附工艺的企业，应根据废气排放特征，按照相关工程技术规范设计净化工艺和设备，使废气在吸附装置中有足够的停留时间，选择符合相关产品质量标准的活性炭，并足额充填、及时更换。采用颗粒活性炭作为吸附剂时，其碘值不宜低于800mg/g；采用蜂窝活性炭作为吸附剂时，其碘值不宜低于650mg/g；采用活性炭纤维作为吸附剂时，其比表面积不低于1100m</w:t>
                  </w:r>
                  <w:r>
                    <w:rPr>
                      <w:rFonts w:hint="default" w:ascii="Times New Roman" w:hAnsi="Times New Roman" w:eastAsia="宋体" w:cs="Times New Roman"/>
                      <w:b w:val="0"/>
                      <w:bCs w:val="0"/>
                      <w:color w:val="000000"/>
                      <w:sz w:val="21"/>
                      <w:szCs w:val="21"/>
                      <w:highlight w:val="none"/>
                      <w:vertAlign w:val="superscript"/>
                    </w:rPr>
                    <w:t>2</w:t>
                  </w:r>
                  <w:r>
                    <w:rPr>
                      <w:rFonts w:hint="default" w:ascii="Times New Roman" w:hAnsi="Times New Roman" w:eastAsia="宋体" w:cs="Times New Roman"/>
                      <w:b w:val="0"/>
                      <w:bCs w:val="0"/>
                      <w:color w:val="000000"/>
                      <w:sz w:val="21"/>
                      <w:szCs w:val="21"/>
                      <w:highlight w:val="none"/>
                    </w:rPr>
                    <w:t>/g（BET法）。一次性活性炭吸附工艺宜采用颗粒活性炭作为吸附剂。活性炭、活性炭纤维产品销售时应提供产品质量证明材料。</w:t>
                  </w:r>
                </w:p>
              </w:tc>
              <w:tc>
                <w:tcPr>
                  <w:tcW w:w="1025" w:type="pct"/>
                  <w:tcBorders>
                    <w:tl2br w:val="nil"/>
                    <w:tr2bl w:val="nil"/>
                  </w:tcBorders>
                  <w:noWrap w:val="0"/>
                  <w:vAlign w:val="center"/>
                </w:tcPr>
                <w:p w14:paraId="425CC485">
                  <w:pPr>
                    <w:keepNext w:val="0"/>
                    <w:keepLines w:val="0"/>
                    <w:pageBreakBefore w:val="0"/>
                    <w:widowControl w:val="0"/>
                    <w:kinsoku/>
                    <w:wordWrap/>
                    <w:overflowPunct/>
                    <w:topLinePunct w:val="0"/>
                    <w:autoSpaceDE w:val="0"/>
                    <w:autoSpaceDN w:val="0"/>
                    <w:bidi w:val="0"/>
                    <w:adjustRightInd/>
                    <w:snapToGrid/>
                    <w:spacing w:line="240" w:lineRule="auto"/>
                    <w:ind w:right="0" w:firstLine="0" w:firstLineChars="0"/>
                    <w:jc w:val="center"/>
                    <w:textAlignment w:val="auto"/>
                    <w:rPr>
                      <w:rFonts w:hint="default" w:ascii="Times New Roman" w:hAnsi="Times New Roman" w:eastAsia="宋体" w:cs="Times New Roman"/>
                      <w:b w:val="0"/>
                      <w:bCs w:val="0"/>
                      <w:color w:val="000000"/>
                      <w:sz w:val="21"/>
                      <w:szCs w:val="21"/>
                      <w:highlight w:val="none"/>
                      <w:lang w:eastAsia="zh-CN"/>
                    </w:rPr>
                  </w:pPr>
                  <w:r>
                    <w:rPr>
                      <w:rFonts w:hint="eastAsia" w:cs="Times New Roman"/>
                      <w:b w:val="0"/>
                      <w:bCs w:val="0"/>
                      <w:color w:val="000000"/>
                      <w:sz w:val="21"/>
                      <w:szCs w:val="21"/>
                      <w:highlight w:val="none"/>
                      <w:lang w:val="en-US" w:eastAsia="zh-CN"/>
                    </w:rPr>
                    <w:t>有机</w:t>
                  </w:r>
                  <w:r>
                    <w:rPr>
                      <w:rFonts w:hint="default" w:ascii="Times New Roman" w:hAnsi="Times New Roman" w:eastAsia="宋体" w:cs="Times New Roman"/>
                      <w:b w:val="0"/>
                      <w:bCs w:val="0"/>
                      <w:color w:val="000000"/>
                      <w:sz w:val="21"/>
                      <w:szCs w:val="21"/>
                      <w:highlight w:val="none"/>
                    </w:rPr>
                    <w:t>废气采用</w:t>
                  </w:r>
                  <w:r>
                    <w:rPr>
                      <w:rFonts w:hint="eastAsia" w:cs="Times New Roman"/>
                      <w:b w:val="0"/>
                      <w:bCs w:val="0"/>
                      <w:color w:val="000000"/>
                      <w:sz w:val="21"/>
                      <w:szCs w:val="21"/>
                      <w:highlight w:val="none"/>
                      <w:lang w:eastAsia="zh-CN"/>
                    </w:rPr>
                    <w:t>“</w:t>
                  </w:r>
                  <w:r>
                    <w:rPr>
                      <w:rFonts w:hint="default" w:ascii="Times New Roman" w:hAnsi="Times New Roman" w:eastAsia="宋体" w:cs="Times New Roman"/>
                      <w:b w:val="0"/>
                      <w:bCs w:val="0"/>
                      <w:color w:val="000000"/>
                      <w:sz w:val="21"/>
                      <w:szCs w:val="21"/>
                      <w:highlight w:val="none"/>
                      <w:lang w:eastAsia="zh-CN"/>
                    </w:rPr>
                    <w:t>二级</w:t>
                  </w:r>
                  <w:r>
                    <w:rPr>
                      <w:rFonts w:hint="default" w:ascii="Times New Roman" w:hAnsi="Times New Roman" w:eastAsia="宋体" w:cs="Times New Roman"/>
                      <w:b w:val="0"/>
                      <w:bCs w:val="0"/>
                      <w:color w:val="000000"/>
                      <w:sz w:val="21"/>
                      <w:szCs w:val="21"/>
                      <w:highlight w:val="none"/>
                    </w:rPr>
                    <w:t>活性炭</w:t>
                  </w:r>
                  <w:r>
                    <w:rPr>
                      <w:rFonts w:hint="default" w:ascii="Times New Roman" w:hAnsi="Times New Roman" w:eastAsia="宋体" w:cs="Times New Roman"/>
                      <w:b w:val="0"/>
                      <w:bCs w:val="0"/>
                      <w:color w:val="000000"/>
                      <w:sz w:val="21"/>
                      <w:szCs w:val="21"/>
                      <w:highlight w:val="none"/>
                      <w:lang w:eastAsia="zh-CN"/>
                    </w:rPr>
                    <w:t>吸附</w:t>
                  </w:r>
                  <w:r>
                    <w:rPr>
                      <w:rFonts w:hint="eastAsia" w:cs="Times New Roman"/>
                      <w:b w:val="0"/>
                      <w:bCs w:val="0"/>
                      <w:color w:val="000000"/>
                      <w:sz w:val="21"/>
                      <w:szCs w:val="21"/>
                      <w:highlight w:val="none"/>
                      <w:lang w:eastAsia="zh-CN"/>
                    </w:rPr>
                    <w:t>”</w:t>
                  </w:r>
                  <w:r>
                    <w:rPr>
                      <w:rFonts w:hint="default" w:ascii="Times New Roman" w:hAnsi="Times New Roman" w:eastAsia="宋体" w:cs="Times New Roman"/>
                      <w:b w:val="0"/>
                      <w:bCs w:val="0"/>
                      <w:color w:val="000000"/>
                      <w:sz w:val="21"/>
                      <w:szCs w:val="21"/>
                      <w:highlight w:val="none"/>
                    </w:rPr>
                    <w:t>工艺，属于可行的末端治理技术；</w:t>
                  </w:r>
                  <w:r>
                    <w:rPr>
                      <w:rFonts w:hint="default" w:ascii="Times New Roman" w:hAnsi="Times New Roman" w:eastAsia="宋体" w:cs="Times New Roman"/>
                      <w:b w:val="0"/>
                      <w:bCs w:val="0"/>
                      <w:color w:val="000000"/>
                      <w:sz w:val="21"/>
                      <w:szCs w:val="21"/>
                      <w:highlight w:val="none"/>
                      <w:lang w:eastAsia="zh-CN"/>
                    </w:rPr>
                    <w:t>项目</w:t>
                  </w:r>
                  <w:r>
                    <w:rPr>
                      <w:rFonts w:hint="default" w:ascii="Times New Roman" w:hAnsi="Times New Roman" w:eastAsia="宋体" w:cs="Times New Roman"/>
                      <w:b w:val="0"/>
                      <w:bCs w:val="0"/>
                      <w:color w:val="000000"/>
                      <w:sz w:val="21"/>
                      <w:szCs w:val="21"/>
                      <w:highlight w:val="none"/>
                    </w:rPr>
                    <w:t>采用蜂窝活性炭作为吸附剂，</w:t>
                  </w:r>
                  <w:r>
                    <w:rPr>
                      <w:rFonts w:hint="default" w:ascii="Times New Roman" w:hAnsi="Times New Roman" w:eastAsia="宋体" w:cs="Times New Roman"/>
                      <w:b w:val="0"/>
                      <w:bCs w:val="0"/>
                      <w:color w:val="000000"/>
                      <w:sz w:val="21"/>
                      <w:szCs w:val="21"/>
                      <w:highlight w:val="none"/>
                      <w:lang w:eastAsia="zh-CN"/>
                    </w:rPr>
                    <w:t>要求</w:t>
                  </w:r>
                  <w:r>
                    <w:rPr>
                      <w:rFonts w:hint="default" w:ascii="Times New Roman" w:hAnsi="Times New Roman" w:eastAsia="宋体" w:cs="Times New Roman"/>
                      <w:b w:val="0"/>
                      <w:bCs w:val="0"/>
                      <w:color w:val="000000"/>
                      <w:sz w:val="21"/>
                      <w:szCs w:val="21"/>
                      <w:highlight w:val="none"/>
                    </w:rPr>
                    <w:t>其碘</w:t>
                  </w:r>
                  <w:r>
                    <w:rPr>
                      <w:rFonts w:hint="eastAsia" w:cs="Times New Roman"/>
                      <w:b w:val="0"/>
                      <w:bCs w:val="0"/>
                      <w:color w:val="000000"/>
                      <w:sz w:val="21"/>
                      <w:szCs w:val="21"/>
                      <w:highlight w:val="none"/>
                      <w:lang w:val="en-US" w:eastAsia="zh-CN"/>
                    </w:rPr>
                    <w:t>量</w:t>
                  </w:r>
                  <w:r>
                    <w:rPr>
                      <w:rFonts w:hint="default" w:ascii="Times New Roman" w:hAnsi="Times New Roman" w:eastAsia="宋体" w:cs="Times New Roman"/>
                      <w:b w:val="0"/>
                      <w:bCs w:val="0"/>
                      <w:color w:val="000000"/>
                      <w:sz w:val="21"/>
                      <w:szCs w:val="21"/>
                      <w:highlight w:val="none"/>
                    </w:rPr>
                    <w:t>值</w:t>
                  </w:r>
                  <w:r>
                    <w:rPr>
                      <w:rFonts w:hint="default" w:ascii="Times New Roman" w:hAnsi="Times New Roman" w:eastAsia="宋体" w:cs="Times New Roman"/>
                      <w:b w:val="0"/>
                      <w:bCs w:val="0"/>
                      <w:color w:val="000000"/>
                      <w:sz w:val="21"/>
                      <w:szCs w:val="21"/>
                      <w:highlight w:val="none"/>
                      <w:lang w:eastAsia="zh-CN"/>
                    </w:rPr>
                    <w:t>≥</w:t>
                  </w:r>
                  <w:r>
                    <w:rPr>
                      <w:rFonts w:hint="eastAsia" w:cs="Times New Roman"/>
                      <w:b w:val="0"/>
                      <w:bCs w:val="0"/>
                      <w:color w:val="000000"/>
                      <w:sz w:val="21"/>
                      <w:szCs w:val="21"/>
                      <w:highlight w:val="none"/>
                      <w:lang w:val="en-US" w:eastAsia="zh-CN"/>
                    </w:rPr>
                    <w:t>800</w:t>
                  </w:r>
                  <w:r>
                    <w:rPr>
                      <w:rFonts w:hint="default" w:ascii="Times New Roman" w:hAnsi="Times New Roman" w:eastAsia="宋体" w:cs="Times New Roman"/>
                      <w:b w:val="0"/>
                      <w:bCs w:val="0"/>
                      <w:color w:val="000000"/>
                      <w:sz w:val="21"/>
                      <w:szCs w:val="21"/>
                      <w:highlight w:val="none"/>
                    </w:rPr>
                    <w:t>mg/g，活性炭足额填充，及其更换。活性炭吸附饱和后更换下来的废活性炭收集后经厂区危废暂存间暂存，定期委托有资质单位处理处置。项目运营期要求加强运行维护管理，确保活性炭吸附设施运行效率</w:t>
                  </w:r>
                  <w:r>
                    <w:rPr>
                      <w:rFonts w:hint="default" w:ascii="Times New Roman" w:hAnsi="Times New Roman" w:eastAsia="宋体" w:cs="Times New Roman"/>
                      <w:b w:val="0"/>
                      <w:bCs w:val="0"/>
                      <w:color w:val="000000"/>
                      <w:sz w:val="21"/>
                      <w:szCs w:val="21"/>
                      <w:highlight w:val="none"/>
                      <w:lang w:eastAsia="zh-CN"/>
                    </w:rPr>
                    <w:t>。</w:t>
                  </w:r>
                </w:p>
              </w:tc>
              <w:tc>
                <w:tcPr>
                  <w:tcW w:w="333" w:type="pct"/>
                  <w:tcBorders>
                    <w:tl2br w:val="nil"/>
                    <w:tr2bl w:val="nil"/>
                  </w:tcBorders>
                  <w:noWrap w:val="0"/>
                  <w:vAlign w:val="center"/>
                </w:tcPr>
                <w:p w14:paraId="464F0705">
                  <w:pPr>
                    <w:pStyle w:val="43"/>
                    <w:keepNext w:val="0"/>
                    <w:keepLines w:val="0"/>
                    <w:pageBreakBefore w:val="0"/>
                    <w:widowControl w:val="0"/>
                    <w:kinsoku/>
                    <w:wordWrap/>
                    <w:overflowPunct/>
                    <w:topLinePunct w:val="0"/>
                    <w:bidi w:val="0"/>
                    <w:adjustRightInd/>
                    <w:snapToGrid/>
                    <w:spacing w:before="0" w:beforeLines="0" w:after="0" w:afterLines="0" w:line="240" w:lineRule="auto"/>
                    <w:ind w:right="0" w:firstLine="0" w:firstLineChars="0"/>
                    <w:jc w:val="both"/>
                    <w:textAlignment w:val="auto"/>
                    <w:rPr>
                      <w:rFonts w:hint="default" w:ascii="Times New Roman" w:hAnsi="Times New Roman" w:eastAsia="宋体" w:cs="Times New Roman"/>
                      <w:b w:val="0"/>
                      <w:bCs w:val="0"/>
                      <w:color w:val="000000"/>
                      <w:sz w:val="21"/>
                      <w:szCs w:val="21"/>
                      <w:highlight w:val="none"/>
                      <w:lang w:eastAsia="zh-CN"/>
                    </w:rPr>
                  </w:pPr>
                  <w:r>
                    <w:rPr>
                      <w:rFonts w:hint="default" w:ascii="Times New Roman" w:hAnsi="Times New Roman" w:eastAsia="宋体" w:cs="Times New Roman"/>
                      <w:b w:val="0"/>
                      <w:bCs w:val="0"/>
                      <w:color w:val="000000"/>
                      <w:sz w:val="21"/>
                      <w:szCs w:val="21"/>
                      <w:highlight w:val="none"/>
                      <w:lang w:eastAsia="zh-CN"/>
                    </w:rPr>
                    <w:t>符合</w:t>
                  </w:r>
                </w:p>
              </w:tc>
            </w:tr>
            <w:tr w14:paraId="4942A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1" w:type="pct"/>
                  <w:vMerge w:val="restart"/>
                  <w:tcBorders>
                    <w:tl2br w:val="nil"/>
                    <w:tr2bl w:val="nil"/>
                  </w:tcBorders>
                  <w:noWrap w:val="0"/>
                  <w:vAlign w:val="center"/>
                </w:tcPr>
                <w:p w14:paraId="1AE990B2">
                  <w:pPr>
                    <w:pStyle w:val="43"/>
                    <w:keepNext w:val="0"/>
                    <w:keepLines w:val="0"/>
                    <w:pageBreakBefore w:val="0"/>
                    <w:widowControl w:val="0"/>
                    <w:kinsoku/>
                    <w:wordWrap/>
                    <w:overflowPunct/>
                    <w:topLinePunct w:val="0"/>
                    <w:bidi w:val="0"/>
                    <w:adjustRightInd/>
                    <w:snapToGrid/>
                    <w:spacing w:before="0" w:beforeLines="0" w:after="0" w:afterLines="0" w:line="240" w:lineRule="auto"/>
                    <w:ind w:right="0" w:firstLine="0" w:firstLineChars="0"/>
                    <w:jc w:val="center"/>
                    <w:textAlignment w:val="auto"/>
                    <w:rPr>
                      <w:rFonts w:hint="default" w:ascii="Times New Roman" w:hAnsi="Times New Roman" w:eastAsia="宋体" w:cs="Times New Roman"/>
                      <w:b w:val="0"/>
                      <w:bCs w:val="0"/>
                      <w:color w:val="000000"/>
                      <w:sz w:val="21"/>
                      <w:szCs w:val="21"/>
                      <w:highlight w:val="none"/>
                      <w:lang w:eastAsia="zh-CN"/>
                    </w:rPr>
                  </w:pPr>
                  <w:r>
                    <w:rPr>
                      <w:rFonts w:hint="default" w:ascii="Times New Roman" w:hAnsi="Times New Roman" w:eastAsia="宋体" w:cs="Times New Roman"/>
                      <w:b w:val="0"/>
                      <w:bCs w:val="0"/>
                      <w:color w:val="000000"/>
                      <w:sz w:val="21"/>
                      <w:szCs w:val="21"/>
                      <w:highlight w:val="none"/>
                      <w:lang w:val="en-US" w:eastAsia="zh-CN"/>
                    </w:rPr>
                    <w:t>2</w:t>
                  </w:r>
                </w:p>
              </w:tc>
              <w:tc>
                <w:tcPr>
                  <w:tcW w:w="737" w:type="pct"/>
                  <w:vMerge w:val="restart"/>
                  <w:tcBorders>
                    <w:tl2br w:val="nil"/>
                    <w:tr2bl w:val="nil"/>
                  </w:tcBorders>
                  <w:noWrap w:val="0"/>
                  <w:vAlign w:val="center"/>
                </w:tcPr>
                <w:p w14:paraId="399811F5">
                  <w:pPr>
                    <w:pStyle w:val="43"/>
                    <w:keepNext w:val="0"/>
                    <w:keepLines w:val="0"/>
                    <w:pageBreakBefore w:val="0"/>
                    <w:widowControl w:val="0"/>
                    <w:kinsoku/>
                    <w:wordWrap/>
                    <w:overflowPunct/>
                    <w:topLinePunct w:val="0"/>
                    <w:bidi w:val="0"/>
                    <w:adjustRightInd/>
                    <w:snapToGrid/>
                    <w:spacing w:before="0" w:beforeLines="0" w:after="0" w:afterLines="0" w:line="240" w:lineRule="auto"/>
                    <w:ind w:right="0" w:firstLine="0" w:firstLineChars="0"/>
                    <w:jc w:val="center"/>
                    <w:textAlignment w:val="auto"/>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《重点行业挥发性有机物综合治理方案》（环大气</w:t>
                  </w:r>
                  <w:r>
                    <w:rPr>
                      <w:rFonts w:hint="eastAsia" w:cs="Times New Roman"/>
                      <w:b w:val="0"/>
                      <w:bCs w:val="0"/>
                      <w:color w:val="000000"/>
                      <w:sz w:val="21"/>
                      <w:szCs w:val="21"/>
                      <w:highlight w:val="none"/>
                      <w:lang w:val="en-US" w:eastAsia="zh-CN"/>
                    </w:rPr>
                    <w:t>[</w:t>
                  </w:r>
                  <w:r>
                    <w:rPr>
                      <w:rFonts w:hint="default" w:ascii="Times New Roman" w:hAnsi="Times New Roman" w:eastAsia="宋体" w:cs="Times New Roman"/>
                      <w:b w:val="0"/>
                      <w:bCs w:val="0"/>
                      <w:color w:val="000000"/>
                      <w:sz w:val="21"/>
                      <w:szCs w:val="21"/>
                      <w:highlight w:val="none"/>
                    </w:rPr>
                    <w:t>2019</w:t>
                  </w:r>
                  <w:r>
                    <w:rPr>
                      <w:rFonts w:hint="eastAsia" w:cs="Times New Roman"/>
                      <w:b w:val="0"/>
                      <w:bCs w:val="0"/>
                      <w:color w:val="000000"/>
                      <w:sz w:val="21"/>
                      <w:szCs w:val="21"/>
                      <w:highlight w:val="none"/>
                      <w:lang w:val="en-US" w:eastAsia="zh-CN"/>
                    </w:rPr>
                    <w:t>]</w:t>
                  </w:r>
                  <w:r>
                    <w:rPr>
                      <w:rFonts w:hint="default" w:ascii="Times New Roman" w:hAnsi="Times New Roman" w:eastAsia="宋体" w:cs="Times New Roman"/>
                      <w:b w:val="0"/>
                      <w:bCs w:val="0"/>
                      <w:color w:val="000000"/>
                      <w:sz w:val="21"/>
                      <w:szCs w:val="21"/>
                      <w:highlight w:val="none"/>
                    </w:rPr>
                    <w:t>53号）</w:t>
                  </w:r>
                </w:p>
              </w:tc>
              <w:tc>
                <w:tcPr>
                  <w:tcW w:w="2701" w:type="pct"/>
                  <w:tcBorders>
                    <w:tl2br w:val="nil"/>
                    <w:tr2bl w:val="nil"/>
                  </w:tcBorders>
                  <w:noWrap w:val="0"/>
                  <w:vAlign w:val="center"/>
                </w:tcPr>
                <w:p w14:paraId="6F94CDE8">
                  <w:pPr>
                    <w:pStyle w:val="43"/>
                    <w:keepNext w:val="0"/>
                    <w:keepLines w:val="0"/>
                    <w:pageBreakBefore w:val="0"/>
                    <w:widowControl w:val="0"/>
                    <w:kinsoku/>
                    <w:wordWrap/>
                    <w:overflowPunct/>
                    <w:topLinePunct w:val="0"/>
                    <w:bidi w:val="0"/>
                    <w:adjustRightInd/>
                    <w:snapToGrid/>
                    <w:spacing w:before="0" w:beforeLines="0" w:after="0" w:afterLines="0" w:line="240" w:lineRule="auto"/>
                    <w:ind w:right="0" w:rightChars="0" w:firstLine="0" w:firstLineChars="0"/>
                    <w:jc w:val="both"/>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rPr>
                    <w:t>提高废气收集率。遵循</w:t>
                  </w:r>
                  <w:r>
                    <w:rPr>
                      <w:rFonts w:hint="eastAsia" w:cs="Times New Roman"/>
                      <w:b w:val="0"/>
                      <w:bCs w:val="0"/>
                      <w:color w:val="000000"/>
                      <w:sz w:val="21"/>
                      <w:szCs w:val="21"/>
                      <w:highlight w:val="none"/>
                      <w:lang w:eastAsia="zh-CN"/>
                    </w:rPr>
                    <w:t>“</w:t>
                  </w:r>
                  <w:r>
                    <w:rPr>
                      <w:rFonts w:hint="default" w:ascii="Times New Roman" w:hAnsi="Times New Roman" w:eastAsia="宋体" w:cs="Times New Roman"/>
                      <w:b w:val="0"/>
                      <w:bCs w:val="0"/>
                      <w:color w:val="000000"/>
                      <w:sz w:val="21"/>
                      <w:szCs w:val="21"/>
                      <w:highlight w:val="none"/>
                    </w:rPr>
                    <w:t>应收尽收、分质收集</w:t>
                  </w:r>
                  <w:r>
                    <w:rPr>
                      <w:rFonts w:hint="eastAsia" w:cs="Times New Roman"/>
                      <w:b w:val="0"/>
                      <w:bCs w:val="0"/>
                      <w:color w:val="000000"/>
                      <w:sz w:val="21"/>
                      <w:szCs w:val="21"/>
                      <w:highlight w:val="none"/>
                      <w:lang w:eastAsia="zh-CN"/>
                    </w:rPr>
                    <w:t>”</w:t>
                  </w:r>
                  <w:r>
                    <w:rPr>
                      <w:rFonts w:hint="default" w:ascii="Times New Roman" w:hAnsi="Times New Roman" w:eastAsia="宋体" w:cs="Times New Roman"/>
                      <w:b w:val="0"/>
                      <w:bCs w:val="0"/>
                      <w:color w:val="000000"/>
                      <w:sz w:val="21"/>
                      <w:szCs w:val="21"/>
                      <w:highlight w:val="none"/>
                    </w:rPr>
                    <w:t>的原则，科学设计废气收集系统，将无组织排放转变为有组织排放进行控制。采用全密闭集气罩或密闭空间的，除行业有特殊要求外，应保持微负压状态，并根据相关规范合理设置通风量。采用局部集气罩的，距集气罩开口面最远处的VOCs无组织排放位置，控制风速应不低于0.3米/秒，有行业要求的按相关规定执行。</w:t>
                  </w:r>
                </w:p>
              </w:tc>
              <w:tc>
                <w:tcPr>
                  <w:tcW w:w="1025" w:type="pct"/>
                  <w:tcBorders>
                    <w:tl2br w:val="nil"/>
                    <w:tr2bl w:val="nil"/>
                  </w:tcBorders>
                  <w:noWrap w:val="0"/>
                  <w:vAlign w:val="center"/>
                </w:tcPr>
                <w:p w14:paraId="2A415FFE">
                  <w:pPr>
                    <w:pStyle w:val="43"/>
                    <w:keepNext w:val="0"/>
                    <w:keepLines w:val="0"/>
                    <w:pageBreakBefore w:val="0"/>
                    <w:widowControl w:val="0"/>
                    <w:kinsoku/>
                    <w:wordWrap/>
                    <w:overflowPunct/>
                    <w:topLinePunct w:val="0"/>
                    <w:bidi w:val="0"/>
                    <w:adjustRightInd/>
                    <w:snapToGrid/>
                    <w:spacing w:before="0" w:beforeLines="0" w:after="0" w:afterLines="0" w:line="240" w:lineRule="auto"/>
                    <w:ind w:right="0" w:rightChars="0" w:firstLine="0" w:firstLineChars="0"/>
                    <w:jc w:val="center"/>
                    <w:textAlignment w:val="auto"/>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cs="Times New Roman"/>
                      <w:b w:val="0"/>
                      <w:bCs w:val="0"/>
                      <w:color w:val="000000"/>
                      <w:sz w:val="21"/>
                      <w:szCs w:val="21"/>
                      <w:highlight w:val="none"/>
                      <w:lang w:val="en-US" w:eastAsia="zh-CN"/>
                    </w:rPr>
                    <w:t>有机</w:t>
                  </w:r>
                  <w:r>
                    <w:rPr>
                      <w:rFonts w:hint="default" w:ascii="Times New Roman" w:hAnsi="Times New Roman" w:cs="Times New Roman"/>
                      <w:b w:val="0"/>
                      <w:bCs w:val="0"/>
                      <w:color w:val="000000"/>
                      <w:sz w:val="21"/>
                      <w:szCs w:val="21"/>
                      <w:highlight w:val="none"/>
                    </w:rPr>
                    <w:t>废气采取集气罩</w:t>
                  </w:r>
                  <w:r>
                    <w:rPr>
                      <w:rFonts w:hint="default" w:ascii="Times New Roman" w:hAnsi="Times New Roman" w:cs="Times New Roman"/>
                      <w:b w:val="0"/>
                      <w:bCs w:val="0"/>
                      <w:color w:val="000000"/>
                      <w:sz w:val="21"/>
                      <w:szCs w:val="21"/>
                      <w:highlight w:val="none"/>
                      <w:lang w:eastAsia="zh-CN"/>
                    </w:rPr>
                    <w:t>收集</w:t>
                  </w:r>
                  <w:r>
                    <w:rPr>
                      <w:rFonts w:hint="default" w:ascii="Times New Roman" w:hAnsi="Times New Roman" w:eastAsia="宋体" w:cs="Times New Roman"/>
                      <w:b w:val="0"/>
                      <w:bCs w:val="0"/>
                      <w:color w:val="000000"/>
                      <w:sz w:val="21"/>
                      <w:szCs w:val="21"/>
                      <w:highlight w:val="none"/>
                    </w:rPr>
                    <w:t>，</w:t>
                  </w:r>
                  <w:r>
                    <w:rPr>
                      <w:rFonts w:hint="default" w:ascii="Times New Roman" w:hAnsi="Times New Roman" w:cs="Times New Roman"/>
                      <w:b w:val="0"/>
                      <w:bCs w:val="0"/>
                      <w:color w:val="000000"/>
                      <w:sz w:val="21"/>
                      <w:szCs w:val="21"/>
                      <w:highlight w:val="none"/>
                      <w:lang w:eastAsia="zh-CN"/>
                    </w:rPr>
                    <w:t>集气罩</w:t>
                  </w:r>
                  <w:r>
                    <w:rPr>
                      <w:rFonts w:hint="default" w:ascii="Times New Roman" w:hAnsi="Times New Roman" w:eastAsia="宋体" w:cs="Times New Roman"/>
                      <w:b w:val="0"/>
                      <w:bCs w:val="0"/>
                      <w:color w:val="000000"/>
                      <w:sz w:val="21"/>
                      <w:szCs w:val="21"/>
                      <w:highlight w:val="none"/>
                    </w:rPr>
                    <w:t>开口面最远处</w:t>
                  </w:r>
                  <w:r>
                    <w:rPr>
                      <w:rFonts w:hint="default" w:ascii="Times New Roman" w:hAnsi="Times New Roman" w:cs="Times New Roman"/>
                      <w:b w:val="0"/>
                      <w:bCs w:val="0"/>
                      <w:color w:val="000000"/>
                      <w:sz w:val="21"/>
                      <w:szCs w:val="21"/>
                      <w:highlight w:val="none"/>
                    </w:rPr>
                    <w:t>控制点风速不低于0.</w:t>
                  </w:r>
                  <w:r>
                    <w:rPr>
                      <w:rFonts w:hint="eastAsia" w:ascii="Times New Roman" w:hAnsi="Times New Roman" w:cs="Times New Roman"/>
                      <w:b w:val="0"/>
                      <w:bCs w:val="0"/>
                      <w:color w:val="000000"/>
                      <w:sz w:val="21"/>
                      <w:szCs w:val="21"/>
                      <w:highlight w:val="none"/>
                      <w:lang w:val="en-US" w:eastAsia="zh-CN"/>
                    </w:rPr>
                    <w:t>3</w:t>
                  </w:r>
                  <w:r>
                    <w:rPr>
                      <w:rFonts w:hint="default" w:ascii="Times New Roman" w:hAnsi="Times New Roman" w:cs="Times New Roman"/>
                      <w:b w:val="0"/>
                      <w:bCs w:val="0"/>
                      <w:color w:val="000000"/>
                      <w:sz w:val="21"/>
                      <w:szCs w:val="21"/>
                      <w:highlight w:val="none"/>
                    </w:rPr>
                    <w:t>m/s</w:t>
                  </w:r>
                  <w:r>
                    <w:rPr>
                      <w:rFonts w:hint="default" w:ascii="Times New Roman" w:hAnsi="Times New Roman" w:eastAsia="宋体" w:cs="Times New Roman"/>
                      <w:b w:val="0"/>
                      <w:bCs w:val="0"/>
                      <w:color w:val="000000"/>
                      <w:sz w:val="21"/>
                      <w:szCs w:val="21"/>
                      <w:highlight w:val="none"/>
                    </w:rPr>
                    <w:t>，可有效减少项目VOCs无组织的排放</w:t>
                  </w:r>
                  <w:r>
                    <w:rPr>
                      <w:rFonts w:hint="eastAsia" w:ascii="Times New Roman" w:hAnsi="Times New Roman" w:eastAsia="宋体" w:cs="Times New Roman"/>
                      <w:b w:val="0"/>
                      <w:bCs w:val="0"/>
                      <w:color w:val="000000"/>
                      <w:sz w:val="21"/>
                      <w:szCs w:val="21"/>
                      <w:highlight w:val="none"/>
                      <w:lang w:eastAsia="zh-CN"/>
                    </w:rPr>
                    <w:t>。</w:t>
                  </w:r>
                </w:p>
              </w:tc>
              <w:tc>
                <w:tcPr>
                  <w:tcW w:w="333" w:type="pct"/>
                  <w:tcBorders>
                    <w:tl2br w:val="nil"/>
                    <w:tr2bl w:val="nil"/>
                  </w:tcBorders>
                  <w:noWrap w:val="0"/>
                  <w:vAlign w:val="center"/>
                </w:tcPr>
                <w:p w14:paraId="2DA62B81">
                  <w:pPr>
                    <w:pStyle w:val="43"/>
                    <w:keepNext w:val="0"/>
                    <w:keepLines w:val="0"/>
                    <w:pageBreakBefore w:val="0"/>
                    <w:widowControl w:val="0"/>
                    <w:kinsoku/>
                    <w:wordWrap/>
                    <w:overflowPunct/>
                    <w:topLinePunct w:val="0"/>
                    <w:bidi w:val="0"/>
                    <w:adjustRightInd/>
                    <w:snapToGrid/>
                    <w:spacing w:before="0" w:beforeLines="0" w:after="0" w:afterLines="0" w:line="240" w:lineRule="auto"/>
                    <w:ind w:right="0" w:rightChars="0" w:firstLine="0" w:firstLineChars="0"/>
                    <w:jc w:val="both"/>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rPr>
                    <w:t>符合</w:t>
                  </w:r>
                </w:p>
              </w:tc>
            </w:tr>
            <w:tr w14:paraId="01C84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1" w:type="pct"/>
                  <w:vMerge w:val="continue"/>
                  <w:tcBorders>
                    <w:tl2br w:val="nil"/>
                    <w:tr2bl w:val="nil"/>
                  </w:tcBorders>
                  <w:noWrap w:val="0"/>
                  <w:vAlign w:val="center"/>
                </w:tcPr>
                <w:p w14:paraId="1DFF803B">
                  <w:pPr>
                    <w:pStyle w:val="43"/>
                    <w:keepNext w:val="0"/>
                    <w:keepLines w:val="0"/>
                    <w:pageBreakBefore w:val="0"/>
                    <w:widowControl w:val="0"/>
                    <w:kinsoku/>
                    <w:wordWrap/>
                    <w:overflowPunct/>
                    <w:topLinePunct w:val="0"/>
                    <w:bidi w:val="0"/>
                    <w:adjustRightInd/>
                    <w:snapToGrid/>
                    <w:spacing w:before="0" w:beforeLines="0" w:after="0" w:afterLines="0" w:line="240" w:lineRule="auto"/>
                    <w:ind w:right="0" w:firstLine="0" w:firstLineChars="0"/>
                    <w:jc w:val="both"/>
                    <w:textAlignment w:val="auto"/>
                    <w:rPr>
                      <w:rFonts w:hint="default" w:ascii="Times New Roman" w:hAnsi="Times New Roman" w:eastAsia="宋体" w:cs="Times New Roman"/>
                      <w:b w:val="0"/>
                      <w:bCs w:val="0"/>
                      <w:color w:val="000000"/>
                      <w:sz w:val="21"/>
                      <w:szCs w:val="21"/>
                      <w:highlight w:val="none"/>
                    </w:rPr>
                  </w:pPr>
                </w:p>
              </w:tc>
              <w:tc>
                <w:tcPr>
                  <w:tcW w:w="737" w:type="pct"/>
                  <w:vMerge w:val="continue"/>
                  <w:tcBorders>
                    <w:tl2br w:val="nil"/>
                    <w:tr2bl w:val="nil"/>
                  </w:tcBorders>
                  <w:noWrap w:val="0"/>
                  <w:vAlign w:val="center"/>
                </w:tcPr>
                <w:p w14:paraId="4C9475A5">
                  <w:pPr>
                    <w:pStyle w:val="43"/>
                    <w:keepNext w:val="0"/>
                    <w:keepLines w:val="0"/>
                    <w:pageBreakBefore w:val="0"/>
                    <w:widowControl w:val="0"/>
                    <w:kinsoku/>
                    <w:wordWrap/>
                    <w:overflowPunct/>
                    <w:topLinePunct w:val="0"/>
                    <w:bidi w:val="0"/>
                    <w:adjustRightInd/>
                    <w:snapToGrid/>
                    <w:spacing w:before="0" w:beforeLines="0" w:after="0" w:afterLines="0" w:line="240" w:lineRule="auto"/>
                    <w:ind w:right="0" w:firstLine="0" w:firstLineChars="0"/>
                    <w:jc w:val="both"/>
                    <w:textAlignment w:val="auto"/>
                    <w:rPr>
                      <w:rFonts w:hint="default" w:ascii="Times New Roman" w:hAnsi="Times New Roman" w:eastAsia="宋体" w:cs="Times New Roman"/>
                      <w:b w:val="0"/>
                      <w:bCs w:val="0"/>
                      <w:color w:val="000000"/>
                      <w:sz w:val="21"/>
                      <w:szCs w:val="21"/>
                      <w:highlight w:val="none"/>
                    </w:rPr>
                  </w:pPr>
                </w:p>
              </w:tc>
              <w:tc>
                <w:tcPr>
                  <w:tcW w:w="2701" w:type="pct"/>
                  <w:tcBorders>
                    <w:tl2br w:val="nil"/>
                    <w:tr2bl w:val="nil"/>
                  </w:tcBorders>
                  <w:noWrap w:val="0"/>
                  <w:vAlign w:val="center"/>
                </w:tcPr>
                <w:p w14:paraId="27DB9CCF">
                  <w:pPr>
                    <w:pStyle w:val="43"/>
                    <w:keepNext w:val="0"/>
                    <w:keepLines w:val="0"/>
                    <w:pageBreakBefore w:val="0"/>
                    <w:widowControl w:val="0"/>
                    <w:kinsoku/>
                    <w:wordWrap/>
                    <w:overflowPunct/>
                    <w:topLinePunct w:val="0"/>
                    <w:bidi w:val="0"/>
                    <w:adjustRightInd/>
                    <w:snapToGrid/>
                    <w:spacing w:before="0" w:beforeLines="0" w:after="0" w:afterLines="0" w:line="240" w:lineRule="auto"/>
                    <w:ind w:right="0" w:firstLine="0" w:firstLineChars="0"/>
                    <w:jc w:val="both"/>
                    <w:textAlignment w:val="auto"/>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推进建设适宜高效的治污设施。企业新建治污设施或对现有治污设施实施改造，应依据排放废气的浓度、组分、风量、温度、湿度、压力，以及生产工况等，合理选择治理技术。鼓励企业采用多种技术的组合工艺，提高VOCs治理效率。低浓度、大风量废气，宜采用沸石转轮吸附、活性炭吸附、减风增浓等浓缩技术，提高VOCs浓度后净化处理；高浓度废气，优先进行溶剂回收，难以回收的，宜采用高温焚烧、催化燃烧等技术。油气（溶剂）回收宜采用冷凝+吸附、吸附+吸收、膜分离+吸附等技术。低温等离子、光催化、光氧化技术主要适用于恶臭异味等治理；生物法主要适用于低浓度VOCs废气治理和恶臭异味治理。非水溶性的VOCs废气禁止采用水或水溶液喷淋吸收处理。采用一次性活性炭吸附技术的，应定期更换活性炭，废旧活性炭应再生或处理处置。有条件的工业园区和产业集群等，推广集中喷涂、溶剂集中回收、活性炭集中再生等，加强资源共享，提高VOCs治理效率。</w:t>
                  </w:r>
                </w:p>
              </w:tc>
              <w:tc>
                <w:tcPr>
                  <w:tcW w:w="1025" w:type="pct"/>
                  <w:vMerge w:val="restart"/>
                  <w:tcBorders>
                    <w:tl2br w:val="nil"/>
                    <w:tr2bl w:val="nil"/>
                  </w:tcBorders>
                  <w:noWrap w:val="0"/>
                  <w:vAlign w:val="center"/>
                </w:tcPr>
                <w:p w14:paraId="2527A09F">
                  <w:pPr>
                    <w:keepNext w:val="0"/>
                    <w:keepLines w:val="0"/>
                    <w:pageBreakBefore w:val="0"/>
                    <w:widowControl w:val="0"/>
                    <w:kinsoku/>
                    <w:wordWrap/>
                    <w:overflowPunct/>
                    <w:topLinePunct w:val="0"/>
                    <w:bidi w:val="0"/>
                    <w:adjustRightInd/>
                    <w:snapToGrid/>
                    <w:spacing w:line="240" w:lineRule="auto"/>
                    <w:ind w:right="0" w:firstLine="0" w:firstLineChars="0"/>
                    <w:jc w:val="center"/>
                    <w:textAlignment w:val="auto"/>
                    <w:rPr>
                      <w:rFonts w:hint="default" w:ascii="Times New Roman" w:hAnsi="Times New Roman" w:cs="Times New Roman"/>
                      <w:b w:val="0"/>
                      <w:bCs w:val="0"/>
                      <w:color w:val="000000"/>
                      <w:sz w:val="21"/>
                      <w:szCs w:val="21"/>
                      <w:highlight w:val="none"/>
                      <w:lang w:eastAsia="zh-CN"/>
                    </w:rPr>
                  </w:pPr>
                  <w:r>
                    <w:rPr>
                      <w:rFonts w:hint="eastAsia" w:cs="Times New Roman"/>
                      <w:b w:val="0"/>
                      <w:bCs w:val="0"/>
                      <w:color w:val="000000"/>
                      <w:sz w:val="21"/>
                      <w:szCs w:val="21"/>
                      <w:highlight w:val="none"/>
                      <w:lang w:val="en-US" w:eastAsia="zh-CN"/>
                    </w:rPr>
                    <w:t>有机</w:t>
                  </w:r>
                  <w:r>
                    <w:rPr>
                      <w:rFonts w:hint="default" w:ascii="Times New Roman" w:hAnsi="Times New Roman" w:eastAsia="宋体" w:cs="Times New Roman"/>
                      <w:b w:val="0"/>
                      <w:bCs w:val="0"/>
                      <w:color w:val="000000"/>
                      <w:sz w:val="21"/>
                      <w:szCs w:val="21"/>
                      <w:highlight w:val="none"/>
                    </w:rPr>
                    <w:t>废气采用</w:t>
                  </w:r>
                  <w:r>
                    <w:rPr>
                      <w:rFonts w:hint="eastAsia" w:cs="Times New Roman"/>
                      <w:b w:val="0"/>
                      <w:bCs w:val="0"/>
                      <w:color w:val="000000"/>
                      <w:sz w:val="21"/>
                      <w:szCs w:val="21"/>
                      <w:highlight w:val="none"/>
                      <w:lang w:eastAsia="zh-CN"/>
                    </w:rPr>
                    <w:t>“</w:t>
                  </w:r>
                  <w:r>
                    <w:rPr>
                      <w:rFonts w:hint="default" w:ascii="Times New Roman" w:hAnsi="Times New Roman" w:eastAsia="宋体" w:cs="Times New Roman"/>
                      <w:b w:val="0"/>
                      <w:bCs w:val="0"/>
                      <w:color w:val="000000"/>
                      <w:sz w:val="21"/>
                      <w:szCs w:val="21"/>
                      <w:highlight w:val="none"/>
                      <w:lang w:eastAsia="zh-CN"/>
                    </w:rPr>
                    <w:t>二级</w:t>
                  </w:r>
                  <w:r>
                    <w:rPr>
                      <w:rFonts w:hint="default" w:ascii="Times New Roman" w:hAnsi="Times New Roman" w:eastAsia="宋体" w:cs="Times New Roman"/>
                      <w:b w:val="0"/>
                      <w:bCs w:val="0"/>
                      <w:color w:val="000000"/>
                      <w:sz w:val="21"/>
                      <w:szCs w:val="21"/>
                      <w:highlight w:val="none"/>
                    </w:rPr>
                    <w:t>活性炭</w:t>
                  </w:r>
                  <w:r>
                    <w:rPr>
                      <w:rFonts w:hint="default" w:ascii="Times New Roman" w:hAnsi="Times New Roman" w:eastAsia="宋体" w:cs="Times New Roman"/>
                      <w:b w:val="0"/>
                      <w:bCs w:val="0"/>
                      <w:color w:val="000000"/>
                      <w:sz w:val="21"/>
                      <w:szCs w:val="21"/>
                      <w:highlight w:val="none"/>
                      <w:lang w:eastAsia="zh-CN"/>
                    </w:rPr>
                    <w:t>吸附</w:t>
                  </w:r>
                  <w:r>
                    <w:rPr>
                      <w:rFonts w:hint="eastAsia" w:cs="Times New Roman"/>
                      <w:b w:val="0"/>
                      <w:bCs w:val="0"/>
                      <w:color w:val="000000"/>
                      <w:sz w:val="21"/>
                      <w:szCs w:val="21"/>
                      <w:highlight w:val="none"/>
                      <w:lang w:eastAsia="zh-CN"/>
                    </w:rPr>
                    <w:t>”</w:t>
                  </w:r>
                  <w:r>
                    <w:rPr>
                      <w:rFonts w:hint="default" w:ascii="Times New Roman" w:hAnsi="Times New Roman" w:eastAsia="宋体" w:cs="Times New Roman"/>
                      <w:b w:val="0"/>
                      <w:bCs w:val="0"/>
                      <w:color w:val="000000"/>
                      <w:sz w:val="21"/>
                      <w:szCs w:val="21"/>
                      <w:highlight w:val="none"/>
                    </w:rPr>
                    <w:t>工艺，属于可行的末端治理技术，</w:t>
                  </w:r>
                  <w:r>
                    <w:rPr>
                      <w:rFonts w:hint="default" w:ascii="Times New Roman" w:hAnsi="Times New Roman" w:eastAsia="宋体" w:cs="Times New Roman"/>
                      <w:b w:val="0"/>
                      <w:bCs w:val="0"/>
                      <w:color w:val="000000"/>
                      <w:sz w:val="21"/>
                      <w:szCs w:val="21"/>
                      <w:highlight w:val="none"/>
                      <w:lang w:eastAsia="zh-CN"/>
                    </w:rPr>
                    <w:t>有机废气</w:t>
                  </w:r>
                  <w:r>
                    <w:rPr>
                      <w:rFonts w:hint="default" w:ascii="Times New Roman" w:hAnsi="Times New Roman" w:eastAsia="宋体" w:cs="Times New Roman"/>
                      <w:b w:val="0"/>
                      <w:bCs w:val="0"/>
                      <w:color w:val="000000"/>
                      <w:sz w:val="21"/>
                      <w:szCs w:val="21"/>
                      <w:highlight w:val="none"/>
                    </w:rPr>
                    <w:t>去除效率可达到</w:t>
                  </w:r>
                  <w:r>
                    <w:rPr>
                      <w:rFonts w:hint="default" w:ascii="Times New Roman" w:hAnsi="Times New Roman" w:eastAsia="宋体" w:cs="Times New Roman"/>
                      <w:b w:val="0"/>
                      <w:bCs w:val="0"/>
                      <w:color w:val="000000"/>
                      <w:sz w:val="21"/>
                      <w:szCs w:val="21"/>
                      <w:highlight w:val="none"/>
                      <w:lang w:val="en-US" w:eastAsia="zh-CN"/>
                    </w:rPr>
                    <w:t>90</w:t>
                  </w:r>
                  <w:r>
                    <w:rPr>
                      <w:rFonts w:hint="default" w:ascii="Times New Roman" w:hAnsi="Times New Roman" w:eastAsia="宋体" w:cs="Times New Roman"/>
                      <w:b w:val="0"/>
                      <w:bCs w:val="0"/>
                      <w:color w:val="000000"/>
                      <w:sz w:val="21"/>
                      <w:szCs w:val="21"/>
                      <w:highlight w:val="none"/>
                    </w:rPr>
                    <w:t>%，废气经治理后可满足</w:t>
                  </w:r>
                  <w:r>
                    <w:rPr>
                      <w:rFonts w:hint="default" w:ascii="Times New Roman" w:hAnsi="Times New Roman" w:eastAsia="宋体" w:cs="Times New Roman"/>
                      <w:b w:val="0"/>
                      <w:bCs w:val="0"/>
                      <w:color w:val="000000"/>
                      <w:sz w:val="21"/>
                      <w:szCs w:val="21"/>
                      <w:highlight w:val="none"/>
                      <w:lang w:val="en-US" w:eastAsia="zh-CN"/>
                    </w:rPr>
                    <w:t>《固定源挥发性有机物综合排放标准第6部分：其他行业》（DB34/4812.6-2024）和</w:t>
                  </w:r>
                  <w:r>
                    <w:rPr>
                      <w:rFonts w:hint="default" w:ascii="Times New Roman" w:hAnsi="Times New Roman" w:eastAsia="宋体" w:cs="Times New Roman"/>
                      <w:b w:val="0"/>
                      <w:bCs w:val="0"/>
                      <w:color w:val="000000"/>
                      <w:sz w:val="21"/>
                      <w:szCs w:val="21"/>
                      <w:highlight w:val="none"/>
                      <w:lang w:eastAsia="zh-CN"/>
                    </w:rPr>
                    <w:t>《合成树脂工业污染物排放标准》（GB31572-2015）</w:t>
                  </w:r>
                  <w:r>
                    <w:rPr>
                      <w:rFonts w:hint="default" w:ascii="Times New Roman" w:hAnsi="Times New Roman" w:eastAsia="宋体" w:cs="Times New Roman"/>
                      <w:b w:val="0"/>
                      <w:bCs w:val="0"/>
                      <w:color w:val="000000"/>
                      <w:sz w:val="21"/>
                      <w:szCs w:val="21"/>
                      <w:highlight w:val="none"/>
                    </w:rPr>
                    <w:t>及其修改单（公告2024年第17号）</w:t>
                  </w:r>
                  <w:r>
                    <w:rPr>
                      <w:rFonts w:hint="default" w:ascii="Times New Roman" w:hAnsi="Times New Roman" w:eastAsia="宋体" w:cs="Times New Roman"/>
                      <w:b w:val="0"/>
                      <w:bCs w:val="0"/>
                      <w:color w:val="000000"/>
                      <w:sz w:val="21"/>
                      <w:szCs w:val="21"/>
                      <w:highlight w:val="none"/>
                      <w:lang w:val="en-US" w:eastAsia="zh-CN"/>
                    </w:rPr>
                    <w:t>中的较严值</w:t>
                  </w:r>
                  <w:r>
                    <w:rPr>
                      <w:rFonts w:hint="default" w:ascii="Times New Roman" w:hAnsi="Times New Roman" w:eastAsia="宋体" w:cs="Times New Roman"/>
                      <w:b w:val="0"/>
                      <w:bCs w:val="0"/>
                      <w:color w:val="000000"/>
                      <w:sz w:val="21"/>
                      <w:szCs w:val="21"/>
                      <w:highlight w:val="none"/>
                      <w:lang w:eastAsia="zh-CN"/>
                    </w:rPr>
                    <w:t>。</w:t>
                  </w:r>
                </w:p>
              </w:tc>
              <w:tc>
                <w:tcPr>
                  <w:tcW w:w="333" w:type="pct"/>
                  <w:vMerge w:val="restart"/>
                  <w:tcBorders>
                    <w:tl2br w:val="nil"/>
                    <w:tr2bl w:val="nil"/>
                  </w:tcBorders>
                  <w:noWrap w:val="0"/>
                  <w:vAlign w:val="center"/>
                </w:tcPr>
                <w:p w14:paraId="196C10AB">
                  <w:pPr>
                    <w:pStyle w:val="43"/>
                    <w:keepNext w:val="0"/>
                    <w:keepLines w:val="0"/>
                    <w:pageBreakBefore w:val="0"/>
                    <w:widowControl w:val="0"/>
                    <w:kinsoku/>
                    <w:wordWrap/>
                    <w:overflowPunct/>
                    <w:topLinePunct w:val="0"/>
                    <w:bidi w:val="0"/>
                    <w:adjustRightInd/>
                    <w:snapToGrid/>
                    <w:spacing w:before="0" w:beforeLines="0" w:after="0" w:afterLines="0" w:line="240" w:lineRule="auto"/>
                    <w:ind w:right="0" w:firstLine="0" w:firstLineChars="0"/>
                    <w:jc w:val="both"/>
                    <w:textAlignment w:val="auto"/>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符合</w:t>
                  </w:r>
                </w:p>
              </w:tc>
            </w:tr>
            <w:tr w14:paraId="08F58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1" w:type="pct"/>
                  <w:vMerge w:val="continue"/>
                  <w:tcBorders>
                    <w:tl2br w:val="nil"/>
                    <w:tr2bl w:val="nil"/>
                  </w:tcBorders>
                  <w:noWrap w:val="0"/>
                  <w:vAlign w:val="center"/>
                </w:tcPr>
                <w:p w14:paraId="3CC57FFF">
                  <w:pPr>
                    <w:pStyle w:val="43"/>
                    <w:keepNext w:val="0"/>
                    <w:keepLines w:val="0"/>
                    <w:pageBreakBefore w:val="0"/>
                    <w:widowControl w:val="0"/>
                    <w:kinsoku/>
                    <w:wordWrap/>
                    <w:overflowPunct/>
                    <w:topLinePunct w:val="0"/>
                    <w:bidi w:val="0"/>
                    <w:adjustRightInd/>
                    <w:snapToGrid/>
                    <w:spacing w:before="0" w:beforeLines="0" w:after="0" w:afterLines="0" w:line="240" w:lineRule="auto"/>
                    <w:ind w:right="0" w:firstLine="0" w:firstLineChars="0"/>
                    <w:jc w:val="both"/>
                    <w:textAlignment w:val="auto"/>
                    <w:rPr>
                      <w:rFonts w:hint="default" w:ascii="Times New Roman" w:hAnsi="Times New Roman" w:eastAsia="宋体" w:cs="Times New Roman"/>
                      <w:b w:val="0"/>
                      <w:bCs w:val="0"/>
                      <w:color w:val="000000"/>
                      <w:sz w:val="21"/>
                      <w:szCs w:val="21"/>
                      <w:highlight w:val="none"/>
                    </w:rPr>
                  </w:pPr>
                </w:p>
              </w:tc>
              <w:tc>
                <w:tcPr>
                  <w:tcW w:w="737" w:type="pct"/>
                  <w:vMerge w:val="continue"/>
                  <w:tcBorders>
                    <w:tl2br w:val="nil"/>
                    <w:tr2bl w:val="nil"/>
                  </w:tcBorders>
                  <w:noWrap w:val="0"/>
                  <w:vAlign w:val="center"/>
                </w:tcPr>
                <w:p w14:paraId="131CD81E">
                  <w:pPr>
                    <w:pStyle w:val="43"/>
                    <w:keepNext w:val="0"/>
                    <w:keepLines w:val="0"/>
                    <w:pageBreakBefore w:val="0"/>
                    <w:widowControl w:val="0"/>
                    <w:kinsoku/>
                    <w:wordWrap/>
                    <w:overflowPunct/>
                    <w:topLinePunct w:val="0"/>
                    <w:bidi w:val="0"/>
                    <w:adjustRightInd/>
                    <w:snapToGrid/>
                    <w:spacing w:before="0" w:beforeLines="0" w:after="0" w:afterLines="0" w:line="240" w:lineRule="auto"/>
                    <w:ind w:right="0" w:firstLine="0" w:firstLineChars="0"/>
                    <w:jc w:val="both"/>
                    <w:textAlignment w:val="auto"/>
                    <w:rPr>
                      <w:rFonts w:hint="default" w:ascii="Times New Roman" w:hAnsi="Times New Roman" w:eastAsia="宋体" w:cs="Times New Roman"/>
                      <w:b w:val="0"/>
                      <w:bCs w:val="0"/>
                      <w:color w:val="000000"/>
                      <w:sz w:val="21"/>
                      <w:szCs w:val="21"/>
                      <w:highlight w:val="none"/>
                    </w:rPr>
                  </w:pPr>
                </w:p>
              </w:tc>
              <w:tc>
                <w:tcPr>
                  <w:tcW w:w="2701" w:type="pct"/>
                  <w:tcBorders>
                    <w:tl2br w:val="nil"/>
                    <w:tr2bl w:val="nil"/>
                  </w:tcBorders>
                  <w:noWrap w:val="0"/>
                  <w:vAlign w:val="center"/>
                </w:tcPr>
                <w:p w14:paraId="7469DFCA">
                  <w:pPr>
                    <w:pStyle w:val="43"/>
                    <w:keepNext w:val="0"/>
                    <w:keepLines w:val="0"/>
                    <w:pageBreakBefore w:val="0"/>
                    <w:widowControl w:val="0"/>
                    <w:kinsoku/>
                    <w:wordWrap/>
                    <w:overflowPunct/>
                    <w:topLinePunct w:val="0"/>
                    <w:bidi w:val="0"/>
                    <w:adjustRightInd/>
                    <w:snapToGrid/>
                    <w:spacing w:before="0" w:beforeLines="0" w:after="0" w:afterLines="0" w:line="240" w:lineRule="auto"/>
                    <w:ind w:right="0" w:firstLine="0" w:firstLineChars="0"/>
                    <w:jc w:val="both"/>
                    <w:textAlignment w:val="auto"/>
                    <w:rPr>
                      <w:rFonts w:hint="default" w:ascii="Times New Roman" w:hAnsi="Times New Roman" w:eastAsia="宋体" w:cs="Times New Roman"/>
                      <w:b w:val="0"/>
                      <w:bCs w:val="0"/>
                      <w:color w:val="000000"/>
                      <w:sz w:val="21"/>
                      <w:szCs w:val="21"/>
                      <w:highlight w:val="none"/>
                      <w:lang w:eastAsia="zh-CN"/>
                    </w:rPr>
                  </w:pPr>
                  <w:r>
                    <w:rPr>
                      <w:rFonts w:hint="default" w:ascii="Times New Roman" w:hAnsi="Times New Roman" w:eastAsia="宋体" w:cs="Times New Roman"/>
                      <w:b w:val="0"/>
                      <w:bCs w:val="0"/>
                      <w:color w:val="000000"/>
                      <w:sz w:val="21"/>
                      <w:szCs w:val="21"/>
                      <w:highlight w:val="none"/>
                    </w:rPr>
                    <w:t>实行重点排放源排放浓度与去除效率双重控制。车间或生产设施收集排放的废气，VOCs初始排放速率大于等于3千克/小时、重点区域大于等于2千克/小时的，应加大控制力度，除确保排放浓度稳定达标外，还应实行去除效率控制，去除效率不低于80%；采用的原辅材料符合国家有关低VOCs 含量产品规定除外，有行业排放标准的按其相关规定执行。</w:t>
                  </w:r>
                </w:p>
              </w:tc>
              <w:tc>
                <w:tcPr>
                  <w:tcW w:w="1025" w:type="pct"/>
                  <w:vMerge w:val="continue"/>
                  <w:tcBorders>
                    <w:tl2br w:val="nil"/>
                    <w:tr2bl w:val="nil"/>
                  </w:tcBorders>
                  <w:noWrap w:val="0"/>
                  <w:vAlign w:val="center"/>
                </w:tcPr>
                <w:p w14:paraId="47281E65">
                  <w:pPr>
                    <w:pStyle w:val="43"/>
                    <w:keepNext w:val="0"/>
                    <w:keepLines w:val="0"/>
                    <w:pageBreakBefore w:val="0"/>
                    <w:widowControl w:val="0"/>
                    <w:kinsoku/>
                    <w:wordWrap/>
                    <w:overflowPunct/>
                    <w:topLinePunct w:val="0"/>
                    <w:bidi w:val="0"/>
                    <w:adjustRightInd/>
                    <w:snapToGrid/>
                    <w:spacing w:before="0" w:beforeLines="0" w:after="0" w:afterLines="0" w:line="240" w:lineRule="auto"/>
                    <w:ind w:right="0" w:firstLine="0" w:firstLineChars="0"/>
                    <w:jc w:val="both"/>
                    <w:textAlignment w:val="auto"/>
                    <w:rPr>
                      <w:rFonts w:hint="default" w:ascii="Times New Roman" w:hAnsi="Times New Roman" w:eastAsia="宋体" w:cs="Times New Roman"/>
                      <w:b w:val="0"/>
                      <w:bCs w:val="0"/>
                      <w:color w:val="000000"/>
                      <w:sz w:val="21"/>
                      <w:szCs w:val="21"/>
                      <w:highlight w:val="none"/>
                    </w:rPr>
                  </w:pPr>
                </w:p>
              </w:tc>
              <w:tc>
                <w:tcPr>
                  <w:tcW w:w="333" w:type="pct"/>
                  <w:vMerge w:val="continue"/>
                  <w:tcBorders>
                    <w:tl2br w:val="nil"/>
                    <w:tr2bl w:val="nil"/>
                  </w:tcBorders>
                  <w:noWrap w:val="0"/>
                  <w:vAlign w:val="center"/>
                </w:tcPr>
                <w:p w14:paraId="087D146D">
                  <w:pPr>
                    <w:pStyle w:val="43"/>
                    <w:keepNext w:val="0"/>
                    <w:keepLines w:val="0"/>
                    <w:pageBreakBefore w:val="0"/>
                    <w:widowControl w:val="0"/>
                    <w:kinsoku/>
                    <w:wordWrap/>
                    <w:overflowPunct/>
                    <w:topLinePunct w:val="0"/>
                    <w:bidi w:val="0"/>
                    <w:adjustRightInd/>
                    <w:snapToGrid/>
                    <w:spacing w:before="0" w:beforeLines="0" w:after="0" w:afterLines="0" w:line="240" w:lineRule="auto"/>
                    <w:ind w:right="0" w:firstLine="0" w:firstLineChars="0"/>
                    <w:jc w:val="both"/>
                    <w:textAlignment w:val="auto"/>
                    <w:rPr>
                      <w:rFonts w:hint="default" w:ascii="Times New Roman" w:hAnsi="Times New Roman" w:eastAsia="宋体" w:cs="Times New Roman"/>
                      <w:b w:val="0"/>
                      <w:bCs w:val="0"/>
                      <w:color w:val="000000"/>
                      <w:sz w:val="21"/>
                      <w:szCs w:val="21"/>
                      <w:highlight w:val="none"/>
                    </w:rPr>
                  </w:pPr>
                </w:p>
              </w:tc>
            </w:tr>
            <w:tr w14:paraId="3A32B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1" w:type="pct"/>
                  <w:vMerge w:val="continue"/>
                  <w:tcBorders>
                    <w:tl2br w:val="nil"/>
                    <w:tr2bl w:val="nil"/>
                  </w:tcBorders>
                  <w:noWrap w:val="0"/>
                  <w:vAlign w:val="center"/>
                </w:tcPr>
                <w:p w14:paraId="5242F208">
                  <w:pPr>
                    <w:pStyle w:val="43"/>
                    <w:keepNext w:val="0"/>
                    <w:keepLines w:val="0"/>
                    <w:pageBreakBefore w:val="0"/>
                    <w:widowControl w:val="0"/>
                    <w:kinsoku/>
                    <w:wordWrap/>
                    <w:overflowPunct/>
                    <w:topLinePunct w:val="0"/>
                    <w:bidi w:val="0"/>
                    <w:adjustRightInd/>
                    <w:snapToGrid/>
                    <w:spacing w:before="0" w:beforeLines="0" w:after="0" w:afterLines="0" w:line="240" w:lineRule="auto"/>
                    <w:ind w:right="0" w:firstLine="0" w:firstLineChars="0"/>
                    <w:jc w:val="both"/>
                    <w:textAlignment w:val="auto"/>
                    <w:rPr>
                      <w:rFonts w:hint="default" w:ascii="Times New Roman" w:hAnsi="Times New Roman" w:eastAsia="宋体" w:cs="Times New Roman"/>
                      <w:b w:val="0"/>
                      <w:bCs w:val="0"/>
                      <w:color w:val="000000"/>
                      <w:sz w:val="21"/>
                      <w:szCs w:val="21"/>
                      <w:highlight w:val="none"/>
                    </w:rPr>
                  </w:pPr>
                </w:p>
              </w:tc>
              <w:tc>
                <w:tcPr>
                  <w:tcW w:w="737" w:type="pct"/>
                  <w:vMerge w:val="continue"/>
                  <w:tcBorders>
                    <w:tl2br w:val="nil"/>
                    <w:tr2bl w:val="nil"/>
                  </w:tcBorders>
                  <w:noWrap w:val="0"/>
                  <w:vAlign w:val="center"/>
                </w:tcPr>
                <w:p w14:paraId="0B46209D">
                  <w:pPr>
                    <w:pStyle w:val="43"/>
                    <w:keepNext w:val="0"/>
                    <w:keepLines w:val="0"/>
                    <w:pageBreakBefore w:val="0"/>
                    <w:widowControl w:val="0"/>
                    <w:kinsoku/>
                    <w:wordWrap/>
                    <w:overflowPunct/>
                    <w:topLinePunct w:val="0"/>
                    <w:bidi w:val="0"/>
                    <w:adjustRightInd/>
                    <w:snapToGrid/>
                    <w:spacing w:before="0" w:beforeLines="0" w:after="0" w:afterLines="0" w:line="240" w:lineRule="auto"/>
                    <w:ind w:right="0" w:firstLine="0" w:firstLineChars="0"/>
                    <w:jc w:val="both"/>
                    <w:textAlignment w:val="auto"/>
                    <w:rPr>
                      <w:rFonts w:hint="default" w:ascii="Times New Roman" w:hAnsi="Times New Roman" w:eastAsia="宋体" w:cs="Times New Roman"/>
                      <w:b w:val="0"/>
                      <w:bCs w:val="0"/>
                      <w:color w:val="000000"/>
                      <w:sz w:val="21"/>
                      <w:szCs w:val="21"/>
                      <w:highlight w:val="none"/>
                    </w:rPr>
                  </w:pPr>
                </w:p>
              </w:tc>
              <w:tc>
                <w:tcPr>
                  <w:tcW w:w="2701" w:type="pct"/>
                  <w:tcBorders>
                    <w:tl2br w:val="nil"/>
                    <w:tr2bl w:val="nil"/>
                  </w:tcBorders>
                  <w:noWrap w:val="0"/>
                  <w:vAlign w:val="center"/>
                </w:tcPr>
                <w:p w14:paraId="2EDB4A7E">
                  <w:pPr>
                    <w:pStyle w:val="43"/>
                    <w:keepNext w:val="0"/>
                    <w:keepLines w:val="0"/>
                    <w:pageBreakBefore w:val="0"/>
                    <w:widowControl w:val="0"/>
                    <w:kinsoku/>
                    <w:wordWrap/>
                    <w:overflowPunct/>
                    <w:topLinePunct w:val="0"/>
                    <w:bidi w:val="0"/>
                    <w:adjustRightInd/>
                    <w:snapToGrid/>
                    <w:spacing w:before="0" w:beforeLines="0" w:after="0" w:afterLines="0" w:line="240" w:lineRule="auto"/>
                    <w:ind w:right="0" w:firstLine="0" w:firstLineChars="0"/>
                    <w:jc w:val="both"/>
                    <w:textAlignment w:val="auto"/>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lang w:eastAsia="zh-CN"/>
                    </w:rPr>
                    <w:t>规范工程设计。采用吸附处理工艺的，应满足《吸附法工业有机废气治理工程技术规范》要求。采用催化燃烧工艺的，应满足《催化燃烧法工业有机废气治理工程技术规范》要求。</w:t>
                  </w:r>
                </w:p>
              </w:tc>
              <w:tc>
                <w:tcPr>
                  <w:tcW w:w="1025" w:type="pct"/>
                  <w:vMerge w:val="continue"/>
                  <w:tcBorders>
                    <w:tl2br w:val="nil"/>
                    <w:tr2bl w:val="nil"/>
                  </w:tcBorders>
                  <w:noWrap w:val="0"/>
                  <w:vAlign w:val="center"/>
                </w:tcPr>
                <w:p w14:paraId="64B1CE65">
                  <w:pPr>
                    <w:pStyle w:val="43"/>
                    <w:keepNext w:val="0"/>
                    <w:keepLines w:val="0"/>
                    <w:pageBreakBefore w:val="0"/>
                    <w:widowControl w:val="0"/>
                    <w:kinsoku/>
                    <w:wordWrap/>
                    <w:overflowPunct/>
                    <w:topLinePunct w:val="0"/>
                    <w:bidi w:val="0"/>
                    <w:adjustRightInd/>
                    <w:snapToGrid/>
                    <w:spacing w:before="0" w:beforeLines="0" w:after="0" w:afterLines="0" w:line="240" w:lineRule="auto"/>
                    <w:ind w:right="0" w:firstLine="0" w:firstLineChars="0"/>
                    <w:jc w:val="both"/>
                    <w:textAlignment w:val="auto"/>
                    <w:rPr>
                      <w:rFonts w:hint="default" w:ascii="Times New Roman" w:hAnsi="Times New Roman" w:eastAsia="宋体" w:cs="Times New Roman"/>
                      <w:b w:val="0"/>
                      <w:bCs w:val="0"/>
                      <w:color w:val="000000"/>
                      <w:sz w:val="21"/>
                      <w:szCs w:val="21"/>
                      <w:highlight w:val="none"/>
                    </w:rPr>
                  </w:pPr>
                </w:p>
              </w:tc>
              <w:tc>
                <w:tcPr>
                  <w:tcW w:w="333" w:type="pct"/>
                  <w:vMerge w:val="continue"/>
                  <w:tcBorders>
                    <w:tl2br w:val="nil"/>
                    <w:tr2bl w:val="nil"/>
                  </w:tcBorders>
                  <w:noWrap w:val="0"/>
                  <w:vAlign w:val="center"/>
                </w:tcPr>
                <w:p w14:paraId="2C6F453C">
                  <w:pPr>
                    <w:pStyle w:val="43"/>
                    <w:keepNext w:val="0"/>
                    <w:keepLines w:val="0"/>
                    <w:pageBreakBefore w:val="0"/>
                    <w:widowControl w:val="0"/>
                    <w:kinsoku/>
                    <w:wordWrap/>
                    <w:overflowPunct/>
                    <w:topLinePunct w:val="0"/>
                    <w:bidi w:val="0"/>
                    <w:adjustRightInd/>
                    <w:snapToGrid/>
                    <w:spacing w:before="0" w:beforeLines="0" w:after="0" w:afterLines="0" w:line="240" w:lineRule="auto"/>
                    <w:ind w:right="0" w:firstLine="0" w:firstLineChars="0"/>
                    <w:jc w:val="both"/>
                    <w:textAlignment w:val="auto"/>
                    <w:rPr>
                      <w:rFonts w:hint="default" w:ascii="Times New Roman" w:hAnsi="Times New Roman" w:eastAsia="宋体" w:cs="Times New Roman"/>
                      <w:b w:val="0"/>
                      <w:bCs w:val="0"/>
                      <w:color w:val="000000"/>
                      <w:sz w:val="21"/>
                      <w:szCs w:val="21"/>
                      <w:highlight w:val="none"/>
                    </w:rPr>
                  </w:pPr>
                </w:p>
              </w:tc>
            </w:tr>
            <w:tr w14:paraId="1F5C1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1" w:type="pct"/>
                  <w:vMerge w:val="restart"/>
                  <w:tcBorders>
                    <w:tl2br w:val="nil"/>
                    <w:tr2bl w:val="nil"/>
                  </w:tcBorders>
                  <w:noWrap w:val="0"/>
                  <w:vAlign w:val="center"/>
                </w:tcPr>
                <w:p w14:paraId="373D13DA">
                  <w:pPr>
                    <w:pStyle w:val="43"/>
                    <w:keepNext w:val="0"/>
                    <w:keepLines w:val="0"/>
                    <w:pageBreakBefore w:val="0"/>
                    <w:widowControl w:val="0"/>
                    <w:kinsoku/>
                    <w:wordWrap/>
                    <w:overflowPunct/>
                    <w:topLinePunct w:val="0"/>
                    <w:bidi w:val="0"/>
                    <w:adjustRightInd/>
                    <w:snapToGrid/>
                    <w:spacing w:before="0" w:beforeLines="0" w:after="0" w:afterLines="0" w:line="240" w:lineRule="auto"/>
                    <w:ind w:right="0" w:firstLine="0" w:firstLineChars="0"/>
                    <w:jc w:val="center"/>
                    <w:textAlignment w:val="auto"/>
                    <w:rPr>
                      <w:rFonts w:hint="default" w:ascii="Times New Roman" w:hAnsi="Times New Roman" w:eastAsia="宋体" w:cs="Times New Roman"/>
                      <w:b w:val="0"/>
                      <w:bCs w:val="0"/>
                      <w:color w:val="000000"/>
                      <w:sz w:val="21"/>
                      <w:szCs w:val="21"/>
                      <w:highlight w:val="none"/>
                      <w:lang w:eastAsia="zh-CN"/>
                    </w:rPr>
                  </w:pPr>
                  <w:r>
                    <w:rPr>
                      <w:rFonts w:hint="default" w:ascii="Times New Roman" w:hAnsi="Times New Roman" w:eastAsia="宋体" w:cs="Times New Roman"/>
                      <w:b w:val="0"/>
                      <w:bCs w:val="0"/>
                      <w:color w:val="000000"/>
                      <w:sz w:val="21"/>
                      <w:szCs w:val="21"/>
                      <w:highlight w:val="none"/>
                      <w:lang w:val="en-US" w:eastAsia="zh-CN"/>
                    </w:rPr>
                    <w:t>3</w:t>
                  </w:r>
                </w:p>
              </w:tc>
              <w:tc>
                <w:tcPr>
                  <w:tcW w:w="737" w:type="pct"/>
                  <w:vMerge w:val="restart"/>
                  <w:tcBorders>
                    <w:tl2br w:val="nil"/>
                    <w:tr2bl w:val="nil"/>
                  </w:tcBorders>
                  <w:noWrap w:val="0"/>
                  <w:vAlign w:val="center"/>
                </w:tcPr>
                <w:p w14:paraId="748B41CD">
                  <w:pPr>
                    <w:pStyle w:val="43"/>
                    <w:keepNext w:val="0"/>
                    <w:keepLines w:val="0"/>
                    <w:pageBreakBefore w:val="0"/>
                    <w:widowControl w:val="0"/>
                    <w:kinsoku/>
                    <w:wordWrap/>
                    <w:overflowPunct/>
                    <w:topLinePunct w:val="0"/>
                    <w:bidi w:val="0"/>
                    <w:adjustRightInd/>
                    <w:snapToGrid/>
                    <w:spacing w:before="0" w:beforeLines="0" w:after="0" w:afterLines="0" w:line="240" w:lineRule="auto"/>
                    <w:ind w:right="0" w:firstLine="0" w:firstLineChars="0"/>
                    <w:jc w:val="center"/>
                    <w:textAlignment w:val="auto"/>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挥发性有机物（VOCs）污染防治技术政策</w:t>
                  </w:r>
                </w:p>
              </w:tc>
              <w:tc>
                <w:tcPr>
                  <w:tcW w:w="2701" w:type="pct"/>
                  <w:tcBorders>
                    <w:tl2br w:val="nil"/>
                    <w:tr2bl w:val="nil"/>
                  </w:tcBorders>
                  <w:noWrap w:val="0"/>
                  <w:vAlign w:val="center"/>
                </w:tcPr>
                <w:p w14:paraId="5B4FD658">
                  <w:pPr>
                    <w:pStyle w:val="43"/>
                    <w:keepNext w:val="0"/>
                    <w:keepLines w:val="0"/>
                    <w:pageBreakBefore w:val="0"/>
                    <w:widowControl w:val="0"/>
                    <w:kinsoku/>
                    <w:wordWrap/>
                    <w:overflowPunct/>
                    <w:topLinePunct w:val="0"/>
                    <w:bidi w:val="0"/>
                    <w:adjustRightInd/>
                    <w:snapToGrid/>
                    <w:spacing w:before="0" w:beforeLines="0" w:after="0" w:afterLines="0" w:line="240" w:lineRule="auto"/>
                    <w:ind w:right="0" w:firstLine="0" w:firstLineChars="0"/>
                    <w:jc w:val="both"/>
                    <w:textAlignment w:val="auto"/>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含VOCs产品的使用过程中，应采取废气收集措施，提高废气收集效率，减少废气的无组织排放与逸散，并对收集后的废气进行回收或处理后达标排放。</w:t>
                  </w:r>
                </w:p>
              </w:tc>
              <w:tc>
                <w:tcPr>
                  <w:tcW w:w="1025" w:type="pct"/>
                  <w:vMerge w:val="restart"/>
                  <w:tcBorders>
                    <w:tl2br w:val="nil"/>
                    <w:tr2bl w:val="nil"/>
                  </w:tcBorders>
                  <w:noWrap w:val="0"/>
                  <w:vAlign w:val="center"/>
                </w:tcPr>
                <w:p w14:paraId="4BD12C94">
                  <w:pPr>
                    <w:pStyle w:val="43"/>
                    <w:keepNext w:val="0"/>
                    <w:keepLines w:val="0"/>
                    <w:pageBreakBefore w:val="0"/>
                    <w:widowControl w:val="0"/>
                    <w:kinsoku/>
                    <w:wordWrap/>
                    <w:overflowPunct/>
                    <w:topLinePunct w:val="0"/>
                    <w:bidi w:val="0"/>
                    <w:adjustRightInd/>
                    <w:snapToGrid/>
                    <w:spacing w:before="0" w:beforeLines="0" w:after="0" w:afterLines="0" w:line="240" w:lineRule="auto"/>
                    <w:ind w:right="0" w:firstLine="0" w:firstLineChars="0"/>
                    <w:jc w:val="center"/>
                    <w:textAlignment w:val="auto"/>
                    <w:rPr>
                      <w:rFonts w:hint="default" w:ascii="Times New Roman" w:hAnsi="Times New Roman" w:eastAsia="宋体" w:cs="Times New Roman"/>
                      <w:b w:val="0"/>
                      <w:bCs w:val="0"/>
                      <w:color w:val="000000"/>
                      <w:sz w:val="21"/>
                      <w:szCs w:val="21"/>
                      <w:highlight w:val="none"/>
                    </w:rPr>
                  </w:pPr>
                  <w:r>
                    <w:rPr>
                      <w:rFonts w:hint="eastAsia" w:cs="Times New Roman"/>
                      <w:b w:val="0"/>
                      <w:bCs w:val="0"/>
                      <w:color w:val="000000"/>
                      <w:sz w:val="21"/>
                      <w:szCs w:val="21"/>
                      <w:highlight w:val="none"/>
                      <w:lang w:val="en-US" w:eastAsia="zh-CN"/>
                    </w:rPr>
                    <w:t>项目产生的有机</w:t>
                  </w:r>
                  <w:r>
                    <w:rPr>
                      <w:rFonts w:hint="default" w:ascii="Times New Roman" w:hAnsi="Times New Roman" w:eastAsia="宋体" w:cs="Times New Roman"/>
                      <w:b w:val="0"/>
                      <w:bCs w:val="0"/>
                      <w:color w:val="000000"/>
                      <w:sz w:val="21"/>
                      <w:szCs w:val="21"/>
                      <w:highlight w:val="none"/>
                    </w:rPr>
                    <w:t>废气采用</w:t>
                  </w:r>
                  <w:r>
                    <w:rPr>
                      <w:rFonts w:hint="eastAsia" w:cs="Times New Roman"/>
                      <w:b w:val="0"/>
                      <w:bCs w:val="0"/>
                      <w:color w:val="000000"/>
                      <w:sz w:val="21"/>
                      <w:szCs w:val="21"/>
                      <w:highlight w:val="none"/>
                      <w:lang w:eastAsia="zh-CN"/>
                    </w:rPr>
                    <w:t>“</w:t>
                  </w:r>
                  <w:r>
                    <w:rPr>
                      <w:rFonts w:hint="default" w:ascii="Times New Roman" w:hAnsi="Times New Roman" w:eastAsia="宋体" w:cs="Times New Roman"/>
                      <w:b w:val="0"/>
                      <w:bCs w:val="0"/>
                      <w:color w:val="000000"/>
                      <w:sz w:val="21"/>
                      <w:szCs w:val="21"/>
                      <w:highlight w:val="none"/>
                      <w:lang w:eastAsia="zh-CN"/>
                    </w:rPr>
                    <w:t>二级</w:t>
                  </w:r>
                  <w:r>
                    <w:rPr>
                      <w:rFonts w:hint="default" w:ascii="Times New Roman" w:hAnsi="Times New Roman" w:eastAsia="宋体" w:cs="Times New Roman"/>
                      <w:b w:val="0"/>
                      <w:bCs w:val="0"/>
                      <w:color w:val="000000"/>
                      <w:sz w:val="21"/>
                      <w:szCs w:val="21"/>
                      <w:highlight w:val="none"/>
                    </w:rPr>
                    <w:t>活性炭</w:t>
                  </w:r>
                  <w:r>
                    <w:rPr>
                      <w:rFonts w:hint="default" w:ascii="Times New Roman" w:hAnsi="Times New Roman" w:eastAsia="宋体" w:cs="Times New Roman"/>
                      <w:b w:val="0"/>
                      <w:bCs w:val="0"/>
                      <w:color w:val="000000"/>
                      <w:sz w:val="21"/>
                      <w:szCs w:val="21"/>
                      <w:highlight w:val="none"/>
                      <w:lang w:eastAsia="zh-CN"/>
                    </w:rPr>
                    <w:t>吸附</w:t>
                  </w:r>
                  <w:r>
                    <w:rPr>
                      <w:rFonts w:hint="eastAsia" w:cs="Times New Roman"/>
                      <w:b w:val="0"/>
                      <w:bCs w:val="0"/>
                      <w:color w:val="000000"/>
                      <w:sz w:val="21"/>
                      <w:szCs w:val="21"/>
                      <w:highlight w:val="none"/>
                      <w:lang w:eastAsia="zh-CN"/>
                    </w:rPr>
                    <w:t>”</w:t>
                  </w:r>
                  <w:r>
                    <w:rPr>
                      <w:rFonts w:hint="default" w:ascii="Times New Roman" w:hAnsi="Times New Roman" w:eastAsia="宋体" w:cs="Times New Roman"/>
                      <w:b w:val="0"/>
                      <w:bCs w:val="0"/>
                      <w:color w:val="000000"/>
                      <w:sz w:val="21"/>
                      <w:szCs w:val="21"/>
                      <w:highlight w:val="none"/>
                    </w:rPr>
                    <w:t>工艺，属于可行的末端治理技术，可达标排放。</w:t>
                  </w:r>
                </w:p>
              </w:tc>
              <w:tc>
                <w:tcPr>
                  <w:tcW w:w="333" w:type="pct"/>
                  <w:tcBorders>
                    <w:tl2br w:val="nil"/>
                    <w:tr2bl w:val="nil"/>
                  </w:tcBorders>
                  <w:noWrap w:val="0"/>
                  <w:vAlign w:val="center"/>
                </w:tcPr>
                <w:p w14:paraId="10F08711">
                  <w:pPr>
                    <w:pStyle w:val="43"/>
                    <w:keepNext w:val="0"/>
                    <w:keepLines w:val="0"/>
                    <w:pageBreakBefore w:val="0"/>
                    <w:widowControl w:val="0"/>
                    <w:kinsoku/>
                    <w:wordWrap/>
                    <w:overflowPunct/>
                    <w:topLinePunct w:val="0"/>
                    <w:bidi w:val="0"/>
                    <w:adjustRightInd/>
                    <w:snapToGrid/>
                    <w:spacing w:before="0" w:beforeLines="0" w:after="0" w:afterLines="0" w:line="240" w:lineRule="auto"/>
                    <w:ind w:right="0" w:firstLine="0" w:firstLineChars="0"/>
                    <w:jc w:val="center"/>
                    <w:textAlignment w:val="auto"/>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相符</w:t>
                  </w:r>
                </w:p>
              </w:tc>
            </w:tr>
            <w:tr w14:paraId="13273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1" w:type="pct"/>
                  <w:vMerge w:val="continue"/>
                  <w:tcBorders>
                    <w:tl2br w:val="nil"/>
                    <w:tr2bl w:val="nil"/>
                  </w:tcBorders>
                  <w:noWrap w:val="0"/>
                  <w:vAlign w:val="center"/>
                </w:tcPr>
                <w:p w14:paraId="2B87E414">
                  <w:pPr>
                    <w:pStyle w:val="43"/>
                    <w:keepNext w:val="0"/>
                    <w:keepLines w:val="0"/>
                    <w:pageBreakBefore w:val="0"/>
                    <w:widowControl w:val="0"/>
                    <w:kinsoku/>
                    <w:wordWrap/>
                    <w:overflowPunct/>
                    <w:topLinePunct w:val="0"/>
                    <w:bidi w:val="0"/>
                    <w:adjustRightInd/>
                    <w:snapToGrid/>
                    <w:spacing w:before="0" w:beforeLines="0" w:after="0" w:afterLines="0" w:line="240" w:lineRule="auto"/>
                    <w:ind w:right="0" w:firstLine="0" w:firstLineChars="0"/>
                    <w:jc w:val="both"/>
                    <w:textAlignment w:val="auto"/>
                    <w:rPr>
                      <w:rFonts w:hint="default" w:ascii="Times New Roman" w:hAnsi="Times New Roman" w:eastAsia="宋体" w:cs="Times New Roman"/>
                      <w:b w:val="0"/>
                      <w:bCs w:val="0"/>
                      <w:color w:val="000000"/>
                      <w:sz w:val="21"/>
                      <w:szCs w:val="21"/>
                      <w:highlight w:val="none"/>
                    </w:rPr>
                  </w:pPr>
                </w:p>
              </w:tc>
              <w:tc>
                <w:tcPr>
                  <w:tcW w:w="737" w:type="pct"/>
                  <w:vMerge w:val="continue"/>
                  <w:tcBorders>
                    <w:tl2br w:val="nil"/>
                    <w:tr2bl w:val="nil"/>
                  </w:tcBorders>
                  <w:noWrap w:val="0"/>
                  <w:vAlign w:val="center"/>
                </w:tcPr>
                <w:p w14:paraId="31F7BEAB">
                  <w:pPr>
                    <w:pStyle w:val="43"/>
                    <w:keepNext w:val="0"/>
                    <w:keepLines w:val="0"/>
                    <w:pageBreakBefore w:val="0"/>
                    <w:widowControl w:val="0"/>
                    <w:kinsoku/>
                    <w:wordWrap/>
                    <w:overflowPunct/>
                    <w:topLinePunct w:val="0"/>
                    <w:bidi w:val="0"/>
                    <w:adjustRightInd/>
                    <w:snapToGrid/>
                    <w:spacing w:before="0" w:beforeLines="0" w:after="0" w:afterLines="0" w:line="240" w:lineRule="auto"/>
                    <w:ind w:right="0" w:firstLine="0" w:firstLineChars="0"/>
                    <w:jc w:val="both"/>
                    <w:textAlignment w:val="auto"/>
                    <w:rPr>
                      <w:rFonts w:hint="default" w:ascii="Times New Roman" w:hAnsi="Times New Roman" w:eastAsia="宋体" w:cs="Times New Roman"/>
                      <w:b w:val="0"/>
                      <w:bCs w:val="0"/>
                      <w:color w:val="000000"/>
                      <w:sz w:val="21"/>
                      <w:szCs w:val="21"/>
                      <w:highlight w:val="none"/>
                    </w:rPr>
                  </w:pPr>
                </w:p>
              </w:tc>
              <w:tc>
                <w:tcPr>
                  <w:tcW w:w="2701" w:type="pct"/>
                  <w:tcBorders>
                    <w:tl2br w:val="nil"/>
                    <w:tr2bl w:val="nil"/>
                  </w:tcBorders>
                  <w:noWrap w:val="0"/>
                  <w:vAlign w:val="center"/>
                </w:tcPr>
                <w:p w14:paraId="0E0DAC21">
                  <w:pPr>
                    <w:pStyle w:val="43"/>
                    <w:keepNext w:val="0"/>
                    <w:keepLines w:val="0"/>
                    <w:pageBreakBefore w:val="0"/>
                    <w:widowControl w:val="0"/>
                    <w:kinsoku/>
                    <w:wordWrap/>
                    <w:overflowPunct/>
                    <w:topLinePunct w:val="0"/>
                    <w:bidi w:val="0"/>
                    <w:adjustRightInd/>
                    <w:snapToGrid/>
                    <w:spacing w:before="0" w:beforeLines="0" w:after="0" w:afterLines="0" w:line="240" w:lineRule="auto"/>
                    <w:ind w:right="0" w:firstLine="0" w:firstLineChars="0"/>
                    <w:jc w:val="both"/>
                    <w:textAlignment w:val="auto"/>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对于低浓度VOCs的废气，有回收价值时可采用吸附技术、吸收技术对有机溶剂回收后达标排放；不宜回收时，可采用吸附浓缩燃烧技术、生物技术、吸收技术、等离子体技术或紫外光高级氧化技术等净化后达标排放。</w:t>
                  </w:r>
                </w:p>
              </w:tc>
              <w:tc>
                <w:tcPr>
                  <w:tcW w:w="1025" w:type="pct"/>
                  <w:vMerge w:val="continue"/>
                  <w:tcBorders>
                    <w:tl2br w:val="nil"/>
                    <w:tr2bl w:val="nil"/>
                  </w:tcBorders>
                  <w:noWrap w:val="0"/>
                  <w:vAlign w:val="center"/>
                </w:tcPr>
                <w:p w14:paraId="0907F6C0">
                  <w:pPr>
                    <w:pStyle w:val="43"/>
                    <w:keepNext w:val="0"/>
                    <w:keepLines w:val="0"/>
                    <w:pageBreakBefore w:val="0"/>
                    <w:widowControl w:val="0"/>
                    <w:kinsoku/>
                    <w:wordWrap/>
                    <w:overflowPunct/>
                    <w:topLinePunct w:val="0"/>
                    <w:bidi w:val="0"/>
                    <w:adjustRightInd/>
                    <w:snapToGrid/>
                    <w:spacing w:before="0" w:beforeLines="0" w:after="0" w:afterLines="0" w:line="240" w:lineRule="auto"/>
                    <w:ind w:right="0" w:firstLine="0" w:firstLineChars="0"/>
                    <w:jc w:val="both"/>
                    <w:textAlignment w:val="auto"/>
                    <w:rPr>
                      <w:rFonts w:hint="default" w:ascii="Times New Roman" w:hAnsi="Times New Roman" w:eastAsia="宋体" w:cs="Times New Roman"/>
                      <w:b w:val="0"/>
                      <w:bCs w:val="0"/>
                      <w:color w:val="000000"/>
                      <w:sz w:val="21"/>
                      <w:szCs w:val="21"/>
                      <w:highlight w:val="none"/>
                    </w:rPr>
                  </w:pPr>
                </w:p>
              </w:tc>
              <w:tc>
                <w:tcPr>
                  <w:tcW w:w="333" w:type="pct"/>
                  <w:tcBorders>
                    <w:tl2br w:val="nil"/>
                    <w:tr2bl w:val="nil"/>
                  </w:tcBorders>
                  <w:noWrap w:val="0"/>
                  <w:vAlign w:val="center"/>
                </w:tcPr>
                <w:p w14:paraId="73087371">
                  <w:pPr>
                    <w:pStyle w:val="43"/>
                    <w:keepNext w:val="0"/>
                    <w:keepLines w:val="0"/>
                    <w:pageBreakBefore w:val="0"/>
                    <w:widowControl w:val="0"/>
                    <w:kinsoku/>
                    <w:wordWrap/>
                    <w:overflowPunct/>
                    <w:topLinePunct w:val="0"/>
                    <w:bidi w:val="0"/>
                    <w:adjustRightInd/>
                    <w:snapToGrid/>
                    <w:spacing w:before="0" w:beforeLines="0" w:after="0" w:afterLines="0" w:line="240" w:lineRule="auto"/>
                    <w:ind w:right="0" w:firstLine="0" w:firstLineChars="0"/>
                    <w:jc w:val="center"/>
                    <w:textAlignment w:val="auto"/>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相符</w:t>
                  </w:r>
                </w:p>
              </w:tc>
            </w:tr>
            <w:tr w14:paraId="44433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1" w:type="pct"/>
                  <w:tcBorders>
                    <w:tl2br w:val="nil"/>
                    <w:tr2bl w:val="nil"/>
                  </w:tcBorders>
                  <w:noWrap w:val="0"/>
                  <w:vAlign w:val="center"/>
                </w:tcPr>
                <w:p w14:paraId="23C3D8A9">
                  <w:pPr>
                    <w:pStyle w:val="43"/>
                    <w:keepNext w:val="0"/>
                    <w:keepLines w:val="0"/>
                    <w:pageBreakBefore w:val="0"/>
                    <w:widowControl w:val="0"/>
                    <w:kinsoku/>
                    <w:wordWrap/>
                    <w:overflowPunct/>
                    <w:topLinePunct w:val="0"/>
                    <w:bidi w:val="0"/>
                    <w:adjustRightInd/>
                    <w:snapToGrid/>
                    <w:spacing w:before="0" w:beforeLines="0" w:after="0" w:afterLines="0" w:line="240" w:lineRule="auto"/>
                    <w:ind w:right="0" w:firstLine="0" w:firstLineChars="0"/>
                    <w:jc w:val="center"/>
                    <w:textAlignment w:val="auto"/>
                    <w:rPr>
                      <w:rFonts w:hint="default" w:ascii="Times New Roman" w:hAnsi="Times New Roman" w:eastAsia="宋体" w:cs="Times New Roman"/>
                      <w:b w:val="0"/>
                      <w:bCs w:val="0"/>
                      <w:color w:val="000000"/>
                      <w:sz w:val="21"/>
                      <w:szCs w:val="21"/>
                      <w:highlight w:val="none"/>
                      <w:lang w:eastAsia="zh-CN"/>
                    </w:rPr>
                  </w:pPr>
                  <w:r>
                    <w:rPr>
                      <w:rFonts w:hint="default" w:ascii="Times New Roman" w:hAnsi="Times New Roman" w:eastAsia="宋体" w:cs="Times New Roman"/>
                      <w:b w:val="0"/>
                      <w:bCs w:val="0"/>
                      <w:color w:val="000000"/>
                      <w:sz w:val="21"/>
                      <w:szCs w:val="21"/>
                      <w:highlight w:val="none"/>
                      <w:lang w:val="en-US" w:eastAsia="zh-CN"/>
                    </w:rPr>
                    <w:t>4</w:t>
                  </w:r>
                </w:p>
              </w:tc>
              <w:tc>
                <w:tcPr>
                  <w:tcW w:w="737" w:type="pct"/>
                  <w:tcBorders>
                    <w:tl2br w:val="nil"/>
                    <w:tr2bl w:val="nil"/>
                  </w:tcBorders>
                  <w:noWrap w:val="0"/>
                  <w:vAlign w:val="center"/>
                </w:tcPr>
                <w:p w14:paraId="225D80EC">
                  <w:pPr>
                    <w:pStyle w:val="43"/>
                    <w:keepNext w:val="0"/>
                    <w:keepLines w:val="0"/>
                    <w:pageBreakBefore w:val="0"/>
                    <w:widowControl w:val="0"/>
                    <w:kinsoku/>
                    <w:wordWrap/>
                    <w:overflowPunct/>
                    <w:topLinePunct w:val="0"/>
                    <w:bidi w:val="0"/>
                    <w:adjustRightInd/>
                    <w:snapToGrid/>
                    <w:spacing w:before="0" w:beforeLines="0" w:after="0" w:afterLines="0" w:line="240" w:lineRule="auto"/>
                    <w:ind w:right="0" w:firstLine="0" w:firstLineChars="0"/>
                    <w:jc w:val="center"/>
                    <w:textAlignment w:val="auto"/>
                    <w:rPr>
                      <w:rFonts w:hint="default" w:ascii="Times New Roman" w:hAnsi="Times New Roman" w:eastAsia="宋体" w:cs="Times New Roman"/>
                      <w:b w:val="0"/>
                      <w:bCs w:val="0"/>
                      <w:color w:val="000000"/>
                      <w:sz w:val="21"/>
                      <w:szCs w:val="21"/>
                      <w:highlight w:val="none"/>
                      <w:lang w:eastAsia="zh-CN"/>
                    </w:rPr>
                  </w:pPr>
                  <w:r>
                    <w:rPr>
                      <w:rFonts w:hint="default" w:ascii="Times New Roman" w:hAnsi="Times New Roman" w:eastAsia="宋体" w:cs="Times New Roman"/>
                      <w:b w:val="0"/>
                      <w:bCs w:val="0"/>
                      <w:color w:val="000000"/>
                      <w:sz w:val="21"/>
                      <w:szCs w:val="21"/>
                      <w:highlight w:val="none"/>
                    </w:rPr>
                    <w:t>《安徽省大气办关于深入开展挥发性有机物污染治理工作的通知》（皖大气办[2021]4 号</w:t>
                  </w:r>
                  <w:r>
                    <w:rPr>
                      <w:rFonts w:hint="default" w:ascii="Times New Roman" w:hAnsi="Times New Roman" w:eastAsia="宋体" w:cs="Times New Roman"/>
                      <w:b w:val="0"/>
                      <w:bCs w:val="0"/>
                      <w:color w:val="000000"/>
                      <w:sz w:val="21"/>
                      <w:szCs w:val="21"/>
                      <w:highlight w:val="none"/>
                      <w:lang w:eastAsia="zh-CN"/>
                    </w:rPr>
                    <w:t>）</w:t>
                  </w:r>
                </w:p>
              </w:tc>
              <w:tc>
                <w:tcPr>
                  <w:tcW w:w="2701" w:type="pct"/>
                  <w:tcBorders>
                    <w:tl2br w:val="nil"/>
                    <w:tr2bl w:val="nil"/>
                  </w:tcBorders>
                  <w:noWrap w:val="0"/>
                  <w:vAlign w:val="center"/>
                </w:tcPr>
                <w:p w14:paraId="64ABC31A">
                  <w:pPr>
                    <w:pStyle w:val="43"/>
                    <w:keepNext w:val="0"/>
                    <w:keepLines w:val="0"/>
                    <w:pageBreakBefore w:val="0"/>
                    <w:widowControl w:val="0"/>
                    <w:kinsoku/>
                    <w:wordWrap/>
                    <w:overflowPunct/>
                    <w:topLinePunct w:val="0"/>
                    <w:bidi w:val="0"/>
                    <w:adjustRightInd/>
                    <w:snapToGrid/>
                    <w:spacing w:before="0" w:beforeLines="0" w:after="0" w:afterLines="0" w:line="240" w:lineRule="auto"/>
                    <w:ind w:right="0" w:rightChars="0" w:firstLine="0" w:firstLineChars="0"/>
                    <w:jc w:val="both"/>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实施排污许可。建立健全以排污许可核发为中心的VOCs管控依据，在石油、化工、工业涂装、包装印刷、油品储运销五大领域全面推行排污许可制度，不断规范涉VOCs工业企业的排污许可登记管理，落实企业VOCs源头削减、过程控制和末端污染治理工作，推进企业自行监测台账落实和定期报告的具体规定落地，严厉处罚无证和不按证排污行为。</w:t>
                  </w:r>
                </w:p>
              </w:tc>
              <w:tc>
                <w:tcPr>
                  <w:tcW w:w="1025" w:type="pct"/>
                  <w:tcBorders>
                    <w:tl2br w:val="nil"/>
                    <w:tr2bl w:val="nil"/>
                  </w:tcBorders>
                  <w:noWrap w:val="0"/>
                  <w:vAlign w:val="center"/>
                </w:tcPr>
                <w:p w14:paraId="66D55D5E">
                  <w:pPr>
                    <w:pStyle w:val="43"/>
                    <w:keepNext w:val="0"/>
                    <w:keepLines w:val="0"/>
                    <w:pageBreakBefore w:val="0"/>
                    <w:widowControl w:val="0"/>
                    <w:kinsoku/>
                    <w:wordWrap/>
                    <w:overflowPunct/>
                    <w:topLinePunct w:val="0"/>
                    <w:bidi w:val="0"/>
                    <w:adjustRightInd/>
                    <w:snapToGrid/>
                    <w:spacing w:before="0" w:beforeLines="0" w:after="0" w:afterLines="0" w:line="240" w:lineRule="auto"/>
                    <w:ind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eastAsia="zh-CN"/>
                    </w:rPr>
                    <w:t>企业</w:t>
                  </w:r>
                  <w:r>
                    <w:rPr>
                      <w:rFonts w:hint="eastAsia" w:ascii="Times New Roman" w:hAnsi="Times New Roman" w:eastAsia="宋体" w:cs="Times New Roman"/>
                      <w:b w:val="0"/>
                      <w:bCs w:val="0"/>
                      <w:color w:val="auto"/>
                      <w:sz w:val="21"/>
                      <w:szCs w:val="21"/>
                      <w:highlight w:val="none"/>
                      <w:lang w:eastAsia="zh-CN"/>
                    </w:rPr>
                    <w:t>按照排污许可要求排污，</w:t>
                  </w:r>
                  <w:r>
                    <w:rPr>
                      <w:rFonts w:hint="default" w:ascii="Times New Roman" w:hAnsi="Times New Roman" w:eastAsia="宋体" w:cs="Times New Roman"/>
                      <w:b w:val="0"/>
                      <w:bCs w:val="0"/>
                      <w:color w:val="auto"/>
                      <w:sz w:val="21"/>
                      <w:szCs w:val="21"/>
                      <w:highlight w:val="none"/>
                    </w:rPr>
                    <w:t>排污单位对申请材料的真实性、合法性、完整性负责。</w:t>
                  </w:r>
                </w:p>
              </w:tc>
              <w:tc>
                <w:tcPr>
                  <w:tcW w:w="333" w:type="pct"/>
                  <w:tcBorders>
                    <w:tl2br w:val="nil"/>
                    <w:tr2bl w:val="nil"/>
                  </w:tcBorders>
                  <w:noWrap w:val="0"/>
                  <w:vAlign w:val="center"/>
                </w:tcPr>
                <w:p w14:paraId="42A60B3C">
                  <w:pPr>
                    <w:pStyle w:val="43"/>
                    <w:keepNext w:val="0"/>
                    <w:keepLines w:val="0"/>
                    <w:pageBreakBefore w:val="0"/>
                    <w:widowControl w:val="0"/>
                    <w:kinsoku/>
                    <w:wordWrap/>
                    <w:overflowPunct/>
                    <w:topLinePunct w:val="0"/>
                    <w:bidi w:val="0"/>
                    <w:adjustRightInd/>
                    <w:snapToGrid/>
                    <w:spacing w:before="0" w:beforeLines="0" w:after="0" w:afterLines="0" w:line="240" w:lineRule="auto"/>
                    <w:ind w:right="0" w:firstLine="0" w:firstLineChars="0"/>
                    <w:jc w:val="center"/>
                    <w:textAlignment w:val="auto"/>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相符</w:t>
                  </w:r>
                </w:p>
              </w:tc>
            </w:tr>
          </w:tbl>
          <w:p w14:paraId="3B8B7429">
            <w:pPr>
              <w:bidi w:val="0"/>
              <w:spacing w:line="360" w:lineRule="auto"/>
              <w:ind w:firstLine="480" w:firstLineChars="200"/>
              <w:jc w:val="both"/>
              <w:rPr>
                <w:rFonts w:hint="default" w:ascii="Times New Roman" w:hAnsi="Times New Roman" w:cs="Times New Roman"/>
                <w:b w:val="0"/>
                <w:bCs/>
                <w:color w:val="0000FF"/>
                <w:sz w:val="24"/>
                <w:lang w:eastAsia="zh-CN"/>
              </w:rPr>
            </w:pPr>
          </w:p>
        </w:tc>
      </w:tr>
    </w:tbl>
    <w:p w14:paraId="79E7E6C2">
      <w:pPr>
        <w:bidi w:val="0"/>
        <w:rPr>
          <w:rFonts w:hint="default" w:ascii="Times New Roman" w:hAnsi="Times New Roman" w:cs="Times New Roman"/>
          <w:color w:val="0000FF"/>
        </w:rPr>
        <w:sectPr>
          <w:footerReference r:id="rId4" w:type="default"/>
          <w:pgSz w:w="11906" w:h="16838"/>
          <w:pgMar w:top="1417" w:right="1417" w:bottom="1417" w:left="1417" w:header="851" w:footer="992" w:gutter="0"/>
          <w:pgNumType w:fmt="decimal" w:start="1"/>
          <w:cols w:space="720" w:num="1"/>
          <w:rtlGutter w:val="0"/>
          <w:docGrid w:type="lines" w:linePitch="312" w:charSpace="0"/>
        </w:sectPr>
      </w:pPr>
    </w:p>
    <w:p w14:paraId="488D14F1">
      <w:pPr>
        <w:pStyle w:val="2"/>
        <w:bidi w:val="0"/>
        <w:rPr>
          <w:rFonts w:hint="default"/>
        </w:rPr>
      </w:pPr>
      <w:bookmarkStart w:id="5" w:name="_Toc30489"/>
      <w:r>
        <w:rPr>
          <w:rFonts w:hint="eastAsia" w:ascii="宋体" w:hAnsi="宋体" w:eastAsia="宋体" w:cs="宋体"/>
          <w:sz w:val="32"/>
          <w:szCs w:val="32"/>
        </w:rPr>
        <w:t>二、建设项目工程分析</w:t>
      </w:r>
      <w:bookmarkEnd w:id="5"/>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85" w:type="dxa"/>
          <w:left w:w="108" w:type="dxa"/>
          <w:bottom w:w="85" w:type="dxa"/>
          <w:right w:w="108" w:type="dxa"/>
        </w:tblCellMar>
      </w:tblPr>
      <w:tblGrid>
        <w:gridCol w:w="456"/>
        <w:gridCol w:w="8832"/>
      </w:tblGrid>
      <w:tr w14:paraId="7A042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trHeight w:val="90" w:hRule="atLeast"/>
          <w:jc w:val="center"/>
        </w:trPr>
        <w:tc>
          <w:tcPr>
            <w:tcW w:w="738" w:type="dxa"/>
            <w:noWrap w:val="0"/>
            <w:vAlign w:val="center"/>
          </w:tcPr>
          <w:p w14:paraId="5B4F88B6">
            <w:pPr>
              <w:jc w:val="center"/>
              <w:rPr>
                <w:rFonts w:hint="default" w:ascii="Times New Roman" w:hAnsi="Times New Roman" w:cs="Times New Roman"/>
                <w:color w:val="0000FF"/>
                <w:sz w:val="24"/>
                <w:szCs w:val="22"/>
                <w:vertAlign w:val="baseline"/>
              </w:rPr>
            </w:pPr>
            <w:r>
              <w:rPr>
                <w:rFonts w:hint="default" w:ascii="Times New Roman" w:hAnsi="Times New Roman" w:cs="Times New Roman"/>
                <w:color w:val="auto"/>
                <w:sz w:val="24"/>
                <w:szCs w:val="22"/>
                <w:vertAlign w:val="baseline"/>
              </w:rPr>
              <w:t>建设内容</w:t>
            </w:r>
          </w:p>
        </w:tc>
        <w:tc>
          <w:tcPr>
            <w:tcW w:w="8550" w:type="dxa"/>
            <w:noWrap w:val="0"/>
            <w:vAlign w:val="top"/>
          </w:tcPr>
          <w:p w14:paraId="6613E75C">
            <w:pPr>
              <w:spacing w:line="360" w:lineRule="auto"/>
              <w:ind w:firstLine="482" w:firstLineChars="200"/>
              <w:jc w:val="both"/>
              <w:rPr>
                <w:rFonts w:hint="default" w:ascii="Times New Roman" w:hAnsi="Times New Roman" w:cs="Times New Roman"/>
                <w:b/>
                <w:bCs/>
                <w:color w:val="auto"/>
                <w:sz w:val="24"/>
                <w:szCs w:val="24"/>
                <w:vertAlign w:val="baseline"/>
                <w:lang w:val="en-US" w:eastAsia="zh-CN"/>
              </w:rPr>
            </w:pPr>
            <w:r>
              <w:rPr>
                <w:rFonts w:hint="default" w:ascii="Times New Roman" w:hAnsi="Times New Roman" w:cs="Times New Roman"/>
                <w:b/>
                <w:bCs/>
                <w:color w:val="auto"/>
                <w:sz w:val="24"/>
                <w:szCs w:val="24"/>
                <w:vertAlign w:val="baseline"/>
                <w:lang w:val="en-US" w:eastAsia="zh-CN"/>
              </w:rPr>
              <w:t>1、项目由来</w:t>
            </w:r>
          </w:p>
          <w:p w14:paraId="6B1F735B">
            <w:pPr>
              <w:spacing w:line="360" w:lineRule="auto"/>
              <w:ind w:firstLine="480" w:firstLineChars="200"/>
              <w:jc w:val="both"/>
              <w:rPr>
                <w:rFonts w:hint="eastAsia"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rPr>
              <w:t>安徽省三江塑业有限公司于2023年4月在霍山县市场监督管理局注册登记，业务涉及塑料制品制造；塑料包装箱及容器制造；塑料加工专用设备制造；制药专用设备制造；泵及真空设备制造；环境保护专用设备制造；泵及真空设备销售；环境保</w:t>
            </w:r>
            <w:r>
              <w:rPr>
                <w:rFonts w:hint="eastAsia" w:cs="Times New Roman"/>
                <w:lang w:eastAsia="zh-CN"/>
              </w:rPr>
              <w:t>护</w:t>
            </w:r>
            <w:r>
              <w:rPr>
                <w:rFonts w:hint="default" w:ascii="Times New Roman" w:hAnsi="Times New Roman" w:eastAsia="宋体" w:cs="Times New Roman"/>
              </w:rPr>
              <w:t>专用设备销售；塑料制品销售（除许可业务外，可自主依法经营法律法规非禁止或限制的项目）。安徽省三江塑业有限公司</w:t>
            </w:r>
            <w:r>
              <w:rPr>
                <w:rFonts w:hint="eastAsia" w:ascii="Times New Roman" w:hAnsi="Times New Roman" w:eastAsia="宋体" w:cs="Times New Roman"/>
                <w:lang w:val="en-US" w:eastAsia="zh-CN"/>
              </w:rPr>
              <w:t>于</w:t>
            </w:r>
            <w:r>
              <w:rPr>
                <w:rFonts w:hint="default" w:ascii="Times New Roman" w:hAnsi="Times New Roman" w:eastAsia="宋体" w:cs="Times New Roman"/>
              </w:rPr>
              <w:t>202</w:t>
            </w:r>
            <w:r>
              <w:rPr>
                <w:rFonts w:hint="default" w:ascii="Times New Roman" w:hAnsi="Times New Roman" w:eastAsia="宋体" w:cs="Times New Roman"/>
                <w:lang w:val="en-US" w:eastAsia="zh-CN"/>
              </w:rPr>
              <w:t>4</w:t>
            </w:r>
            <w:r>
              <w:rPr>
                <w:rFonts w:hint="default" w:ascii="Times New Roman" w:hAnsi="Times New Roman" w:eastAsia="宋体" w:cs="Times New Roman"/>
              </w:rPr>
              <w:t>年</w:t>
            </w:r>
            <w:r>
              <w:rPr>
                <w:rFonts w:hint="default" w:ascii="Times New Roman" w:hAnsi="Times New Roman" w:eastAsia="宋体" w:cs="Times New Roman"/>
                <w:lang w:val="en-US" w:eastAsia="zh-CN"/>
              </w:rPr>
              <w:t>1</w:t>
            </w:r>
            <w:r>
              <w:rPr>
                <w:rFonts w:hint="default" w:ascii="Times New Roman" w:hAnsi="Times New Roman" w:eastAsia="宋体" w:cs="Times New Roman"/>
              </w:rPr>
              <w:t>月</w:t>
            </w:r>
            <w:r>
              <w:rPr>
                <w:rFonts w:hint="default" w:ascii="Times New Roman" w:hAnsi="Times New Roman" w:eastAsia="宋体" w:cs="Times New Roman"/>
                <w:lang w:val="en-US" w:eastAsia="zh-CN"/>
              </w:rPr>
              <w:t>25</w:t>
            </w:r>
            <w:r>
              <w:rPr>
                <w:rFonts w:hint="default" w:ascii="Times New Roman" w:hAnsi="Times New Roman" w:eastAsia="宋体" w:cs="Times New Roman"/>
              </w:rPr>
              <w:t>日获得了霍山县发展和改革委员会项目备案表，项目编码：2307-341525-04-01-788123。</w:t>
            </w:r>
            <w:r>
              <w:rPr>
                <w:rFonts w:hint="eastAsia" w:cs="Times New Roman"/>
                <w:b w:val="0"/>
                <w:bCs w:val="0"/>
                <w:color w:val="auto"/>
                <w:sz w:val="24"/>
                <w:szCs w:val="24"/>
                <w:vertAlign w:val="baseline"/>
                <w:lang w:val="en-US" w:eastAsia="zh-CN"/>
              </w:rPr>
              <w:t>项目备案分二期实施。一期建设项目总投资3000万元，项目位于</w:t>
            </w:r>
            <w:r>
              <w:rPr>
                <w:rFonts w:hint="default" w:ascii="Times New Roman" w:hAnsi="Times New Roman" w:eastAsia="宋体" w:cs="Times New Roman"/>
                <w:highlight w:val="none"/>
              </w:rPr>
              <w:t>霍山县诸佛庵镇狮山村</w:t>
            </w:r>
            <w:r>
              <w:rPr>
                <w:rFonts w:hint="eastAsia" w:ascii="宋体" w:hAnsi="宋体" w:cs="宋体"/>
                <w:sz w:val="24"/>
                <w:szCs w:val="24"/>
                <w:lang w:eastAsia="zh-CN"/>
              </w:rPr>
              <w:t>穆家畈组</w:t>
            </w:r>
            <w:r>
              <w:rPr>
                <w:rFonts w:hint="eastAsia" w:ascii="宋体" w:hAnsi="宋体" w:eastAsia="宋体" w:cs="宋体"/>
                <w:sz w:val="24"/>
                <w:szCs w:val="24"/>
                <w:lang w:eastAsia="zh-CN"/>
              </w:rPr>
              <w:t>，</w:t>
            </w:r>
            <w:r>
              <w:rPr>
                <w:rFonts w:hint="eastAsia" w:cs="Times New Roman"/>
                <w:b w:val="0"/>
                <w:bCs w:val="0"/>
                <w:color w:val="auto"/>
                <w:sz w:val="24"/>
                <w:szCs w:val="24"/>
                <w:vertAlign w:val="baseline"/>
                <w:lang w:val="en-US" w:eastAsia="zh-CN"/>
              </w:rPr>
              <w:t>占地面积8616平方米，总建筑面积3867.91平方米，新安装符合国家产业政策的智能化新型PP管材和环保设施生产线共2条，年产各类PP管材和环保设备3万套；二期总投资8000万元，新征土地约15亩，新建3栋厂房约8000m</w:t>
            </w:r>
            <w:r>
              <w:rPr>
                <w:rFonts w:hint="eastAsia" w:cs="Times New Roman"/>
                <w:b w:val="0"/>
                <w:bCs w:val="0"/>
                <w:color w:val="auto"/>
                <w:sz w:val="24"/>
                <w:szCs w:val="24"/>
                <w:vertAlign w:val="superscript"/>
                <w:lang w:val="en-US" w:eastAsia="zh-CN"/>
              </w:rPr>
              <w:t>2</w:t>
            </w:r>
            <w:r>
              <w:rPr>
                <w:rFonts w:hint="eastAsia" w:cs="Times New Roman"/>
                <w:b w:val="0"/>
                <w:bCs w:val="0"/>
                <w:color w:val="auto"/>
                <w:sz w:val="24"/>
                <w:szCs w:val="24"/>
                <w:vertAlign w:val="baseline"/>
                <w:lang w:val="en-US" w:eastAsia="zh-CN"/>
              </w:rPr>
              <w:t>，新安装符合国家产业政策的智能化新型PP管材和环保设施生产线共6条（详见附件9和附件10，企业招商引资协议书和企业分期建设情况说明）。由于二期建设征地位置尚未确定，故本次环境影响评价仅对一期建设项目进行评价，二期建设不在本次评价范围内。</w:t>
            </w:r>
          </w:p>
          <w:p w14:paraId="278DB2FF">
            <w:pPr>
              <w:spacing w:line="360" w:lineRule="auto"/>
              <w:ind w:firstLine="482" w:firstLineChars="200"/>
              <w:jc w:val="both"/>
              <w:rPr>
                <w:rFonts w:hint="default" w:eastAsia="宋体" w:cs="Times New Roman"/>
                <w:b/>
                <w:bCs/>
                <w:color w:val="auto"/>
                <w:sz w:val="24"/>
                <w:szCs w:val="24"/>
                <w:vertAlign w:val="baseline"/>
                <w:lang w:val="en-US" w:eastAsia="zh-CN"/>
              </w:rPr>
            </w:pPr>
            <w:r>
              <w:rPr>
                <w:rFonts w:hint="eastAsia" w:eastAsia="宋体" w:cs="Times New Roman"/>
                <w:b/>
                <w:bCs/>
                <w:color w:val="auto"/>
                <w:sz w:val="24"/>
                <w:szCs w:val="24"/>
                <w:vertAlign w:val="baseline"/>
                <w:lang w:val="en-US" w:eastAsia="zh-CN"/>
              </w:rPr>
              <w:t>2、项目环境影响评价及排污许可类别判定</w:t>
            </w:r>
          </w:p>
          <w:p w14:paraId="05E68C14">
            <w:pPr>
              <w:spacing w:line="360" w:lineRule="auto"/>
              <w:ind w:firstLine="480" w:firstLineChars="200"/>
              <w:jc w:val="both"/>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lang w:eastAsia="zh-CN"/>
              </w:rPr>
              <w:t>按照《中华人民共和国环境影响评价法》和《建设项目环境保护管理条例》的有关规定，建设项目需履行环境影响评价手续。根据《国民经济行业分类》（GB/T 4754-2017），本项目行业类别为塑料板、管、型材制造C2922，依据《建设项目环境影响评价分类管理名录》（2021年版）的有关规定，本项目属于名录中：</w:t>
            </w:r>
            <w:r>
              <w:rPr>
                <w:rFonts w:hint="eastAsia" w:ascii="Times New Roman" w:hAnsi="Times New Roman" w:cs="Times New Roman"/>
                <w:lang w:eastAsia="zh-CN"/>
              </w:rPr>
              <w:t>“</w:t>
            </w:r>
            <w:r>
              <w:rPr>
                <w:rFonts w:hint="default" w:ascii="Times New Roman" w:hAnsi="Times New Roman" w:eastAsia="宋体" w:cs="Times New Roman"/>
                <w:lang w:eastAsia="zh-CN"/>
              </w:rPr>
              <w:t>二十六、橡胶和塑料制品业29</w:t>
            </w:r>
            <w:r>
              <w:rPr>
                <w:rFonts w:hint="eastAsia" w:ascii="Times New Roman" w:hAnsi="Times New Roman" w:cs="Times New Roman"/>
                <w:lang w:val="en-US" w:eastAsia="zh-CN"/>
              </w:rPr>
              <w:t>-</w:t>
            </w:r>
            <w:r>
              <w:rPr>
                <w:rFonts w:hint="default" w:ascii="Times New Roman" w:hAnsi="Times New Roman" w:eastAsia="宋体" w:cs="Times New Roman"/>
                <w:lang w:eastAsia="zh-CN"/>
              </w:rPr>
              <w:t>53</w:t>
            </w:r>
            <w:r>
              <w:rPr>
                <w:rFonts w:hint="eastAsia" w:ascii="Times New Roman" w:hAnsi="Times New Roman" w:cs="Times New Roman"/>
                <w:lang w:eastAsia="zh-CN"/>
              </w:rPr>
              <w:t>、</w:t>
            </w:r>
            <w:r>
              <w:rPr>
                <w:rFonts w:hint="default" w:ascii="Times New Roman" w:hAnsi="Times New Roman" w:eastAsia="宋体" w:cs="Times New Roman"/>
                <w:lang w:eastAsia="zh-CN"/>
              </w:rPr>
              <w:t>塑料制品业292</w:t>
            </w:r>
            <w:r>
              <w:rPr>
                <w:rFonts w:hint="eastAsia" w:cs="Times New Roman"/>
                <w:lang w:eastAsia="zh-CN"/>
              </w:rPr>
              <w:t>”</w:t>
            </w:r>
            <w:r>
              <w:rPr>
                <w:rFonts w:hint="default" w:ascii="Times New Roman" w:hAnsi="Times New Roman" w:eastAsia="宋体" w:cs="Times New Roman"/>
                <w:lang w:eastAsia="zh-CN"/>
              </w:rPr>
              <w:t>中的</w:t>
            </w:r>
            <w:r>
              <w:rPr>
                <w:rFonts w:hint="eastAsia" w:cs="Times New Roman"/>
                <w:lang w:eastAsia="zh-CN"/>
              </w:rPr>
              <w:t>“</w:t>
            </w:r>
            <w:r>
              <w:rPr>
                <w:rFonts w:hint="default" w:ascii="Times New Roman" w:hAnsi="Times New Roman" w:eastAsia="宋体" w:cs="Times New Roman"/>
                <w:lang w:eastAsia="zh-CN"/>
              </w:rPr>
              <w:t>其他（年用非溶剂型低VOCs含量涂料10吨以下的除外）</w:t>
            </w:r>
            <w:r>
              <w:rPr>
                <w:rFonts w:hint="eastAsia" w:cs="Times New Roman"/>
                <w:lang w:eastAsia="zh-CN"/>
              </w:rPr>
              <w:t>”</w:t>
            </w:r>
            <w:r>
              <w:rPr>
                <w:rFonts w:hint="default" w:ascii="Times New Roman" w:hAnsi="Times New Roman" w:eastAsia="宋体" w:cs="Times New Roman"/>
                <w:lang w:eastAsia="zh-CN"/>
              </w:rPr>
              <w:t>，</w:t>
            </w:r>
            <w:r>
              <w:rPr>
                <w:rFonts w:hint="eastAsia" w:cs="Times New Roman"/>
                <w:lang w:val="en-US" w:eastAsia="zh-CN"/>
              </w:rPr>
              <w:t>本项目采用外购新料进行生产，不外购再生料进行生产加工，不涉及电镀工艺，且不使用胶粘剂和涂料等，</w:t>
            </w:r>
            <w:r>
              <w:rPr>
                <w:rFonts w:hint="default" w:ascii="Times New Roman" w:hAnsi="Times New Roman" w:eastAsia="宋体" w:cs="Times New Roman"/>
                <w:lang w:eastAsia="zh-CN"/>
              </w:rPr>
              <w:t>因此项目应编制环境影响报告表</w:t>
            </w:r>
            <w:r>
              <w:rPr>
                <w:rFonts w:hint="default" w:ascii="Times New Roman" w:hAnsi="Times New Roman" w:eastAsia="宋体" w:cs="Times New Roman"/>
                <w:b w:val="0"/>
                <w:bCs w:val="0"/>
                <w:color w:val="auto"/>
                <w:sz w:val="24"/>
                <w:szCs w:val="24"/>
                <w:vertAlign w:val="baseline"/>
                <w:lang w:val="en-US" w:eastAsia="zh-CN"/>
              </w:rPr>
              <w:t>。</w:t>
            </w:r>
          </w:p>
          <w:p w14:paraId="010ABF85">
            <w:pPr>
              <w:bidi w:val="0"/>
              <w:spacing w:line="360" w:lineRule="auto"/>
              <w:jc w:val="center"/>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表2-</w:t>
            </w:r>
            <w:r>
              <w:rPr>
                <w:rFonts w:hint="eastAsia" w:cs="Times New Roman"/>
                <w:b/>
                <w:bCs/>
                <w:color w:val="auto"/>
                <w:sz w:val="24"/>
                <w:szCs w:val="24"/>
                <w:lang w:val="en-US" w:eastAsia="zh-CN"/>
              </w:rPr>
              <w:t>1</w:t>
            </w:r>
            <w:r>
              <w:rPr>
                <w:rFonts w:hint="default" w:ascii="Times New Roman" w:hAnsi="Times New Roman" w:cs="Times New Roman"/>
                <w:b/>
                <w:bCs/>
                <w:color w:val="auto"/>
                <w:sz w:val="24"/>
                <w:szCs w:val="24"/>
                <w:lang w:val="en-US" w:eastAsia="zh-CN"/>
              </w:rPr>
              <w:t xml:space="preserve">  环评及排污许可类别判定一览表</w:t>
            </w:r>
          </w:p>
          <w:tbl>
            <w:tblPr>
              <w:tblStyle w:val="2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9"/>
              <w:gridCol w:w="1566"/>
              <w:gridCol w:w="3299"/>
              <w:gridCol w:w="1970"/>
              <w:gridCol w:w="1120"/>
            </w:tblGrid>
            <w:tr w14:paraId="5FD55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1287" w:type="pct"/>
                  <w:gridSpan w:val="2"/>
                  <w:vMerge w:val="restart"/>
                  <w:vAlign w:val="center"/>
                </w:tcPr>
                <w:p w14:paraId="21601D8F">
                  <w:pPr>
                    <w:pStyle w:val="75"/>
                    <w:spacing w:line="240" w:lineRule="auto"/>
                    <w:ind w:left="0" w:leftChars="0" w:firstLine="0" w:firstLineChars="0"/>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项目类别</w:t>
                  </w:r>
                </w:p>
              </w:tc>
              <w:tc>
                <w:tcPr>
                  <w:tcW w:w="3712" w:type="pct"/>
                  <w:gridSpan w:val="3"/>
                  <w:tcBorders>
                    <w:right w:val="single" w:color="000000" w:sz="4" w:space="0"/>
                  </w:tcBorders>
                  <w:vAlign w:val="center"/>
                </w:tcPr>
                <w:p w14:paraId="07DE893B">
                  <w:pPr>
                    <w:pStyle w:val="75"/>
                    <w:spacing w:line="240" w:lineRule="auto"/>
                    <w:ind w:left="0" w:leftChars="0" w:firstLine="0" w:firstLineChars="0"/>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环境影响评价类别</w:t>
                  </w:r>
                </w:p>
              </w:tc>
            </w:tr>
            <w:tr w14:paraId="692CB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1287" w:type="pct"/>
                  <w:gridSpan w:val="2"/>
                  <w:vMerge w:val="continue"/>
                  <w:vAlign w:val="center"/>
                </w:tcPr>
                <w:p w14:paraId="00427CB8">
                  <w:pPr>
                    <w:pStyle w:val="75"/>
                    <w:spacing w:line="240" w:lineRule="auto"/>
                    <w:ind w:left="0" w:leftChars="0" w:firstLine="0" w:firstLineChars="0"/>
                    <w:jc w:val="center"/>
                    <w:rPr>
                      <w:rFonts w:hint="default" w:ascii="Times New Roman" w:hAnsi="Times New Roman" w:eastAsia="宋体" w:cs="Times New Roman"/>
                      <w:sz w:val="21"/>
                      <w:szCs w:val="21"/>
                      <w:vertAlign w:val="baseline"/>
                      <w:lang w:eastAsia="zh-CN"/>
                    </w:rPr>
                  </w:pPr>
                </w:p>
              </w:tc>
              <w:tc>
                <w:tcPr>
                  <w:tcW w:w="1917" w:type="pct"/>
                  <w:tcBorders>
                    <w:right w:val="single" w:color="auto" w:sz="4" w:space="0"/>
                  </w:tcBorders>
                  <w:vAlign w:val="center"/>
                </w:tcPr>
                <w:p w14:paraId="20420485">
                  <w:pPr>
                    <w:pStyle w:val="75"/>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报告书</w:t>
                  </w:r>
                </w:p>
              </w:tc>
              <w:tc>
                <w:tcPr>
                  <w:tcW w:w="1145" w:type="pct"/>
                  <w:tcBorders>
                    <w:right w:val="single" w:color="auto" w:sz="4" w:space="0"/>
                  </w:tcBorders>
                  <w:vAlign w:val="center"/>
                </w:tcPr>
                <w:p w14:paraId="635ABE05">
                  <w:pPr>
                    <w:pStyle w:val="75"/>
                    <w:spacing w:line="240" w:lineRule="auto"/>
                    <w:ind w:left="0" w:leftChars="0" w:firstLine="0" w:firstLineChars="0"/>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报告表</w:t>
                  </w:r>
                </w:p>
              </w:tc>
              <w:tc>
                <w:tcPr>
                  <w:tcW w:w="649" w:type="pct"/>
                  <w:tcBorders>
                    <w:right w:val="single" w:color="000000" w:sz="4" w:space="0"/>
                  </w:tcBorders>
                  <w:vAlign w:val="center"/>
                </w:tcPr>
                <w:p w14:paraId="34337269">
                  <w:pPr>
                    <w:pStyle w:val="75"/>
                    <w:spacing w:line="240" w:lineRule="auto"/>
                    <w:ind w:left="0" w:leftChars="0" w:firstLine="0" w:firstLineChars="0"/>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登记表</w:t>
                  </w:r>
                </w:p>
              </w:tc>
            </w:tr>
            <w:tr w14:paraId="5B512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tcBorders>
                    <w:right w:val="single" w:color="000000" w:sz="4" w:space="0"/>
                  </w:tcBorders>
                  <w:vAlign w:val="center"/>
                </w:tcPr>
                <w:p w14:paraId="666C013C">
                  <w:pPr>
                    <w:pStyle w:val="75"/>
                    <w:spacing w:line="240" w:lineRule="auto"/>
                    <w:ind w:left="0" w:leftChars="0" w:firstLine="0" w:firstLineChars="0"/>
                    <w:jc w:val="left"/>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二十六、橡胶和塑料制品业 29</w:t>
                  </w:r>
                </w:p>
              </w:tc>
            </w:tr>
            <w:tr w14:paraId="7749B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7" w:type="pct"/>
                  <w:vAlign w:val="center"/>
                </w:tcPr>
                <w:p w14:paraId="66C4AB4E">
                  <w:pPr>
                    <w:pStyle w:val="75"/>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53</w:t>
                  </w:r>
                </w:p>
              </w:tc>
              <w:tc>
                <w:tcPr>
                  <w:tcW w:w="910" w:type="pct"/>
                  <w:vAlign w:val="center"/>
                </w:tcPr>
                <w:p w14:paraId="486BDCFF">
                  <w:pPr>
                    <w:pStyle w:val="75"/>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塑料制品业</w:t>
                  </w:r>
                </w:p>
                <w:p w14:paraId="6CAD67D6">
                  <w:pPr>
                    <w:pStyle w:val="75"/>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292</w:t>
                  </w:r>
                </w:p>
              </w:tc>
              <w:tc>
                <w:tcPr>
                  <w:tcW w:w="1917" w:type="pct"/>
                  <w:vAlign w:val="center"/>
                </w:tcPr>
                <w:p w14:paraId="24B2FEE9">
                  <w:pPr>
                    <w:pStyle w:val="75"/>
                    <w:spacing w:line="240" w:lineRule="auto"/>
                    <w:ind w:left="0" w:leftChars="0" w:firstLine="0" w:firstLineChars="0"/>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以再生塑料为原料生产的；有电镀工艺的；年用溶剂型胶粘剂10吨及以上的；年用溶剂型涂料（含稀释剂）10吨及以上的</w:t>
                  </w:r>
                </w:p>
              </w:tc>
              <w:tc>
                <w:tcPr>
                  <w:tcW w:w="1145" w:type="pct"/>
                  <w:vAlign w:val="center"/>
                </w:tcPr>
                <w:p w14:paraId="2ACDDB02">
                  <w:pPr>
                    <w:pStyle w:val="75"/>
                    <w:spacing w:line="240" w:lineRule="auto"/>
                    <w:ind w:left="0" w:leftChars="0" w:firstLine="0" w:firstLineChars="0"/>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b/>
                      <w:bCs/>
                      <w:sz w:val="21"/>
                      <w:szCs w:val="21"/>
                      <w:vertAlign w:val="baseline"/>
                      <w:lang w:eastAsia="zh-CN"/>
                    </w:rPr>
                    <w:t>其他（年用非溶剂型低VOCs含量涂料10吨以下的除外）</w:t>
                  </w:r>
                </w:p>
              </w:tc>
              <w:tc>
                <w:tcPr>
                  <w:tcW w:w="649" w:type="pct"/>
                  <w:tcBorders>
                    <w:right w:val="single" w:color="000000" w:sz="4" w:space="0"/>
                  </w:tcBorders>
                  <w:vAlign w:val="center"/>
                </w:tcPr>
                <w:p w14:paraId="41196642">
                  <w:pPr>
                    <w:pStyle w:val="75"/>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w:t>
                  </w:r>
                </w:p>
              </w:tc>
            </w:tr>
          </w:tbl>
          <w:p w14:paraId="05EF0AA4">
            <w:p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对照</w:t>
            </w:r>
            <w:r>
              <w:rPr>
                <w:rFonts w:hint="default" w:ascii="Times New Roman" w:hAnsi="Times New Roman" w:eastAsia="宋体" w:cs="Times New Roman"/>
              </w:rPr>
              <w:t>《固定污染源排污许可分类管理名录（2019 年版）》，本项目排污许可管理类别为</w:t>
            </w:r>
            <w:r>
              <w:rPr>
                <w:rFonts w:hint="eastAsia" w:cs="Times New Roman"/>
                <w:lang w:eastAsia="zh-CN"/>
              </w:rPr>
              <w:t>“</w:t>
            </w:r>
            <w:r>
              <w:rPr>
                <w:rFonts w:hint="default" w:ascii="Times New Roman" w:hAnsi="Times New Roman" w:eastAsia="宋体" w:cs="Times New Roman"/>
              </w:rPr>
              <w:t>登记管理</w:t>
            </w:r>
            <w:r>
              <w:rPr>
                <w:rFonts w:hint="eastAsia" w:cs="Times New Roman"/>
                <w:lang w:eastAsia="zh-CN"/>
              </w:rPr>
              <w:t>”</w:t>
            </w:r>
            <w:r>
              <w:rPr>
                <w:rFonts w:hint="default" w:ascii="Times New Roman" w:hAnsi="Times New Roman" w:eastAsia="宋体" w:cs="Times New Roman"/>
              </w:rPr>
              <w:t>，建设单位应在本项目启动生产设施或发生实际排污前按要求完成排污许可登记。排污许可管理类别判定内容详见下表</w:t>
            </w:r>
            <w:r>
              <w:rPr>
                <w:rFonts w:hint="eastAsia" w:ascii="Times New Roman" w:hAnsi="Times New Roman" w:eastAsia="宋体"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 xml:space="preserve"> </w:t>
            </w:r>
          </w:p>
          <w:p w14:paraId="55F39C7F">
            <w:pPr>
              <w:keepNext w:val="0"/>
              <w:keepLines w:val="0"/>
              <w:widowControl/>
              <w:suppressLineNumbers w:val="0"/>
              <w:spacing w:line="240" w:lineRule="auto"/>
              <w:jc w:val="center"/>
              <w:rPr>
                <w:b/>
                <w:bCs/>
                <w:color w:val="auto"/>
                <w:sz w:val="24"/>
                <w:szCs w:val="24"/>
              </w:rPr>
            </w:pPr>
            <w:r>
              <w:rPr>
                <w:b/>
                <w:bCs/>
                <w:color w:val="auto"/>
                <w:sz w:val="24"/>
                <w:szCs w:val="24"/>
              </w:rPr>
              <w:t>表2-</w:t>
            </w:r>
            <w:r>
              <w:rPr>
                <w:rFonts w:hint="eastAsia"/>
                <w:b/>
                <w:bCs/>
                <w:color w:val="auto"/>
                <w:sz w:val="24"/>
                <w:szCs w:val="24"/>
                <w:lang w:val="en-US" w:eastAsia="zh-CN"/>
              </w:rPr>
              <w:t>2</w:t>
            </w:r>
            <w:r>
              <w:rPr>
                <w:b/>
                <w:bCs/>
                <w:color w:val="auto"/>
                <w:sz w:val="24"/>
                <w:szCs w:val="24"/>
              </w:rPr>
              <w:t xml:space="preserve">  固定污染源排污许可证分类管理名录（2019年版）（节选）</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9"/>
              <w:gridCol w:w="1425"/>
              <w:gridCol w:w="1444"/>
              <w:gridCol w:w="2510"/>
              <w:gridCol w:w="1105"/>
              <w:gridCol w:w="1440"/>
            </w:tblGrid>
            <w:tr w14:paraId="69DF8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395" w:type="pct"/>
                  <w:vAlign w:val="center"/>
                </w:tcPr>
                <w:p w14:paraId="61A0C34C">
                  <w:pPr>
                    <w:pStyle w:val="75"/>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序号</w:t>
                  </w:r>
                </w:p>
              </w:tc>
              <w:tc>
                <w:tcPr>
                  <w:tcW w:w="828" w:type="pct"/>
                  <w:vAlign w:val="center"/>
                </w:tcPr>
                <w:p w14:paraId="10A196BF">
                  <w:pPr>
                    <w:pStyle w:val="75"/>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类别</w:t>
                  </w:r>
                </w:p>
              </w:tc>
              <w:tc>
                <w:tcPr>
                  <w:tcW w:w="839" w:type="pct"/>
                  <w:vAlign w:val="center"/>
                </w:tcPr>
                <w:p w14:paraId="52F6510E">
                  <w:pPr>
                    <w:pStyle w:val="75"/>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重点管理</w:t>
                  </w:r>
                </w:p>
              </w:tc>
              <w:tc>
                <w:tcPr>
                  <w:tcW w:w="1459" w:type="pct"/>
                  <w:vAlign w:val="center"/>
                </w:tcPr>
                <w:p w14:paraId="1943735A">
                  <w:pPr>
                    <w:pStyle w:val="75"/>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简化管理</w:t>
                  </w:r>
                </w:p>
              </w:tc>
              <w:tc>
                <w:tcPr>
                  <w:tcW w:w="642" w:type="pct"/>
                  <w:vAlign w:val="center"/>
                </w:tcPr>
                <w:p w14:paraId="6634FC62">
                  <w:pPr>
                    <w:pStyle w:val="75"/>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登记管理</w:t>
                  </w:r>
                </w:p>
              </w:tc>
              <w:tc>
                <w:tcPr>
                  <w:tcW w:w="834" w:type="pct"/>
                  <w:vAlign w:val="center"/>
                </w:tcPr>
                <w:p w14:paraId="7FC3938B">
                  <w:pPr>
                    <w:pStyle w:val="75"/>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管理类别</w:t>
                  </w:r>
                </w:p>
                <w:p w14:paraId="401C0D8D">
                  <w:pPr>
                    <w:pStyle w:val="75"/>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判定</w:t>
                  </w:r>
                </w:p>
              </w:tc>
            </w:tr>
            <w:tr w14:paraId="4796B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vAlign w:val="center"/>
                </w:tcPr>
                <w:p w14:paraId="28DB61D4">
                  <w:pPr>
                    <w:pStyle w:val="75"/>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二十四、橡胶和塑料制品业 29</w:t>
                  </w:r>
                </w:p>
              </w:tc>
            </w:tr>
            <w:tr w14:paraId="10EF7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vAlign w:val="center"/>
                </w:tcPr>
                <w:p w14:paraId="53024095">
                  <w:pPr>
                    <w:pStyle w:val="75"/>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62</w:t>
                  </w:r>
                </w:p>
              </w:tc>
              <w:tc>
                <w:tcPr>
                  <w:tcW w:w="828" w:type="pct"/>
                  <w:vAlign w:val="center"/>
                </w:tcPr>
                <w:p w14:paraId="0D9EB1BA">
                  <w:pPr>
                    <w:pStyle w:val="75"/>
                    <w:keepNext w:val="0"/>
                    <w:keepLines w:val="0"/>
                    <w:pageBreakBefore w:val="0"/>
                    <w:widowControl/>
                    <w:kinsoku/>
                    <w:wordWrap/>
                    <w:overflowPunct/>
                    <w:topLinePunct w:val="0"/>
                    <w:autoSpaceDE/>
                    <w:autoSpaceDN/>
                    <w:bidi w:val="0"/>
                    <w:adjustRightInd/>
                    <w:snapToGrid/>
                    <w:spacing w:line="240" w:lineRule="auto"/>
                    <w:ind w:left="210" w:leftChars="0" w:hanging="210" w:hangingChars="100"/>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塑料制品业</w:t>
                  </w:r>
                </w:p>
                <w:p w14:paraId="7DDAEA55">
                  <w:pPr>
                    <w:pStyle w:val="75"/>
                    <w:keepNext w:val="0"/>
                    <w:keepLines w:val="0"/>
                    <w:pageBreakBefore w:val="0"/>
                    <w:widowControl/>
                    <w:kinsoku/>
                    <w:wordWrap/>
                    <w:overflowPunct/>
                    <w:topLinePunct w:val="0"/>
                    <w:autoSpaceDE/>
                    <w:autoSpaceDN/>
                    <w:bidi w:val="0"/>
                    <w:adjustRightInd/>
                    <w:snapToGrid/>
                    <w:spacing w:line="240" w:lineRule="auto"/>
                    <w:ind w:left="210" w:leftChars="0" w:hanging="210" w:hangingChars="100"/>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292</w:t>
                  </w:r>
                </w:p>
              </w:tc>
              <w:tc>
                <w:tcPr>
                  <w:tcW w:w="839" w:type="pct"/>
                  <w:vAlign w:val="center"/>
                </w:tcPr>
                <w:p w14:paraId="4B0BBAA4">
                  <w:pPr>
                    <w:pStyle w:val="75"/>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塑料人造革、合成革制造</w:t>
                  </w:r>
                </w:p>
                <w:p w14:paraId="16AC4F94">
                  <w:pPr>
                    <w:pStyle w:val="75"/>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2925</w:t>
                  </w:r>
                </w:p>
              </w:tc>
              <w:tc>
                <w:tcPr>
                  <w:tcW w:w="1459" w:type="pct"/>
                  <w:vAlign w:val="center"/>
                </w:tcPr>
                <w:p w14:paraId="53E78E29">
                  <w:pPr>
                    <w:pStyle w:val="75"/>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年产1万吨及以上的泡沫塑料制造2924，年产1万吨及以上涉及改性的塑料薄膜制造2921、</w:t>
                  </w:r>
                  <w:r>
                    <w:rPr>
                      <w:rFonts w:hint="default" w:ascii="Times New Roman" w:hAnsi="Times New Roman" w:eastAsia="宋体" w:cs="Times New Roman"/>
                      <w:sz w:val="21"/>
                      <w:szCs w:val="21"/>
                      <w:highlight w:val="none"/>
                      <w:vertAlign w:val="baseline"/>
                    </w:rPr>
                    <w:t>塑料板、管、型材制造2922</w:t>
                  </w:r>
                  <w:r>
                    <w:rPr>
                      <w:rFonts w:hint="default" w:ascii="Times New Roman" w:hAnsi="Times New Roman" w:eastAsia="宋体" w:cs="Times New Roman"/>
                      <w:sz w:val="21"/>
                      <w:szCs w:val="21"/>
                      <w:vertAlign w:val="baseline"/>
                    </w:rPr>
                    <w:t>、塑料丝、绳和编织品制造2923、塑料包装箱及容器制造2926、日用塑料品制造2927、人造草坪制造2928、</w:t>
                  </w:r>
                  <w:r>
                    <w:rPr>
                      <w:rFonts w:hint="default" w:ascii="Times New Roman" w:hAnsi="Times New Roman" w:eastAsia="宋体" w:cs="Times New Roman"/>
                      <w:sz w:val="21"/>
                      <w:szCs w:val="21"/>
                      <w:highlight w:val="none"/>
                      <w:vertAlign w:val="baseline"/>
                    </w:rPr>
                    <w:t>塑料零件及其他塑料制品制造2929</w:t>
                  </w:r>
                </w:p>
              </w:tc>
              <w:tc>
                <w:tcPr>
                  <w:tcW w:w="642" w:type="pct"/>
                  <w:vAlign w:val="center"/>
                </w:tcPr>
                <w:p w14:paraId="6A191049">
                  <w:pPr>
                    <w:pStyle w:val="75"/>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其他</w:t>
                  </w:r>
                </w:p>
              </w:tc>
              <w:tc>
                <w:tcPr>
                  <w:tcW w:w="834" w:type="pct"/>
                  <w:vAlign w:val="center"/>
                </w:tcPr>
                <w:p w14:paraId="299A0219">
                  <w:pPr>
                    <w:pStyle w:val="75"/>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highlight w:val="none"/>
                      <w:vertAlign w:val="baseline"/>
                    </w:rPr>
                    <w:t>本项目年产3万套</w:t>
                  </w:r>
                  <w:r>
                    <w:rPr>
                      <w:rFonts w:hint="eastAsia" w:cs="Times New Roman"/>
                      <w:sz w:val="21"/>
                      <w:szCs w:val="21"/>
                      <w:highlight w:val="none"/>
                      <w:vertAlign w:val="baseline"/>
                      <w:lang w:eastAsia="zh-CN"/>
                    </w:rPr>
                    <w:t>（</w:t>
                  </w:r>
                  <w:r>
                    <w:rPr>
                      <w:rFonts w:hint="eastAsia" w:cs="Times New Roman"/>
                      <w:sz w:val="21"/>
                      <w:szCs w:val="21"/>
                      <w:highlight w:val="none"/>
                      <w:vertAlign w:val="baseline"/>
                      <w:lang w:val="en-US" w:eastAsia="zh-CN"/>
                    </w:rPr>
                    <w:t>约6000吨）</w:t>
                  </w:r>
                  <w:r>
                    <w:rPr>
                      <w:rFonts w:hint="default" w:ascii="Times New Roman" w:hAnsi="Times New Roman" w:eastAsia="宋体" w:cs="Times New Roman"/>
                      <w:sz w:val="21"/>
                      <w:szCs w:val="21"/>
                      <w:highlight w:val="none"/>
                      <w:vertAlign w:val="baseline"/>
                    </w:rPr>
                    <w:t>新型PP管材和环保设施，为</w:t>
                  </w:r>
                  <w:r>
                    <w:rPr>
                      <w:rFonts w:hint="eastAsia" w:cs="Times New Roman"/>
                      <w:sz w:val="21"/>
                      <w:szCs w:val="21"/>
                      <w:highlight w:val="none"/>
                      <w:vertAlign w:val="baseline"/>
                      <w:lang w:eastAsia="zh-CN"/>
                    </w:rPr>
                    <w:t>登记</w:t>
                  </w:r>
                  <w:r>
                    <w:rPr>
                      <w:rFonts w:hint="default" w:ascii="Times New Roman" w:hAnsi="Times New Roman" w:eastAsia="宋体" w:cs="Times New Roman"/>
                      <w:sz w:val="21"/>
                      <w:szCs w:val="21"/>
                      <w:highlight w:val="none"/>
                      <w:vertAlign w:val="baseline"/>
                    </w:rPr>
                    <w:t>管理</w:t>
                  </w:r>
                </w:p>
              </w:tc>
            </w:tr>
          </w:tbl>
          <w:p w14:paraId="034BC050">
            <w:pPr>
              <w:spacing w:line="360" w:lineRule="auto"/>
              <w:ind w:firstLine="480" w:firstLineChars="200"/>
              <w:jc w:val="both"/>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本项目不涉及通用工序重点管理、简化管理，</w:t>
            </w:r>
            <w:r>
              <w:rPr>
                <w:rFonts w:hint="default" w:ascii="Times New Roman" w:hAnsi="Times New Roman" w:eastAsia="宋体" w:cs="Times New Roman"/>
                <w:b w:val="0"/>
                <w:bCs w:val="0"/>
                <w:color w:val="auto"/>
                <w:sz w:val="24"/>
                <w:szCs w:val="24"/>
                <w:vertAlign w:val="baseline"/>
                <w:lang w:val="en-US" w:eastAsia="zh-CN"/>
              </w:rPr>
              <w:t>因此属于现行《固定污染源排污许可分类管理名录》</w:t>
            </w:r>
            <w:r>
              <w:rPr>
                <w:rFonts w:hint="eastAsia" w:ascii="Times New Roman" w:hAnsi="Times New Roman" w:eastAsia="宋体" w:cs="Times New Roman"/>
                <w:b w:val="0"/>
                <w:bCs w:val="0"/>
                <w:color w:val="auto"/>
                <w:sz w:val="24"/>
                <w:szCs w:val="24"/>
                <w:vertAlign w:val="baseline"/>
                <w:lang w:val="en-US" w:eastAsia="zh-CN"/>
              </w:rPr>
              <w:t>中</w:t>
            </w:r>
            <w:r>
              <w:rPr>
                <w:rFonts w:hint="eastAsia" w:ascii="Times New Roman" w:hAnsi="Times New Roman"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登记管理</w:t>
            </w:r>
            <w:r>
              <w:rPr>
                <w:rFonts w:hint="eastAsia" w:ascii="Times New Roman" w:hAnsi="Times New Roman"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w:t>
            </w:r>
          </w:p>
          <w:p w14:paraId="4C12E7FD">
            <w:pPr>
              <w:spacing w:line="360" w:lineRule="auto"/>
              <w:ind w:firstLine="480" w:firstLineChars="200"/>
              <w:jc w:val="both"/>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根据安徽省生态环境厅《关于统筹做好固定污染源排污许可日常监管工作的通知》（皖环发[2021]7号），属于现行《固定污染源排污许可分类管理名录》内重点管理和简化管理的行业，建设单位在组织编制建设项目环境影响报告书（表）时，可结合相应行业排污许可证申请与核发技术规范，在环评文件中一并明确“建设项目环境影响评价与排污许可联动内容”和《建设项目排污许可申请与填报信息表》。由于本项目属于现行《固定污染源排污许可分类管理名录》</w:t>
            </w:r>
            <w:r>
              <w:rPr>
                <w:rFonts w:hint="eastAsia" w:cs="Times New Roman"/>
                <w:b w:val="0"/>
                <w:bCs w:val="0"/>
                <w:color w:val="auto"/>
                <w:sz w:val="24"/>
                <w:szCs w:val="24"/>
                <w:vertAlign w:val="baseline"/>
                <w:lang w:val="en-US" w:eastAsia="zh-CN"/>
              </w:rPr>
              <w:t>中</w:t>
            </w:r>
            <w:r>
              <w:rPr>
                <w:rFonts w:hint="eastAsia" w:ascii="Times New Roman" w:hAnsi="Times New Roman" w:eastAsia="宋体" w:cs="Times New Roman"/>
                <w:b w:val="0"/>
                <w:bCs w:val="0"/>
                <w:color w:val="auto"/>
                <w:sz w:val="24"/>
                <w:szCs w:val="24"/>
                <w:vertAlign w:val="baseline"/>
                <w:lang w:val="en-US" w:eastAsia="zh-CN"/>
              </w:rPr>
              <w:t>“登记管理”，暂不填报“建设项目环境影响评价与排污许可联动内容”和《建设项目排污许可申请与填报信息表》。</w:t>
            </w:r>
          </w:p>
          <w:p w14:paraId="650F993B">
            <w:pPr>
              <w:numPr>
                <w:ilvl w:val="0"/>
                <w:numId w:val="0"/>
              </w:numPr>
              <w:spacing w:line="360" w:lineRule="auto"/>
              <w:ind w:firstLine="482" w:firstLineChars="200"/>
              <w:jc w:val="both"/>
              <w:rPr>
                <w:rFonts w:hint="eastAsia" w:cs="Times New Roman"/>
                <w:b/>
                <w:bCs w:val="0"/>
                <w:color w:val="auto"/>
                <w:sz w:val="24"/>
                <w:lang w:val="en-US" w:eastAsia="zh-CN"/>
              </w:rPr>
            </w:pPr>
            <w:r>
              <w:rPr>
                <w:rFonts w:hint="eastAsia" w:ascii="Times New Roman" w:hAnsi="Times New Roman" w:eastAsia="宋体" w:cs="Times New Roman"/>
                <w:b/>
                <w:bCs w:val="0"/>
                <w:color w:val="auto"/>
                <w:sz w:val="24"/>
                <w:szCs w:val="22"/>
                <w:lang w:val="en-US" w:eastAsia="zh-CN" w:bidi="ar-SA"/>
              </w:rPr>
              <w:t>3、</w:t>
            </w:r>
            <w:r>
              <w:rPr>
                <w:rFonts w:hint="default" w:ascii="Times New Roman" w:hAnsi="Times New Roman" w:cs="Times New Roman"/>
                <w:b/>
                <w:bCs w:val="0"/>
                <w:color w:val="auto"/>
                <w:sz w:val="24"/>
                <w:lang w:val="en-US" w:eastAsia="zh-CN"/>
              </w:rPr>
              <w:t>项目</w:t>
            </w:r>
            <w:r>
              <w:rPr>
                <w:rFonts w:hint="eastAsia" w:cs="Times New Roman"/>
                <w:b/>
                <w:bCs w:val="0"/>
                <w:color w:val="auto"/>
                <w:sz w:val="24"/>
                <w:lang w:val="en-US" w:eastAsia="zh-CN"/>
              </w:rPr>
              <w:t>概况</w:t>
            </w:r>
          </w:p>
          <w:p w14:paraId="1684BCC7">
            <w:pPr>
              <w:spacing w:line="360" w:lineRule="auto"/>
              <w:ind w:firstLine="480" w:firstLineChars="200"/>
              <w:jc w:val="both"/>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项目名称：</w:t>
            </w:r>
            <w:r>
              <w:rPr>
                <w:rFonts w:hint="eastAsia" w:cs="Times New Roman"/>
                <w:b w:val="0"/>
                <w:bCs w:val="0"/>
                <w:color w:val="auto"/>
                <w:sz w:val="24"/>
                <w:szCs w:val="24"/>
                <w:vertAlign w:val="baseline"/>
                <w:lang w:val="en-US" w:eastAsia="zh-CN"/>
              </w:rPr>
              <w:t>年产3万套新型PP管材和环保设施生产项目</w:t>
            </w:r>
            <w:r>
              <w:rPr>
                <w:rFonts w:hint="eastAsia" w:ascii="Times New Roman" w:hAnsi="Times New Roman" w:eastAsia="宋体" w:cs="Times New Roman"/>
                <w:b w:val="0"/>
                <w:bCs w:val="0"/>
                <w:color w:val="auto"/>
                <w:sz w:val="24"/>
                <w:szCs w:val="24"/>
                <w:vertAlign w:val="baseline"/>
                <w:lang w:val="en-US" w:eastAsia="zh-CN"/>
              </w:rPr>
              <w:t>；</w:t>
            </w:r>
          </w:p>
          <w:p w14:paraId="707BAAC7">
            <w:pPr>
              <w:spacing w:line="360" w:lineRule="auto"/>
              <w:ind w:firstLine="480" w:firstLineChars="200"/>
              <w:jc w:val="both"/>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建设单位：</w:t>
            </w:r>
            <w:r>
              <w:rPr>
                <w:rFonts w:hint="eastAsia" w:cs="Times New Roman"/>
                <w:b w:val="0"/>
                <w:bCs w:val="0"/>
                <w:color w:val="auto"/>
                <w:sz w:val="24"/>
                <w:szCs w:val="24"/>
                <w:vertAlign w:val="baseline"/>
                <w:lang w:val="en-US" w:eastAsia="zh-CN"/>
              </w:rPr>
              <w:t>安徽省三江塑业有限公司</w:t>
            </w:r>
            <w:r>
              <w:rPr>
                <w:rFonts w:hint="eastAsia" w:ascii="Times New Roman" w:hAnsi="Times New Roman" w:eastAsia="宋体" w:cs="Times New Roman"/>
                <w:b w:val="0"/>
                <w:bCs w:val="0"/>
                <w:color w:val="auto"/>
                <w:sz w:val="24"/>
                <w:szCs w:val="24"/>
                <w:vertAlign w:val="baseline"/>
                <w:lang w:val="en-US" w:eastAsia="zh-CN"/>
              </w:rPr>
              <w:t>；</w:t>
            </w:r>
          </w:p>
          <w:p w14:paraId="5B1B3A1A">
            <w:pPr>
              <w:spacing w:line="360" w:lineRule="auto"/>
              <w:ind w:firstLine="480" w:firstLineChars="200"/>
              <w:jc w:val="both"/>
              <w:rPr>
                <w:rFonts w:hint="eastAsia"/>
                <w:lang w:eastAsia="zh-CN"/>
              </w:rPr>
            </w:pPr>
            <w:r>
              <w:rPr>
                <w:rFonts w:hint="eastAsia"/>
              </w:rPr>
              <w:t>建设性质：新建</w:t>
            </w:r>
            <w:r>
              <w:rPr>
                <w:rFonts w:hint="eastAsia"/>
                <w:lang w:eastAsia="zh-CN"/>
              </w:rPr>
              <w:t>；</w:t>
            </w:r>
          </w:p>
          <w:p w14:paraId="5C57A41B">
            <w:pPr>
              <w:spacing w:line="360" w:lineRule="auto"/>
              <w:ind w:firstLine="480" w:firstLineChars="200"/>
              <w:jc w:val="both"/>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建设规模</w:t>
            </w:r>
            <w:r>
              <w:rPr>
                <w:rFonts w:hint="eastAsia" w:cs="Times New Roman"/>
                <w:b w:val="0"/>
                <w:bCs w:val="0"/>
                <w:color w:val="auto"/>
                <w:sz w:val="24"/>
                <w:szCs w:val="24"/>
                <w:vertAlign w:val="baseline"/>
                <w:lang w:val="en-US" w:eastAsia="zh-CN"/>
              </w:rPr>
              <w:t>：项目备案分二期实施。一期建设项目总投资3000万元，项目位于</w:t>
            </w:r>
            <w:r>
              <w:rPr>
                <w:rFonts w:hint="default" w:ascii="Times New Roman" w:hAnsi="Times New Roman" w:eastAsia="宋体" w:cs="Times New Roman"/>
                <w:highlight w:val="none"/>
              </w:rPr>
              <w:t>霍山县诸佛庵镇狮山村</w:t>
            </w:r>
            <w:r>
              <w:rPr>
                <w:rFonts w:hint="eastAsia" w:ascii="宋体" w:hAnsi="宋体" w:cs="宋体"/>
                <w:sz w:val="24"/>
                <w:szCs w:val="24"/>
                <w:lang w:eastAsia="zh-CN"/>
              </w:rPr>
              <w:t>穆家畈组</w:t>
            </w:r>
            <w:r>
              <w:rPr>
                <w:rFonts w:hint="eastAsia" w:ascii="宋体" w:hAnsi="宋体" w:eastAsia="宋体" w:cs="宋体"/>
                <w:sz w:val="24"/>
                <w:szCs w:val="24"/>
                <w:lang w:eastAsia="zh-CN"/>
              </w:rPr>
              <w:t>，</w:t>
            </w:r>
            <w:r>
              <w:rPr>
                <w:rFonts w:hint="eastAsia" w:cs="Times New Roman"/>
                <w:b w:val="0"/>
                <w:bCs w:val="0"/>
                <w:color w:val="auto"/>
                <w:sz w:val="24"/>
                <w:szCs w:val="24"/>
                <w:vertAlign w:val="baseline"/>
                <w:lang w:val="en-US" w:eastAsia="zh-CN"/>
              </w:rPr>
              <w:t>占地面积8616平方米，总建筑面积3867.91平方米，新安装符合国家产业政策的智能化新型PP管材和环保设施生产线共2条，年产各类PP管材和环保设备3万套；二期总投资8000万元，新征土地约15亩，新建3栋厂房约8000m</w:t>
            </w:r>
            <w:r>
              <w:rPr>
                <w:rFonts w:hint="eastAsia" w:cs="Times New Roman"/>
                <w:b w:val="0"/>
                <w:bCs w:val="0"/>
                <w:color w:val="auto"/>
                <w:sz w:val="24"/>
                <w:szCs w:val="24"/>
                <w:vertAlign w:val="superscript"/>
                <w:lang w:val="en-US" w:eastAsia="zh-CN"/>
              </w:rPr>
              <w:t>2</w:t>
            </w:r>
            <w:r>
              <w:rPr>
                <w:rFonts w:hint="eastAsia" w:cs="Times New Roman"/>
                <w:b w:val="0"/>
                <w:bCs w:val="0"/>
                <w:color w:val="auto"/>
                <w:sz w:val="24"/>
                <w:szCs w:val="24"/>
                <w:vertAlign w:val="baseline"/>
                <w:lang w:val="en-US" w:eastAsia="zh-CN"/>
              </w:rPr>
              <w:t>，新安装符合国家产业政策的智能化新型PP管材和环保设施生产线共6条。</w:t>
            </w:r>
            <w:r>
              <w:rPr>
                <w:rFonts w:hint="eastAsia" w:cs="Times New Roman"/>
                <w:b/>
                <w:bCs/>
                <w:color w:val="auto"/>
                <w:sz w:val="24"/>
                <w:szCs w:val="24"/>
                <w:vertAlign w:val="baseline"/>
                <w:lang w:val="en-US" w:eastAsia="zh-CN"/>
              </w:rPr>
              <w:t>由于二期建设征地位置尚未确定，故本次环境影响评价仅对一期建设项目进行评价，二期建设不在本次评价范围内</w:t>
            </w:r>
            <w:r>
              <w:rPr>
                <w:rFonts w:hint="eastAsia" w:cs="Times New Roman"/>
                <w:b w:val="0"/>
                <w:bCs w:val="0"/>
                <w:color w:val="auto"/>
                <w:sz w:val="24"/>
                <w:szCs w:val="24"/>
                <w:vertAlign w:val="baseline"/>
                <w:lang w:val="en-US" w:eastAsia="zh-CN"/>
              </w:rPr>
              <w:t>（详见附件9和附件10，企业招商引资协议书和企业分期建设情况说明）</w:t>
            </w:r>
            <w:r>
              <w:rPr>
                <w:rFonts w:hint="eastAsia" w:cs="Times New Roman"/>
                <w:b/>
                <w:bCs/>
                <w:color w:val="auto"/>
                <w:sz w:val="24"/>
                <w:szCs w:val="24"/>
                <w:vertAlign w:val="baseline"/>
                <w:lang w:val="en-US" w:eastAsia="zh-CN"/>
              </w:rPr>
              <w:t>。</w:t>
            </w:r>
          </w:p>
          <w:p w14:paraId="745CE24C">
            <w:pPr>
              <w:spacing w:line="360" w:lineRule="auto"/>
              <w:ind w:firstLine="480" w:firstLineChars="200"/>
              <w:jc w:val="both"/>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投资总额：总投资</w:t>
            </w:r>
            <w:r>
              <w:rPr>
                <w:rFonts w:hint="eastAsia" w:cs="Times New Roman"/>
                <w:b w:val="0"/>
                <w:bCs w:val="0"/>
                <w:color w:val="auto"/>
                <w:sz w:val="24"/>
                <w:szCs w:val="24"/>
                <w:vertAlign w:val="baseline"/>
                <w:lang w:val="en-US" w:eastAsia="zh-CN"/>
              </w:rPr>
              <w:t>3000</w:t>
            </w:r>
            <w:r>
              <w:rPr>
                <w:rFonts w:hint="eastAsia" w:ascii="Times New Roman" w:hAnsi="Times New Roman" w:eastAsia="宋体" w:cs="Times New Roman"/>
                <w:b w:val="0"/>
                <w:bCs w:val="0"/>
                <w:color w:val="auto"/>
                <w:sz w:val="24"/>
                <w:szCs w:val="24"/>
                <w:vertAlign w:val="baseline"/>
                <w:lang w:val="en-US" w:eastAsia="zh-CN"/>
              </w:rPr>
              <w:t>万元，其中环保投资</w:t>
            </w:r>
            <w:r>
              <w:rPr>
                <w:rFonts w:hint="eastAsia" w:cs="Times New Roman"/>
                <w:b w:val="0"/>
                <w:bCs w:val="0"/>
                <w:color w:val="auto"/>
                <w:sz w:val="24"/>
                <w:szCs w:val="24"/>
                <w:vertAlign w:val="baseline"/>
                <w:lang w:val="en-US" w:eastAsia="zh-CN"/>
              </w:rPr>
              <w:t>54</w:t>
            </w:r>
            <w:r>
              <w:rPr>
                <w:rFonts w:hint="eastAsia" w:ascii="Times New Roman" w:hAnsi="Times New Roman" w:eastAsia="宋体" w:cs="Times New Roman"/>
                <w:b w:val="0"/>
                <w:bCs w:val="0"/>
                <w:color w:val="auto"/>
                <w:sz w:val="24"/>
                <w:szCs w:val="24"/>
                <w:vertAlign w:val="baseline"/>
                <w:lang w:val="en-US" w:eastAsia="zh-CN"/>
              </w:rPr>
              <w:t>万元；</w:t>
            </w:r>
          </w:p>
          <w:p w14:paraId="0C5348AC">
            <w:pPr>
              <w:spacing w:line="360" w:lineRule="auto"/>
              <w:ind w:firstLine="480" w:firstLineChars="200"/>
              <w:jc w:val="both"/>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建设地点：</w:t>
            </w:r>
            <w:r>
              <w:rPr>
                <w:rFonts w:hint="eastAsia"/>
              </w:rPr>
              <w:t>安徽省六安市霍山县诸佛庵镇狮山村</w:t>
            </w:r>
            <w:r>
              <w:rPr>
                <w:rFonts w:hint="eastAsia"/>
                <w:lang w:eastAsia="zh-CN"/>
              </w:rPr>
              <w:t>穆家畈组</w:t>
            </w:r>
            <w:r>
              <w:rPr>
                <w:rFonts w:hint="eastAsia"/>
              </w:rPr>
              <w:t>，地块中心地理坐标为：</w:t>
            </w:r>
            <w:r>
              <w:rPr>
                <w:rFonts w:hint="eastAsia"/>
                <w:lang w:eastAsia="zh-CN"/>
              </w:rPr>
              <w:t>东经</w:t>
            </w:r>
            <w:r>
              <w:rPr>
                <w:rFonts w:hint="eastAsia"/>
              </w:rPr>
              <w:t>116度</w:t>
            </w:r>
            <w:r>
              <w:rPr>
                <w:rFonts w:hint="eastAsia"/>
                <w:lang w:val="en-US" w:eastAsia="zh-CN"/>
              </w:rPr>
              <w:t>11</w:t>
            </w:r>
            <w:r>
              <w:rPr>
                <w:rFonts w:hint="eastAsia"/>
              </w:rPr>
              <w:t>分1</w:t>
            </w:r>
            <w:r>
              <w:rPr>
                <w:rFonts w:hint="eastAsia"/>
                <w:lang w:val="en-US" w:eastAsia="zh-CN"/>
              </w:rPr>
              <w:t>2</w:t>
            </w:r>
            <w:r>
              <w:rPr>
                <w:rFonts w:hint="eastAsia"/>
              </w:rPr>
              <w:t>.</w:t>
            </w:r>
            <w:r>
              <w:rPr>
                <w:rFonts w:hint="eastAsia"/>
                <w:lang w:val="en-US" w:eastAsia="zh-CN"/>
              </w:rPr>
              <w:t>019</w:t>
            </w:r>
            <w:r>
              <w:rPr>
                <w:rFonts w:hint="eastAsia"/>
              </w:rPr>
              <w:t>秒，</w:t>
            </w:r>
            <w:r>
              <w:rPr>
                <w:rFonts w:hint="eastAsia"/>
                <w:lang w:eastAsia="zh-CN"/>
              </w:rPr>
              <w:t>北纬</w:t>
            </w:r>
            <w:r>
              <w:rPr>
                <w:rFonts w:hint="eastAsia"/>
              </w:rPr>
              <w:t>31度</w:t>
            </w:r>
            <w:r>
              <w:rPr>
                <w:rFonts w:hint="eastAsia"/>
                <w:lang w:val="en-US" w:eastAsia="zh-CN"/>
              </w:rPr>
              <w:t>24</w:t>
            </w:r>
            <w:r>
              <w:rPr>
                <w:rFonts w:hint="eastAsia"/>
              </w:rPr>
              <w:t>分</w:t>
            </w:r>
            <w:r>
              <w:rPr>
                <w:rFonts w:hint="eastAsia"/>
                <w:lang w:val="en-US" w:eastAsia="zh-CN"/>
              </w:rPr>
              <w:t>45.342</w:t>
            </w:r>
            <w:r>
              <w:rPr>
                <w:rFonts w:hint="eastAsia"/>
              </w:rPr>
              <w:t>秒</w:t>
            </w:r>
            <w:r>
              <w:rPr>
                <w:rFonts w:hint="eastAsia" w:ascii="Times New Roman" w:hAnsi="Times New Roman" w:eastAsia="宋体" w:cs="Times New Roman"/>
                <w:b w:val="0"/>
                <w:bCs w:val="0"/>
                <w:color w:val="auto"/>
                <w:sz w:val="24"/>
                <w:szCs w:val="24"/>
                <w:vertAlign w:val="baseline"/>
                <w:lang w:val="en-US" w:eastAsia="zh-CN"/>
              </w:rPr>
              <w:t>；</w:t>
            </w:r>
          </w:p>
          <w:p w14:paraId="6AEF60CC">
            <w:pPr>
              <w:spacing w:line="360" w:lineRule="auto"/>
              <w:ind w:firstLine="480" w:firstLineChars="200"/>
              <w:jc w:val="both"/>
              <w:rPr>
                <w:rFonts w:hint="eastAsia" w:ascii="Times New Roman" w:hAnsi="Times New Roman" w:eastAsia="宋体" w:cs="Times New Roman"/>
                <w:b w:val="0"/>
                <w:bCs w:val="0"/>
                <w:color w:val="FF0000"/>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周边关系：项目</w:t>
            </w:r>
            <w:r>
              <w:rPr>
                <w:rFonts w:hint="eastAsia"/>
                <w:lang w:eastAsia="zh-CN"/>
              </w:rPr>
              <w:t>东侧为安徽易可竹业科技有限公司，</w:t>
            </w:r>
            <w:r>
              <w:rPr>
                <w:rFonts w:hint="eastAsia"/>
              </w:rPr>
              <w:t>主要从事</w:t>
            </w:r>
            <w:r>
              <w:rPr>
                <w:rFonts w:hint="eastAsia"/>
                <w:lang w:eastAsia="zh-CN"/>
              </w:rPr>
              <w:t>竹制品制造等；北</w:t>
            </w:r>
            <w:r>
              <w:rPr>
                <w:rFonts w:hint="eastAsia"/>
              </w:rPr>
              <w:t>侧</w:t>
            </w:r>
            <w:r>
              <w:rPr>
                <w:rFonts w:hint="eastAsia"/>
                <w:lang w:eastAsia="zh-CN"/>
              </w:rPr>
              <w:t>为牌李路；</w:t>
            </w:r>
            <w:r>
              <w:rPr>
                <w:rFonts w:hint="eastAsia"/>
              </w:rPr>
              <w:t>南侧为</w:t>
            </w:r>
            <w:r>
              <w:rPr>
                <w:rFonts w:hint="eastAsia"/>
                <w:lang w:val="en-US" w:eastAsia="zh-CN"/>
              </w:rPr>
              <w:t>老公路；</w:t>
            </w:r>
            <w:r>
              <w:rPr>
                <w:rFonts w:hint="eastAsia"/>
                <w:lang w:eastAsia="zh-CN"/>
              </w:rPr>
              <w:t>西侧</w:t>
            </w:r>
            <w:r>
              <w:rPr>
                <w:rFonts w:hint="eastAsia"/>
                <w:lang w:val="en-US" w:eastAsia="zh-CN"/>
              </w:rPr>
              <w:t>为</w:t>
            </w:r>
            <w:r>
              <w:rPr>
                <w:rFonts w:hint="eastAsia" w:ascii="新宋体" w:hAnsi="新宋体" w:eastAsia="新宋体" w:cs="新宋体"/>
                <w:color w:val="auto"/>
                <w:kern w:val="0"/>
                <w:sz w:val="24"/>
                <w:szCs w:val="24"/>
                <w:lang w:val="en-US" w:eastAsia="zh-CN" w:bidi="ar"/>
              </w:rPr>
              <w:t>狮山村穆家畈组</w:t>
            </w:r>
            <w:r>
              <w:rPr>
                <w:rFonts w:hint="eastAsia" w:ascii="宋体" w:hAnsi="宋体" w:cs="宋体"/>
                <w:sz w:val="24"/>
                <w:szCs w:val="24"/>
                <w:lang w:val="en-US" w:eastAsia="zh-CN"/>
              </w:rPr>
              <w:t>的居民</w:t>
            </w:r>
            <w:r>
              <w:rPr>
                <w:rFonts w:hint="eastAsia" w:ascii="Times New Roman" w:hAnsi="Times New Roman" w:cs="Times New Roman"/>
                <w:color w:val="auto"/>
                <w:lang w:val="en-US" w:eastAsia="zh-CN"/>
              </w:rPr>
              <w:t>。</w:t>
            </w:r>
          </w:p>
          <w:p w14:paraId="7FA14EDE">
            <w:pPr>
              <w:numPr>
                <w:ilvl w:val="0"/>
                <w:numId w:val="0"/>
              </w:numPr>
              <w:spacing w:line="360" w:lineRule="auto"/>
              <w:ind w:firstLine="482" w:firstLineChars="200"/>
              <w:jc w:val="both"/>
              <w:rPr>
                <w:rFonts w:hint="default" w:ascii="Times New Roman" w:hAnsi="Times New Roman" w:cs="Times New Roman"/>
                <w:b/>
                <w:bCs w:val="0"/>
                <w:color w:val="auto"/>
                <w:sz w:val="24"/>
                <w:lang w:val="en-US" w:eastAsia="zh-CN"/>
              </w:rPr>
            </w:pPr>
            <w:r>
              <w:rPr>
                <w:rFonts w:hint="default" w:ascii="Times New Roman" w:hAnsi="Times New Roman" w:eastAsia="宋体" w:cs="Times New Roman"/>
                <w:b/>
                <w:bCs w:val="0"/>
                <w:color w:val="auto"/>
                <w:sz w:val="24"/>
                <w:szCs w:val="22"/>
                <w:lang w:val="en-US" w:eastAsia="zh-CN" w:bidi="ar-SA"/>
              </w:rPr>
              <w:t>4、</w:t>
            </w:r>
            <w:r>
              <w:rPr>
                <w:rFonts w:hint="eastAsia" w:cs="Times New Roman"/>
                <w:b/>
                <w:bCs w:val="0"/>
                <w:color w:val="auto"/>
                <w:sz w:val="24"/>
                <w:lang w:val="en-US" w:eastAsia="zh-CN"/>
              </w:rPr>
              <w:t>项目</w:t>
            </w:r>
            <w:r>
              <w:rPr>
                <w:rFonts w:hint="default" w:ascii="Times New Roman" w:hAnsi="Times New Roman" w:cs="Times New Roman"/>
                <w:b/>
                <w:bCs w:val="0"/>
                <w:color w:val="auto"/>
                <w:sz w:val="24"/>
                <w:lang w:val="en-US" w:eastAsia="zh-CN"/>
              </w:rPr>
              <w:t>建设内容及规模</w:t>
            </w:r>
          </w:p>
          <w:p w14:paraId="291D1F7C">
            <w:pPr>
              <w:spacing w:line="360" w:lineRule="auto"/>
              <w:ind w:firstLine="480" w:firstLineChars="200"/>
              <w:jc w:val="both"/>
              <w:rPr>
                <w:rFonts w:hint="default" w:ascii="Times New Roman" w:hAnsi="Times New Roman" w:cs="Times New Roman"/>
                <w:b/>
                <w:bCs w:val="0"/>
                <w:color w:val="auto"/>
                <w:sz w:val="24"/>
                <w:lang w:val="en-US" w:eastAsia="zh-CN"/>
              </w:rPr>
            </w:pPr>
            <w:r>
              <w:rPr>
                <w:rFonts w:hint="default" w:ascii="Times New Roman" w:hAnsi="Times New Roman" w:cs="Times New Roman"/>
                <w:b w:val="0"/>
                <w:bCs/>
                <w:color w:val="auto"/>
                <w:sz w:val="24"/>
                <w:lang w:val="en-US" w:eastAsia="zh-CN"/>
              </w:rPr>
              <w:t>建设项目主要建设内容详见下表。</w:t>
            </w:r>
          </w:p>
          <w:p w14:paraId="26EE7A1A">
            <w:pPr>
              <w:spacing w:line="360" w:lineRule="auto"/>
              <w:jc w:val="center"/>
              <w:rPr>
                <w:rFonts w:hint="default" w:ascii="Times New Roman" w:hAnsi="Times New Roman" w:eastAsia="宋体" w:cs="Times New Roman"/>
                <w:b/>
                <w:bCs/>
                <w:color w:val="auto"/>
                <w:sz w:val="24"/>
                <w:szCs w:val="24"/>
                <w:vertAlign w:val="baseline"/>
              </w:rPr>
            </w:pPr>
            <w:r>
              <w:rPr>
                <w:rFonts w:hint="default" w:ascii="Times New Roman" w:hAnsi="Times New Roman" w:eastAsia="宋体" w:cs="Times New Roman"/>
                <w:b/>
                <w:bCs/>
                <w:color w:val="auto"/>
                <w:sz w:val="24"/>
                <w:szCs w:val="24"/>
                <w:vertAlign w:val="baseline"/>
              </w:rPr>
              <w:t>表</w:t>
            </w:r>
            <w:r>
              <w:rPr>
                <w:rFonts w:hint="default" w:ascii="Times New Roman" w:hAnsi="Times New Roman" w:cs="Times New Roman"/>
                <w:b/>
                <w:bCs/>
                <w:color w:val="auto"/>
                <w:sz w:val="24"/>
                <w:szCs w:val="24"/>
                <w:vertAlign w:val="baseline"/>
                <w:lang w:val="en-US" w:eastAsia="zh-CN"/>
              </w:rPr>
              <w:t>2-</w:t>
            </w:r>
            <w:r>
              <w:rPr>
                <w:rFonts w:hint="eastAsia" w:cs="Times New Roman"/>
                <w:b/>
                <w:bCs/>
                <w:color w:val="auto"/>
                <w:sz w:val="24"/>
                <w:szCs w:val="24"/>
                <w:vertAlign w:val="baseline"/>
                <w:lang w:val="en-US" w:eastAsia="zh-CN"/>
              </w:rPr>
              <w:t>3</w:t>
            </w:r>
            <w:r>
              <w:rPr>
                <w:rFonts w:hint="default" w:ascii="Times New Roman" w:hAnsi="Times New Roman" w:cs="Times New Roman"/>
                <w:b/>
                <w:bCs/>
                <w:color w:val="auto"/>
                <w:sz w:val="24"/>
                <w:szCs w:val="24"/>
                <w:vertAlign w:val="baseline"/>
                <w:lang w:val="en-US" w:eastAsia="zh-CN"/>
              </w:rPr>
              <w:t xml:space="preserve"> </w:t>
            </w:r>
            <w:r>
              <w:rPr>
                <w:rFonts w:hint="default" w:ascii="Times New Roman" w:hAnsi="Times New Roman" w:eastAsia="宋体" w:cs="Times New Roman"/>
                <w:b/>
                <w:bCs/>
                <w:color w:val="auto"/>
                <w:sz w:val="24"/>
                <w:szCs w:val="24"/>
                <w:vertAlign w:val="baseline"/>
              </w:rPr>
              <w:t xml:space="preserve"> 工程建设内容一览表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1"/>
              <w:gridCol w:w="1677"/>
              <w:gridCol w:w="5122"/>
              <w:gridCol w:w="906"/>
            </w:tblGrid>
            <w:tr w14:paraId="39BA6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4" w:type="pct"/>
                  <w:vAlign w:val="center"/>
                </w:tcPr>
                <w:p w14:paraId="0B8D0A2D">
                  <w:pPr>
                    <w:pStyle w:val="75"/>
                    <w:keepNext w:val="0"/>
                    <w:keepLines w:val="0"/>
                    <w:pageBreakBefore w:val="0"/>
                    <w:widowControl/>
                    <w:kinsoku/>
                    <w:wordWrap/>
                    <w:overflowPunct/>
                    <w:topLinePunct w:val="0"/>
                    <w:autoSpaceDE/>
                    <w:autoSpaceDN/>
                    <w:bidi w:val="0"/>
                    <w:adjustRightInd/>
                    <w:snapToGrid/>
                    <w:spacing w:line="240" w:lineRule="auto"/>
                    <w:ind w:left="211" w:leftChars="0" w:hanging="211" w:hangingChars="100"/>
                    <w:jc w:val="left"/>
                    <w:textAlignment w:val="auto"/>
                    <w:rPr>
                      <w:rFonts w:hint="default" w:ascii="Times New Roman" w:hAnsi="Times New Roman" w:eastAsia="宋体" w:cs="Times New Roman"/>
                      <w:b/>
                      <w:bCs/>
                      <w:sz w:val="21"/>
                      <w:szCs w:val="21"/>
                      <w:vertAlign w:val="baseline"/>
                    </w:rPr>
                  </w:pPr>
                  <w:r>
                    <w:rPr>
                      <w:rFonts w:hint="default" w:ascii="Times New Roman" w:hAnsi="Times New Roman" w:eastAsia="宋体" w:cs="Times New Roman"/>
                      <w:b/>
                      <w:bCs/>
                      <w:sz w:val="21"/>
                      <w:szCs w:val="21"/>
                      <w:vertAlign w:val="baseline"/>
                    </w:rPr>
                    <w:t>工程类型</w:t>
                  </w:r>
                </w:p>
              </w:tc>
              <w:tc>
                <w:tcPr>
                  <w:tcW w:w="974" w:type="pct"/>
                  <w:vAlign w:val="center"/>
                </w:tcPr>
                <w:p w14:paraId="6088A6DC">
                  <w:pPr>
                    <w:pStyle w:val="75"/>
                    <w:keepNext w:val="0"/>
                    <w:keepLines w:val="0"/>
                    <w:pageBreakBefore w:val="0"/>
                    <w:widowControl/>
                    <w:kinsoku/>
                    <w:wordWrap/>
                    <w:overflowPunct/>
                    <w:topLinePunct w:val="0"/>
                    <w:autoSpaceDE/>
                    <w:autoSpaceDN/>
                    <w:bidi w:val="0"/>
                    <w:adjustRightInd/>
                    <w:snapToGrid/>
                    <w:spacing w:line="240" w:lineRule="auto"/>
                    <w:ind w:left="211" w:leftChars="0" w:hanging="211" w:hangingChars="100"/>
                    <w:jc w:val="center"/>
                    <w:textAlignment w:val="auto"/>
                    <w:rPr>
                      <w:rFonts w:hint="default" w:ascii="Times New Roman" w:hAnsi="Times New Roman" w:eastAsia="宋体" w:cs="Times New Roman"/>
                      <w:b/>
                      <w:bCs/>
                      <w:sz w:val="21"/>
                      <w:szCs w:val="21"/>
                      <w:vertAlign w:val="baseline"/>
                    </w:rPr>
                  </w:pPr>
                  <w:r>
                    <w:rPr>
                      <w:rFonts w:hint="default" w:ascii="Times New Roman" w:hAnsi="Times New Roman" w:eastAsia="宋体" w:cs="Times New Roman"/>
                      <w:b/>
                      <w:bCs/>
                      <w:sz w:val="21"/>
                      <w:szCs w:val="21"/>
                      <w:vertAlign w:val="baseline"/>
                    </w:rPr>
                    <w:t>工程名称</w:t>
                  </w:r>
                </w:p>
              </w:tc>
              <w:tc>
                <w:tcPr>
                  <w:tcW w:w="2975" w:type="pct"/>
                  <w:vAlign w:val="center"/>
                </w:tcPr>
                <w:p w14:paraId="500700E8">
                  <w:pPr>
                    <w:pStyle w:val="75"/>
                    <w:keepNext w:val="0"/>
                    <w:keepLines w:val="0"/>
                    <w:pageBreakBefore w:val="0"/>
                    <w:widowControl/>
                    <w:kinsoku/>
                    <w:wordWrap/>
                    <w:overflowPunct/>
                    <w:topLinePunct w:val="0"/>
                    <w:autoSpaceDE/>
                    <w:autoSpaceDN/>
                    <w:bidi w:val="0"/>
                    <w:adjustRightInd/>
                    <w:snapToGrid/>
                    <w:spacing w:line="240" w:lineRule="auto"/>
                    <w:ind w:left="211" w:leftChars="0" w:hanging="211" w:hangingChars="100"/>
                    <w:jc w:val="center"/>
                    <w:textAlignment w:val="auto"/>
                    <w:rPr>
                      <w:rFonts w:hint="default" w:ascii="Times New Roman" w:hAnsi="Times New Roman" w:eastAsia="宋体" w:cs="Times New Roman"/>
                      <w:b/>
                      <w:bCs/>
                      <w:sz w:val="21"/>
                      <w:szCs w:val="21"/>
                      <w:vertAlign w:val="baseline"/>
                    </w:rPr>
                  </w:pPr>
                  <w:r>
                    <w:rPr>
                      <w:rFonts w:hint="default" w:ascii="Times New Roman" w:hAnsi="Times New Roman" w:eastAsia="宋体" w:cs="Times New Roman"/>
                      <w:b/>
                      <w:bCs/>
                      <w:sz w:val="21"/>
                      <w:szCs w:val="21"/>
                      <w:vertAlign w:val="baseline"/>
                    </w:rPr>
                    <w:t>内容与规模</w:t>
                  </w:r>
                </w:p>
              </w:tc>
              <w:tc>
                <w:tcPr>
                  <w:tcW w:w="526" w:type="pct"/>
                  <w:vAlign w:val="center"/>
                </w:tcPr>
                <w:p w14:paraId="368420FB">
                  <w:pPr>
                    <w:pStyle w:val="75"/>
                    <w:keepNext w:val="0"/>
                    <w:keepLines w:val="0"/>
                    <w:pageBreakBefore w:val="0"/>
                    <w:widowControl/>
                    <w:kinsoku/>
                    <w:wordWrap/>
                    <w:overflowPunct/>
                    <w:topLinePunct w:val="0"/>
                    <w:autoSpaceDE/>
                    <w:autoSpaceDN/>
                    <w:bidi w:val="0"/>
                    <w:adjustRightInd/>
                    <w:snapToGrid/>
                    <w:spacing w:line="240" w:lineRule="auto"/>
                    <w:ind w:left="211" w:leftChars="0" w:hanging="211" w:hangingChars="100"/>
                    <w:jc w:val="center"/>
                    <w:textAlignment w:val="auto"/>
                    <w:rPr>
                      <w:rFonts w:hint="default" w:ascii="Times New Roman" w:hAnsi="Times New Roman" w:eastAsia="宋体" w:cs="Times New Roman"/>
                      <w:b/>
                      <w:bCs/>
                      <w:sz w:val="21"/>
                      <w:szCs w:val="21"/>
                      <w:vertAlign w:val="baseline"/>
                    </w:rPr>
                  </w:pPr>
                  <w:r>
                    <w:rPr>
                      <w:rFonts w:hint="default" w:ascii="Times New Roman" w:hAnsi="Times New Roman" w:eastAsia="宋体" w:cs="Times New Roman"/>
                      <w:b/>
                      <w:bCs/>
                      <w:sz w:val="21"/>
                      <w:szCs w:val="21"/>
                      <w:vertAlign w:val="baseline"/>
                    </w:rPr>
                    <w:t>备注</w:t>
                  </w:r>
                </w:p>
              </w:tc>
            </w:tr>
            <w:tr w14:paraId="108CD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jc w:val="center"/>
              </w:trPr>
              <w:tc>
                <w:tcPr>
                  <w:tcW w:w="524" w:type="pct"/>
                  <w:vMerge w:val="restart"/>
                  <w:vAlign w:val="center"/>
                </w:tcPr>
                <w:p w14:paraId="52A4B61D">
                  <w:pPr>
                    <w:pStyle w:val="75"/>
                    <w:keepNext w:val="0"/>
                    <w:keepLines w:val="0"/>
                    <w:pageBreakBefore w:val="0"/>
                    <w:widowControl/>
                    <w:kinsoku/>
                    <w:wordWrap/>
                    <w:overflowPunct/>
                    <w:topLinePunct w:val="0"/>
                    <w:autoSpaceDE/>
                    <w:autoSpaceDN/>
                    <w:bidi w:val="0"/>
                    <w:adjustRightInd/>
                    <w:snapToGrid/>
                    <w:spacing w:line="240" w:lineRule="auto"/>
                    <w:ind w:left="211" w:leftChars="0" w:hanging="211" w:hangingChars="100"/>
                    <w:jc w:val="left"/>
                    <w:textAlignment w:val="auto"/>
                    <w:rPr>
                      <w:rFonts w:hint="default" w:ascii="Times New Roman" w:hAnsi="Times New Roman" w:eastAsia="宋体" w:cs="Times New Roman"/>
                      <w:b/>
                      <w:bCs/>
                      <w:sz w:val="21"/>
                      <w:szCs w:val="21"/>
                      <w:vertAlign w:val="baseline"/>
                    </w:rPr>
                  </w:pPr>
                  <w:r>
                    <w:rPr>
                      <w:rFonts w:hint="default" w:ascii="Times New Roman" w:hAnsi="Times New Roman" w:eastAsia="宋体" w:cs="Times New Roman"/>
                      <w:b/>
                      <w:bCs/>
                      <w:sz w:val="21"/>
                      <w:szCs w:val="21"/>
                      <w:vertAlign w:val="baseline"/>
                    </w:rPr>
                    <w:t>主体工程</w:t>
                  </w:r>
                </w:p>
              </w:tc>
              <w:tc>
                <w:tcPr>
                  <w:tcW w:w="974" w:type="pct"/>
                  <w:vAlign w:val="center"/>
                </w:tcPr>
                <w:p w14:paraId="75B517B0">
                  <w:pPr>
                    <w:pStyle w:val="75"/>
                    <w:keepNext w:val="0"/>
                    <w:keepLines w:val="0"/>
                    <w:pageBreakBefore w:val="0"/>
                    <w:widowControl/>
                    <w:kinsoku/>
                    <w:wordWrap/>
                    <w:overflowPunct/>
                    <w:topLinePunct w:val="0"/>
                    <w:autoSpaceDE/>
                    <w:autoSpaceDN/>
                    <w:bidi w:val="0"/>
                    <w:adjustRightInd/>
                    <w:snapToGrid/>
                    <w:spacing w:line="240" w:lineRule="auto"/>
                    <w:ind w:left="210" w:leftChars="0" w:hanging="210" w:hangingChars="100"/>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1#厂房</w:t>
                  </w:r>
                </w:p>
              </w:tc>
              <w:tc>
                <w:tcPr>
                  <w:tcW w:w="2975" w:type="pct"/>
                  <w:vAlign w:val="center"/>
                </w:tcPr>
                <w:p w14:paraId="41488CE7">
                  <w:pPr>
                    <w:pStyle w:val="75"/>
                    <w:keepNext w:val="0"/>
                    <w:keepLines w:val="0"/>
                    <w:pageBreakBefore w:val="0"/>
                    <w:widowControl/>
                    <w:kinsoku/>
                    <w:wordWrap/>
                    <w:overflowPunct/>
                    <w:topLinePunct w:val="0"/>
                    <w:autoSpaceDE/>
                    <w:autoSpaceDN/>
                    <w:bidi w:val="0"/>
                    <w:adjustRightInd/>
                    <w:snapToGrid/>
                    <w:spacing w:line="240" w:lineRule="auto"/>
                    <w:ind w:left="210" w:leftChars="0" w:hanging="210" w:hangingChars="100"/>
                    <w:jc w:val="center"/>
                    <w:textAlignment w:val="auto"/>
                    <w:rPr>
                      <w:rFonts w:hint="eastAsia" w:ascii="Times New Roman" w:hAnsi="Times New Roman" w:eastAsia="宋体" w:cs="Times New Roman"/>
                      <w:color w:val="auto"/>
                      <w:sz w:val="21"/>
                      <w:szCs w:val="21"/>
                      <w:vertAlign w:val="baseline"/>
                      <w:lang w:eastAsia="zh-CN"/>
                    </w:rPr>
                  </w:pPr>
                  <w:r>
                    <w:rPr>
                      <w:rFonts w:hint="eastAsia" w:cs="Times New Roman"/>
                      <w:color w:val="auto"/>
                      <w:sz w:val="21"/>
                      <w:szCs w:val="21"/>
                      <w:vertAlign w:val="baseline"/>
                      <w:lang w:val="en-US" w:eastAsia="zh-CN"/>
                    </w:rPr>
                    <w:t>1F，高12m，建筑</w:t>
                  </w:r>
                  <w:r>
                    <w:rPr>
                      <w:rFonts w:hint="default" w:ascii="Times New Roman" w:hAnsi="Times New Roman" w:eastAsia="宋体" w:cs="Times New Roman"/>
                      <w:color w:val="auto"/>
                      <w:sz w:val="21"/>
                      <w:szCs w:val="21"/>
                      <w:vertAlign w:val="baseline"/>
                      <w:lang w:val="zh-CN"/>
                    </w:rPr>
                    <w:t>面积</w:t>
                  </w:r>
                  <w:r>
                    <w:rPr>
                      <w:rFonts w:hint="default" w:ascii="Times New Roman" w:hAnsi="Times New Roman" w:eastAsia="宋体" w:cs="Times New Roman"/>
                      <w:color w:val="auto"/>
                      <w:sz w:val="21"/>
                      <w:szCs w:val="21"/>
                      <w:vertAlign w:val="baseline"/>
                      <w:lang w:val="en-US" w:eastAsia="zh-CN"/>
                    </w:rPr>
                    <w:t>1313.76</w:t>
                  </w:r>
                  <w:r>
                    <w:rPr>
                      <w:rFonts w:hint="default" w:ascii="Times New Roman" w:hAnsi="Times New Roman" w:eastAsia="宋体" w:cs="Times New Roman"/>
                      <w:color w:val="auto"/>
                      <w:sz w:val="21"/>
                      <w:szCs w:val="21"/>
                      <w:vertAlign w:val="baseline"/>
                      <w:lang w:val="zh-CN"/>
                    </w:rPr>
                    <w:t>m</w:t>
                  </w:r>
                  <w:r>
                    <w:rPr>
                      <w:rFonts w:hint="default" w:ascii="Times New Roman" w:hAnsi="Times New Roman" w:eastAsia="宋体" w:cs="Times New Roman"/>
                      <w:color w:val="auto"/>
                      <w:sz w:val="21"/>
                      <w:szCs w:val="21"/>
                      <w:vertAlign w:val="superscript"/>
                      <w:lang w:val="zh-CN"/>
                    </w:rPr>
                    <w:t>2</w:t>
                  </w:r>
                  <w:r>
                    <w:rPr>
                      <w:rFonts w:hint="eastAsia"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位于厂区</w:t>
                  </w:r>
                  <w:r>
                    <w:rPr>
                      <w:rFonts w:hint="default" w:ascii="Times New Roman" w:hAnsi="Times New Roman" w:eastAsia="宋体" w:cs="Times New Roman"/>
                      <w:color w:val="auto"/>
                      <w:sz w:val="21"/>
                      <w:szCs w:val="21"/>
                      <w:vertAlign w:val="baseline"/>
                      <w:lang w:eastAsia="zh-CN"/>
                    </w:rPr>
                    <w:t>东</w:t>
                  </w:r>
                  <w:r>
                    <w:rPr>
                      <w:rFonts w:hint="eastAsia" w:cs="Times New Roman"/>
                      <w:color w:val="auto"/>
                      <w:sz w:val="21"/>
                      <w:szCs w:val="21"/>
                      <w:vertAlign w:val="baseline"/>
                      <w:lang w:val="en-US" w:eastAsia="zh-CN"/>
                    </w:rPr>
                    <w:t>南</w:t>
                  </w:r>
                  <w:r>
                    <w:rPr>
                      <w:rFonts w:hint="default" w:ascii="Times New Roman" w:hAnsi="Times New Roman" w:eastAsia="宋体" w:cs="Times New Roman"/>
                      <w:color w:val="auto"/>
                      <w:sz w:val="21"/>
                      <w:szCs w:val="21"/>
                      <w:vertAlign w:val="baseline"/>
                      <w:lang w:eastAsia="zh-CN"/>
                    </w:rPr>
                    <w:t>侧</w:t>
                  </w:r>
                  <w:r>
                    <w:rPr>
                      <w:rFonts w:hint="default" w:ascii="Times New Roman" w:hAnsi="Times New Roman" w:eastAsia="宋体" w:cs="Times New Roman"/>
                      <w:color w:val="auto"/>
                      <w:sz w:val="21"/>
                      <w:szCs w:val="21"/>
                      <w:vertAlign w:val="baseline"/>
                    </w:rPr>
                    <w:t>，</w:t>
                  </w:r>
                  <w:r>
                    <w:rPr>
                      <w:rFonts w:hint="eastAsia" w:cs="Times New Roman"/>
                      <w:color w:val="auto"/>
                      <w:sz w:val="21"/>
                      <w:szCs w:val="21"/>
                      <w:vertAlign w:val="baseline"/>
                      <w:lang w:val="en-US" w:eastAsia="zh-CN"/>
                    </w:rPr>
                    <w:t>主要设置</w:t>
                  </w:r>
                  <w:r>
                    <w:rPr>
                      <w:rFonts w:hint="default" w:ascii="Times New Roman" w:hAnsi="Times New Roman" w:eastAsia="宋体" w:cs="Times New Roman"/>
                      <w:color w:val="auto"/>
                      <w:sz w:val="21"/>
                      <w:szCs w:val="21"/>
                      <w:vertAlign w:val="baseline"/>
                    </w:rPr>
                    <w:t>环保设</w:t>
                  </w:r>
                  <w:r>
                    <w:rPr>
                      <w:rFonts w:hint="default" w:ascii="Times New Roman" w:hAnsi="Times New Roman" w:eastAsia="宋体" w:cs="Times New Roman"/>
                      <w:color w:val="auto"/>
                      <w:sz w:val="21"/>
                      <w:szCs w:val="21"/>
                      <w:vertAlign w:val="baseline"/>
                      <w:lang w:eastAsia="zh-CN"/>
                    </w:rPr>
                    <w:t>备</w:t>
                  </w:r>
                  <w:r>
                    <w:rPr>
                      <w:rFonts w:hint="default" w:ascii="Times New Roman" w:hAnsi="Times New Roman" w:eastAsia="宋体" w:cs="Times New Roman"/>
                      <w:color w:val="auto"/>
                      <w:sz w:val="21"/>
                      <w:szCs w:val="21"/>
                      <w:vertAlign w:val="baseline"/>
                    </w:rPr>
                    <w:t>生产线</w:t>
                  </w:r>
                  <w:r>
                    <w:rPr>
                      <w:rFonts w:hint="eastAsia" w:cs="Times New Roman"/>
                      <w:color w:val="auto"/>
                      <w:sz w:val="21"/>
                      <w:szCs w:val="21"/>
                      <w:vertAlign w:val="baseline"/>
                      <w:lang w:val="en-US" w:eastAsia="zh-CN"/>
                    </w:rPr>
                    <w:t>和注塑生产线</w:t>
                  </w:r>
                  <w:r>
                    <w:rPr>
                      <w:rFonts w:hint="default" w:ascii="Times New Roman" w:hAnsi="Times New Roman" w:eastAsia="宋体" w:cs="Times New Roman"/>
                      <w:color w:val="auto"/>
                      <w:sz w:val="21"/>
                      <w:szCs w:val="21"/>
                      <w:vertAlign w:val="baseline"/>
                    </w:rPr>
                    <w:t>，主要</w:t>
                  </w:r>
                  <w:r>
                    <w:rPr>
                      <w:rFonts w:hint="eastAsia" w:cs="Times New Roman"/>
                      <w:color w:val="auto"/>
                      <w:sz w:val="21"/>
                      <w:szCs w:val="21"/>
                      <w:vertAlign w:val="baseline"/>
                      <w:lang w:val="en-US" w:eastAsia="zh-CN"/>
                    </w:rPr>
                    <w:t>布置注塑机、</w:t>
                  </w:r>
                  <w:r>
                    <w:rPr>
                      <w:rFonts w:hint="default" w:ascii="Times New Roman" w:hAnsi="Times New Roman" w:eastAsia="宋体" w:cs="Times New Roman"/>
                      <w:color w:val="auto"/>
                      <w:sz w:val="21"/>
                      <w:szCs w:val="21"/>
                      <w:vertAlign w:val="baseline"/>
                    </w:rPr>
                    <w:t>环保设</w:t>
                  </w:r>
                  <w:r>
                    <w:rPr>
                      <w:rFonts w:hint="eastAsia" w:ascii="Times New Roman" w:hAnsi="Times New Roman" w:eastAsia="宋体" w:cs="Times New Roman"/>
                      <w:color w:val="auto"/>
                      <w:sz w:val="21"/>
                      <w:szCs w:val="21"/>
                      <w:vertAlign w:val="baseline"/>
                      <w:lang w:eastAsia="zh-CN"/>
                    </w:rPr>
                    <w:t>备</w:t>
                  </w:r>
                  <w:r>
                    <w:rPr>
                      <w:rFonts w:hint="eastAsia" w:cs="Times New Roman"/>
                      <w:color w:val="auto"/>
                      <w:sz w:val="21"/>
                      <w:szCs w:val="21"/>
                      <w:vertAlign w:val="baseline"/>
                      <w:lang w:val="en-US" w:eastAsia="zh-CN"/>
                    </w:rPr>
                    <w:t>生产线</w:t>
                  </w:r>
                  <w:r>
                    <w:rPr>
                      <w:rFonts w:hint="default" w:ascii="Times New Roman" w:hAnsi="Times New Roman" w:eastAsia="宋体" w:cs="Times New Roman"/>
                      <w:color w:val="auto"/>
                      <w:sz w:val="21"/>
                      <w:szCs w:val="21"/>
                      <w:vertAlign w:val="baseline"/>
                    </w:rPr>
                    <w:t>等</w:t>
                  </w:r>
                  <w:r>
                    <w:rPr>
                      <w:rFonts w:hint="eastAsia" w:cs="Times New Roman"/>
                      <w:color w:val="auto"/>
                      <w:sz w:val="21"/>
                      <w:szCs w:val="21"/>
                      <w:vertAlign w:val="baseline"/>
                      <w:lang w:val="en-US" w:eastAsia="zh-CN"/>
                    </w:rPr>
                    <w:t>生产设备</w:t>
                  </w:r>
                  <w:r>
                    <w:rPr>
                      <w:rFonts w:hint="eastAsia" w:cs="Times New Roman"/>
                      <w:color w:val="auto"/>
                      <w:sz w:val="21"/>
                      <w:szCs w:val="21"/>
                      <w:vertAlign w:val="baseline"/>
                      <w:lang w:eastAsia="zh-CN"/>
                    </w:rPr>
                    <w:t>，</w:t>
                  </w:r>
                  <w:r>
                    <w:rPr>
                      <w:rFonts w:hint="eastAsia" w:ascii="Times New Roman" w:hAnsi="Times New Roman" w:eastAsia="宋体" w:cs="Times New Roman"/>
                      <w:color w:val="auto"/>
                      <w:sz w:val="21"/>
                      <w:szCs w:val="21"/>
                      <w:vertAlign w:val="baseline"/>
                      <w:lang w:val="en-US" w:eastAsia="zh-CN"/>
                    </w:rPr>
                    <w:t>主要生产环保设备、封头和PP配件</w:t>
                  </w:r>
                  <w:r>
                    <w:rPr>
                      <w:rFonts w:hint="default" w:ascii="Times New Roman" w:hAnsi="Times New Roman" w:eastAsia="宋体" w:cs="Times New Roman"/>
                      <w:color w:val="auto"/>
                      <w:sz w:val="21"/>
                      <w:szCs w:val="21"/>
                      <w:vertAlign w:val="baseline"/>
                      <w:lang w:eastAsia="zh-CN"/>
                    </w:rPr>
                    <w:t>；</w:t>
                  </w:r>
                </w:p>
              </w:tc>
              <w:tc>
                <w:tcPr>
                  <w:tcW w:w="526" w:type="pct"/>
                  <w:vMerge w:val="restart"/>
                  <w:vAlign w:val="center"/>
                </w:tcPr>
                <w:p w14:paraId="5B74BD2F">
                  <w:pPr>
                    <w:pStyle w:val="75"/>
                    <w:keepNext w:val="0"/>
                    <w:keepLines w:val="0"/>
                    <w:pageBreakBefore w:val="0"/>
                    <w:widowControl/>
                    <w:kinsoku/>
                    <w:wordWrap/>
                    <w:overflowPunct/>
                    <w:topLinePunct w:val="0"/>
                    <w:autoSpaceDE/>
                    <w:autoSpaceDN/>
                    <w:bidi w:val="0"/>
                    <w:adjustRightInd/>
                    <w:snapToGrid/>
                    <w:spacing w:line="240" w:lineRule="auto"/>
                    <w:ind w:left="210" w:leftChars="0" w:hanging="210" w:hangingChars="100"/>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新建</w:t>
                  </w:r>
                </w:p>
              </w:tc>
            </w:tr>
            <w:tr w14:paraId="33D90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jc w:val="center"/>
              </w:trPr>
              <w:tc>
                <w:tcPr>
                  <w:tcW w:w="524" w:type="pct"/>
                  <w:vMerge w:val="continue"/>
                  <w:vAlign w:val="center"/>
                </w:tcPr>
                <w:p w14:paraId="4A433696">
                  <w:pPr>
                    <w:pStyle w:val="75"/>
                    <w:keepNext w:val="0"/>
                    <w:keepLines w:val="0"/>
                    <w:pageBreakBefore w:val="0"/>
                    <w:widowControl/>
                    <w:kinsoku/>
                    <w:wordWrap/>
                    <w:overflowPunct/>
                    <w:topLinePunct w:val="0"/>
                    <w:autoSpaceDE/>
                    <w:autoSpaceDN/>
                    <w:bidi w:val="0"/>
                    <w:adjustRightInd/>
                    <w:snapToGrid/>
                    <w:spacing w:line="240" w:lineRule="auto"/>
                    <w:ind w:left="211" w:leftChars="0" w:hanging="211" w:hangingChars="100"/>
                    <w:jc w:val="left"/>
                    <w:textAlignment w:val="auto"/>
                    <w:rPr>
                      <w:rFonts w:hint="default" w:ascii="Times New Roman" w:hAnsi="Times New Roman" w:eastAsia="宋体" w:cs="Times New Roman"/>
                      <w:b/>
                      <w:bCs/>
                      <w:sz w:val="21"/>
                      <w:szCs w:val="21"/>
                      <w:vertAlign w:val="baseline"/>
                    </w:rPr>
                  </w:pPr>
                </w:p>
              </w:tc>
              <w:tc>
                <w:tcPr>
                  <w:tcW w:w="974" w:type="pct"/>
                  <w:vAlign w:val="center"/>
                </w:tcPr>
                <w:p w14:paraId="155234FF">
                  <w:pPr>
                    <w:pStyle w:val="75"/>
                    <w:keepNext w:val="0"/>
                    <w:keepLines w:val="0"/>
                    <w:pageBreakBefore w:val="0"/>
                    <w:widowControl/>
                    <w:kinsoku/>
                    <w:wordWrap/>
                    <w:overflowPunct/>
                    <w:topLinePunct w:val="0"/>
                    <w:autoSpaceDE/>
                    <w:autoSpaceDN/>
                    <w:bidi w:val="0"/>
                    <w:adjustRightInd/>
                    <w:snapToGrid/>
                    <w:spacing w:line="240" w:lineRule="auto"/>
                    <w:ind w:left="210" w:leftChars="0" w:hanging="210" w:hangingChars="100"/>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2#厂房</w:t>
                  </w:r>
                </w:p>
              </w:tc>
              <w:tc>
                <w:tcPr>
                  <w:tcW w:w="2975" w:type="pct"/>
                  <w:vAlign w:val="center"/>
                </w:tcPr>
                <w:p w14:paraId="5078FD89">
                  <w:pPr>
                    <w:pStyle w:val="75"/>
                    <w:keepNext w:val="0"/>
                    <w:keepLines w:val="0"/>
                    <w:pageBreakBefore w:val="0"/>
                    <w:widowControl/>
                    <w:kinsoku/>
                    <w:wordWrap/>
                    <w:overflowPunct/>
                    <w:topLinePunct w:val="0"/>
                    <w:autoSpaceDE/>
                    <w:autoSpaceDN/>
                    <w:bidi w:val="0"/>
                    <w:adjustRightInd/>
                    <w:snapToGrid/>
                    <w:spacing w:line="240" w:lineRule="auto"/>
                    <w:ind w:left="210" w:leftChars="0" w:hanging="210" w:hangingChars="100"/>
                    <w:jc w:val="center"/>
                    <w:textAlignment w:val="auto"/>
                    <w:rPr>
                      <w:rFonts w:hint="eastAsia" w:ascii="Times New Roman" w:hAnsi="Times New Roman" w:eastAsia="宋体" w:cs="Times New Roman"/>
                      <w:color w:val="auto"/>
                      <w:sz w:val="21"/>
                      <w:szCs w:val="21"/>
                      <w:vertAlign w:val="baseline"/>
                      <w:lang w:eastAsia="zh-CN"/>
                    </w:rPr>
                  </w:pPr>
                  <w:r>
                    <w:rPr>
                      <w:rFonts w:hint="eastAsia" w:cs="Times New Roman"/>
                      <w:color w:val="auto"/>
                      <w:sz w:val="21"/>
                      <w:szCs w:val="21"/>
                      <w:vertAlign w:val="baseline"/>
                      <w:lang w:val="en-US" w:eastAsia="zh-CN"/>
                    </w:rPr>
                    <w:t>1F，高12m，建筑</w:t>
                  </w:r>
                  <w:r>
                    <w:rPr>
                      <w:rFonts w:hint="default" w:ascii="Times New Roman" w:hAnsi="Times New Roman" w:eastAsia="宋体" w:cs="Times New Roman"/>
                      <w:color w:val="auto"/>
                      <w:sz w:val="21"/>
                      <w:szCs w:val="21"/>
                      <w:vertAlign w:val="baseline"/>
                      <w:lang w:val="zh-CN"/>
                    </w:rPr>
                    <w:t>面积</w:t>
                  </w:r>
                  <w:r>
                    <w:rPr>
                      <w:rFonts w:hint="default" w:ascii="Times New Roman" w:hAnsi="Times New Roman" w:eastAsia="宋体" w:cs="Times New Roman"/>
                      <w:color w:val="auto"/>
                      <w:sz w:val="21"/>
                      <w:szCs w:val="21"/>
                      <w:vertAlign w:val="baseline"/>
                      <w:lang w:val="en-US" w:eastAsia="zh-CN"/>
                    </w:rPr>
                    <w:t>1313.76</w:t>
                  </w:r>
                  <w:r>
                    <w:rPr>
                      <w:rFonts w:hint="default" w:ascii="Times New Roman" w:hAnsi="Times New Roman" w:eastAsia="宋体" w:cs="Times New Roman"/>
                      <w:color w:val="auto"/>
                      <w:sz w:val="21"/>
                      <w:szCs w:val="21"/>
                      <w:vertAlign w:val="baseline"/>
                      <w:lang w:val="zh-CN"/>
                    </w:rPr>
                    <w:t>m</w:t>
                  </w:r>
                  <w:r>
                    <w:rPr>
                      <w:rFonts w:hint="default" w:ascii="Times New Roman" w:hAnsi="Times New Roman" w:eastAsia="宋体" w:cs="Times New Roman"/>
                      <w:color w:val="auto"/>
                      <w:sz w:val="21"/>
                      <w:szCs w:val="21"/>
                      <w:vertAlign w:val="superscript"/>
                      <w:lang w:val="zh-CN"/>
                    </w:rPr>
                    <w:t>2</w:t>
                  </w:r>
                  <w:r>
                    <w:rPr>
                      <w:rFonts w:hint="eastAsia"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位于厂区</w:t>
                  </w:r>
                  <w:r>
                    <w:rPr>
                      <w:rFonts w:hint="eastAsia" w:cs="Times New Roman"/>
                      <w:color w:val="auto"/>
                      <w:sz w:val="21"/>
                      <w:szCs w:val="21"/>
                      <w:vertAlign w:val="baseline"/>
                      <w:lang w:val="en-US" w:eastAsia="zh-CN"/>
                    </w:rPr>
                    <w:t>西</w:t>
                  </w:r>
                  <w:r>
                    <w:rPr>
                      <w:rFonts w:hint="default" w:ascii="Times New Roman" w:hAnsi="Times New Roman" w:eastAsia="宋体" w:cs="Times New Roman"/>
                      <w:color w:val="auto"/>
                      <w:sz w:val="21"/>
                      <w:szCs w:val="21"/>
                      <w:vertAlign w:val="baseline"/>
                      <w:lang w:eastAsia="zh-CN"/>
                    </w:rPr>
                    <w:t>南</w:t>
                  </w:r>
                  <w:r>
                    <w:rPr>
                      <w:rFonts w:hint="default" w:ascii="Times New Roman" w:hAnsi="Times New Roman" w:eastAsia="宋体" w:cs="Times New Roman"/>
                      <w:color w:val="auto"/>
                      <w:sz w:val="21"/>
                      <w:szCs w:val="21"/>
                      <w:vertAlign w:val="baseline"/>
                    </w:rPr>
                    <w:t>侧，</w:t>
                  </w:r>
                  <w:r>
                    <w:rPr>
                      <w:rFonts w:hint="eastAsia" w:cs="Times New Roman"/>
                      <w:color w:val="auto"/>
                      <w:sz w:val="21"/>
                      <w:szCs w:val="21"/>
                      <w:vertAlign w:val="baseline"/>
                      <w:lang w:val="en-US" w:eastAsia="zh-CN"/>
                    </w:rPr>
                    <w:t>主要布置挤出机、拉管机、拉板机、缠绕机等生产设备，</w:t>
                  </w:r>
                  <w:r>
                    <w:rPr>
                      <w:rFonts w:hint="eastAsia" w:ascii="Times New Roman" w:hAnsi="Times New Roman" w:eastAsia="宋体" w:cs="Times New Roman"/>
                      <w:color w:val="auto"/>
                      <w:sz w:val="21"/>
                      <w:szCs w:val="21"/>
                      <w:vertAlign w:val="baseline"/>
                      <w:lang w:val="en-US" w:eastAsia="zh-CN"/>
                    </w:rPr>
                    <w:t>主要生产板材、</w:t>
                  </w:r>
                  <w:r>
                    <w:rPr>
                      <w:rFonts w:hint="eastAsia" w:cs="Times New Roman"/>
                      <w:color w:val="auto"/>
                      <w:sz w:val="21"/>
                      <w:szCs w:val="21"/>
                      <w:vertAlign w:val="baseline"/>
                      <w:lang w:val="en-US" w:eastAsia="zh-CN"/>
                    </w:rPr>
                    <w:t>管道</w:t>
                  </w:r>
                  <w:r>
                    <w:rPr>
                      <w:rFonts w:hint="eastAsia" w:ascii="Times New Roman" w:hAnsi="Times New Roman" w:eastAsia="宋体" w:cs="Times New Roman"/>
                      <w:color w:val="auto"/>
                      <w:sz w:val="21"/>
                      <w:szCs w:val="21"/>
                      <w:vertAlign w:val="baseline"/>
                      <w:lang w:val="en-US" w:eastAsia="zh-CN"/>
                    </w:rPr>
                    <w:t>、</w:t>
                  </w:r>
                  <w:r>
                    <w:rPr>
                      <w:rFonts w:hint="eastAsia" w:cs="Times New Roman"/>
                      <w:color w:val="auto"/>
                      <w:sz w:val="21"/>
                      <w:szCs w:val="21"/>
                      <w:vertAlign w:val="baseline"/>
                      <w:lang w:val="en-US" w:eastAsia="zh-CN"/>
                    </w:rPr>
                    <w:t>缠绕桶</w:t>
                  </w:r>
                  <w:r>
                    <w:rPr>
                      <w:rFonts w:hint="default" w:ascii="Times New Roman" w:hAnsi="Times New Roman" w:eastAsia="宋体" w:cs="Times New Roman"/>
                      <w:color w:val="auto"/>
                      <w:sz w:val="21"/>
                      <w:szCs w:val="21"/>
                      <w:vertAlign w:val="baseline"/>
                      <w:lang w:eastAsia="zh-CN"/>
                    </w:rPr>
                    <w:t>；</w:t>
                  </w:r>
                </w:p>
              </w:tc>
              <w:tc>
                <w:tcPr>
                  <w:tcW w:w="526" w:type="pct"/>
                  <w:vMerge w:val="continue"/>
                  <w:vAlign w:val="center"/>
                </w:tcPr>
                <w:p w14:paraId="6F336843">
                  <w:pPr>
                    <w:pStyle w:val="75"/>
                    <w:keepNext w:val="0"/>
                    <w:keepLines w:val="0"/>
                    <w:pageBreakBefore w:val="0"/>
                    <w:widowControl/>
                    <w:kinsoku/>
                    <w:wordWrap/>
                    <w:overflowPunct/>
                    <w:topLinePunct w:val="0"/>
                    <w:autoSpaceDE/>
                    <w:autoSpaceDN/>
                    <w:bidi w:val="0"/>
                    <w:adjustRightInd/>
                    <w:snapToGrid/>
                    <w:spacing w:line="240" w:lineRule="auto"/>
                    <w:ind w:left="210" w:leftChars="0" w:hanging="210" w:hangingChars="100"/>
                    <w:jc w:val="center"/>
                    <w:textAlignment w:val="auto"/>
                    <w:rPr>
                      <w:rFonts w:hint="default" w:ascii="Times New Roman" w:hAnsi="Times New Roman" w:eastAsia="宋体" w:cs="Times New Roman"/>
                      <w:sz w:val="21"/>
                      <w:szCs w:val="21"/>
                      <w:vertAlign w:val="baseline"/>
                    </w:rPr>
                  </w:pPr>
                </w:p>
              </w:tc>
            </w:tr>
            <w:tr w14:paraId="34D24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524" w:type="pct"/>
                  <w:vMerge w:val="restart"/>
                  <w:vAlign w:val="center"/>
                </w:tcPr>
                <w:p w14:paraId="782BBBED">
                  <w:pPr>
                    <w:pStyle w:val="75"/>
                    <w:keepNext w:val="0"/>
                    <w:keepLines w:val="0"/>
                    <w:pageBreakBefore w:val="0"/>
                    <w:widowControl/>
                    <w:kinsoku/>
                    <w:wordWrap/>
                    <w:overflowPunct/>
                    <w:topLinePunct w:val="0"/>
                    <w:autoSpaceDE/>
                    <w:autoSpaceDN/>
                    <w:bidi w:val="0"/>
                    <w:adjustRightInd/>
                    <w:snapToGrid/>
                    <w:spacing w:line="240" w:lineRule="auto"/>
                    <w:ind w:left="211" w:leftChars="0" w:hanging="211" w:hangingChars="100"/>
                    <w:jc w:val="left"/>
                    <w:textAlignment w:val="auto"/>
                    <w:rPr>
                      <w:rFonts w:hint="default" w:ascii="Times New Roman" w:hAnsi="Times New Roman" w:eastAsia="宋体" w:cs="Times New Roman"/>
                      <w:b/>
                      <w:bCs/>
                      <w:sz w:val="21"/>
                      <w:szCs w:val="21"/>
                      <w:vertAlign w:val="baseline"/>
                    </w:rPr>
                  </w:pPr>
                  <w:r>
                    <w:rPr>
                      <w:rFonts w:hint="default" w:ascii="Times New Roman" w:hAnsi="Times New Roman" w:eastAsia="宋体" w:cs="Times New Roman"/>
                      <w:b/>
                      <w:bCs/>
                      <w:sz w:val="21"/>
                      <w:szCs w:val="21"/>
                      <w:vertAlign w:val="baseline"/>
                    </w:rPr>
                    <w:t>储运工程</w:t>
                  </w:r>
                </w:p>
              </w:tc>
              <w:tc>
                <w:tcPr>
                  <w:tcW w:w="974" w:type="pct"/>
                  <w:vAlign w:val="center"/>
                </w:tcPr>
                <w:p w14:paraId="5EE8D646">
                  <w:pPr>
                    <w:pStyle w:val="75"/>
                    <w:keepNext w:val="0"/>
                    <w:keepLines w:val="0"/>
                    <w:pageBreakBefore w:val="0"/>
                    <w:widowControl/>
                    <w:kinsoku/>
                    <w:wordWrap/>
                    <w:overflowPunct/>
                    <w:topLinePunct w:val="0"/>
                    <w:autoSpaceDE/>
                    <w:autoSpaceDN/>
                    <w:bidi w:val="0"/>
                    <w:adjustRightInd/>
                    <w:snapToGrid/>
                    <w:spacing w:line="240" w:lineRule="auto"/>
                    <w:ind w:left="210" w:leftChars="0" w:hanging="210" w:hangingChars="100"/>
                    <w:jc w:val="center"/>
                    <w:textAlignment w:val="auto"/>
                    <w:rPr>
                      <w:rFonts w:hint="eastAsia"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仓库</w:t>
                  </w:r>
                </w:p>
              </w:tc>
              <w:tc>
                <w:tcPr>
                  <w:tcW w:w="2975" w:type="pct"/>
                  <w:vAlign w:val="center"/>
                </w:tcPr>
                <w:p w14:paraId="7CC6B6C9">
                  <w:pPr>
                    <w:pStyle w:val="75"/>
                    <w:keepNext w:val="0"/>
                    <w:keepLines w:val="0"/>
                    <w:pageBreakBefore w:val="0"/>
                    <w:widowControl/>
                    <w:kinsoku/>
                    <w:wordWrap/>
                    <w:overflowPunct/>
                    <w:topLinePunct w:val="0"/>
                    <w:autoSpaceDE/>
                    <w:autoSpaceDN/>
                    <w:bidi w:val="0"/>
                    <w:adjustRightInd/>
                    <w:snapToGrid/>
                    <w:spacing w:line="240" w:lineRule="auto"/>
                    <w:ind w:left="210" w:leftChars="0" w:hanging="210" w:hangingChars="100"/>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1F，高12m，建筑</w:t>
                  </w:r>
                  <w:r>
                    <w:rPr>
                      <w:rFonts w:hint="eastAsia" w:ascii="Times New Roman" w:hAnsi="Times New Roman" w:eastAsia="宋体" w:cs="Times New Roman"/>
                      <w:sz w:val="21"/>
                      <w:szCs w:val="21"/>
                      <w:vertAlign w:val="baseline"/>
                      <w:lang w:eastAsia="zh-CN"/>
                    </w:rPr>
                    <w:t>面积</w:t>
                  </w:r>
                  <w:r>
                    <w:rPr>
                      <w:rFonts w:hint="eastAsia" w:ascii="Times New Roman" w:hAnsi="Times New Roman" w:eastAsia="宋体" w:cs="Times New Roman"/>
                      <w:sz w:val="21"/>
                      <w:szCs w:val="21"/>
                      <w:vertAlign w:val="baseline"/>
                      <w:lang w:val="en-US" w:eastAsia="zh-CN"/>
                    </w:rPr>
                    <w:t>360</w:t>
                  </w:r>
                  <w:r>
                    <w:rPr>
                      <w:rFonts w:hint="default" w:ascii="Times New Roman" w:hAnsi="Times New Roman" w:eastAsia="宋体" w:cs="Times New Roman"/>
                      <w:sz w:val="21"/>
                      <w:szCs w:val="21"/>
                      <w:vertAlign w:val="baseline"/>
                      <w:lang w:val="zh-CN"/>
                    </w:rPr>
                    <w:t>m</w:t>
                  </w:r>
                  <w:r>
                    <w:rPr>
                      <w:rFonts w:hint="default" w:ascii="Times New Roman" w:hAnsi="Times New Roman" w:eastAsia="宋体" w:cs="Times New Roman"/>
                      <w:sz w:val="21"/>
                      <w:szCs w:val="21"/>
                      <w:vertAlign w:val="superscript"/>
                      <w:lang w:val="zh-CN"/>
                    </w:rPr>
                    <w:t>2</w:t>
                  </w:r>
                  <w:r>
                    <w:rPr>
                      <w:rFonts w:hint="eastAsia" w:ascii="Times New Roman" w:hAnsi="Times New Roman" w:eastAsia="宋体" w:cs="Times New Roman"/>
                      <w:sz w:val="21"/>
                      <w:szCs w:val="21"/>
                      <w:vertAlign w:val="baseline"/>
                      <w:lang w:eastAsia="zh-CN"/>
                    </w:rPr>
                    <w:t>，位于厂区西</w:t>
                  </w:r>
                  <w:r>
                    <w:rPr>
                      <w:rFonts w:hint="eastAsia" w:cs="Times New Roman"/>
                      <w:sz w:val="21"/>
                      <w:szCs w:val="21"/>
                      <w:vertAlign w:val="baseline"/>
                      <w:lang w:val="en-US" w:eastAsia="zh-CN"/>
                    </w:rPr>
                    <w:t>北</w:t>
                  </w:r>
                  <w:r>
                    <w:rPr>
                      <w:rFonts w:hint="eastAsia" w:ascii="Times New Roman" w:hAnsi="Times New Roman" w:eastAsia="宋体" w:cs="Times New Roman"/>
                      <w:sz w:val="21"/>
                      <w:szCs w:val="21"/>
                      <w:vertAlign w:val="baseline"/>
                      <w:lang w:eastAsia="zh-CN"/>
                    </w:rPr>
                    <w:t>侧，主要用于</w:t>
                  </w:r>
                  <w:r>
                    <w:rPr>
                      <w:rFonts w:hint="eastAsia" w:cs="Times New Roman"/>
                      <w:sz w:val="21"/>
                      <w:szCs w:val="21"/>
                      <w:vertAlign w:val="baseline"/>
                      <w:lang w:val="en-US" w:eastAsia="zh-CN"/>
                    </w:rPr>
                    <w:t>成品的储存。</w:t>
                  </w:r>
                </w:p>
              </w:tc>
              <w:tc>
                <w:tcPr>
                  <w:tcW w:w="526" w:type="pct"/>
                  <w:vMerge w:val="restart"/>
                  <w:vAlign w:val="center"/>
                </w:tcPr>
                <w:p w14:paraId="47A0267D">
                  <w:pPr>
                    <w:pStyle w:val="75"/>
                    <w:keepNext w:val="0"/>
                    <w:keepLines w:val="0"/>
                    <w:pageBreakBefore w:val="0"/>
                    <w:widowControl/>
                    <w:kinsoku/>
                    <w:wordWrap/>
                    <w:overflowPunct/>
                    <w:topLinePunct w:val="0"/>
                    <w:autoSpaceDE/>
                    <w:autoSpaceDN/>
                    <w:bidi w:val="0"/>
                    <w:adjustRightInd/>
                    <w:snapToGrid/>
                    <w:spacing w:line="240" w:lineRule="auto"/>
                    <w:ind w:left="210" w:leftChars="0" w:hanging="210" w:hangingChars="100"/>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新建</w:t>
                  </w:r>
                </w:p>
              </w:tc>
            </w:tr>
            <w:tr w14:paraId="36FF8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524" w:type="pct"/>
                  <w:vMerge w:val="restart"/>
                  <w:vAlign w:val="center"/>
                </w:tcPr>
                <w:p w14:paraId="5A253B87">
                  <w:pPr>
                    <w:pStyle w:val="75"/>
                    <w:keepNext w:val="0"/>
                    <w:keepLines w:val="0"/>
                    <w:pageBreakBefore w:val="0"/>
                    <w:widowControl/>
                    <w:kinsoku/>
                    <w:wordWrap/>
                    <w:overflowPunct/>
                    <w:topLinePunct w:val="0"/>
                    <w:autoSpaceDE/>
                    <w:autoSpaceDN/>
                    <w:bidi w:val="0"/>
                    <w:adjustRightInd/>
                    <w:snapToGrid/>
                    <w:spacing w:line="240" w:lineRule="auto"/>
                    <w:ind w:left="211" w:leftChars="0" w:hanging="211" w:hangingChars="100"/>
                    <w:jc w:val="left"/>
                    <w:textAlignment w:val="auto"/>
                    <w:rPr>
                      <w:rFonts w:hint="default" w:ascii="Times New Roman" w:hAnsi="Times New Roman" w:eastAsia="宋体" w:cs="Times New Roman"/>
                      <w:b/>
                      <w:bCs/>
                      <w:sz w:val="21"/>
                      <w:szCs w:val="21"/>
                      <w:vertAlign w:val="baseline"/>
                    </w:rPr>
                  </w:pPr>
                  <w:r>
                    <w:rPr>
                      <w:rFonts w:hint="default" w:ascii="Times New Roman" w:hAnsi="Times New Roman" w:eastAsia="宋体" w:cs="Times New Roman"/>
                      <w:b/>
                      <w:bCs/>
                      <w:sz w:val="21"/>
                      <w:szCs w:val="21"/>
                      <w:vertAlign w:val="baseline"/>
                    </w:rPr>
                    <w:t>辅助工程</w:t>
                  </w:r>
                </w:p>
              </w:tc>
              <w:tc>
                <w:tcPr>
                  <w:tcW w:w="974" w:type="pct"/>
                  <w:vAlign w:val="center"/>
                </w:tcPr>
                <w:p w14:paraId="4E117840">
                  <w:pPr>
                    <w:pStyle w:val="75"/>
                    <w:keepNext w:val="0"/>
                    <w:keepLines w:val="0"/>
                    <w:pageBreakBefore w:val="0"/>
                    <w:widowControl/>
                    <w:kinsoku/>
                    <w:wordWrap/>
                    <w:overflowPunct/>
                    <w:topLinePunct w:val="0"/>
                    <w:autoSpaceDE/>
                    <w:autoSpaceDN/>
                    <w:bidi w:val="0"/>
                    <w:adjustRightInd/>
                    <w:snapToGrid/>
                    <w:spacing w:line="240" w:lineRule="auto"/>
                    <w:ind w:left="210" w:leftChars="0" w:hanging="210" w:hangingChars="100"/>
                    <w:jc w:val="center"/>
                    <w:textAlignment w:val="auto"/>
                    <w:rPr>
                      <w:rFonts w:hint="eastAsia"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t>综合楼</w:t>
                  </w:r>
                </w:p>
              </w:tc>
              <w:tc>
                <w:tcPr>
                  <w:tcW w:w="2975" w:type="pct"/>
                  <w:vAlign w:val="center"/>
                </w:tcPr>
                <w:p w14:paraId="4DE84B79">
                  <w:pPr>
                    <w:pStyle w:val="75"/>
                    <w:keepNext w:val="0"/>
                    <w:keepLines w:val="0"/>
                    <w:pageBreakBefore w:val="0"/>
                    <w:widowControl/>
                    <w:kinsoku/>
                    <w:wordWrap/>
                    <w:overflowPunct/>
                    <w:topLinePunct w:val="0"/>
                    <w:autoSpaceDE/>
                    <w:autoSpaceDN/>
                    <w:bidi w:val="0"/>
                    <w:adjustRightInd/>
                    <w:snapToGrid/>
                    <w:spacing w:line="240" w:lineRule="auto"/>
                    <w:ind w:left="210" w:leftChars="0" w:hanging="210" w:hangingChars="100"/>
                    <w:jc w:val="center"/>
                    <w:textAlignment w:val="auto"/>
                    <w:rPr>
                      <w:rFonts w:hint="eastAsia" w:ascii="Times New Roman" w:hAnsi="Times New Roman" w:eastAsia="宋体" w:cs="Times New Roman"/>
                      <w:sz w:val="21"/>
                      <w:szCs w:val="21"/>
                      <w:vertAlign w:val="baseline"/>
                      <w:lang w:eastAsia="zh-CN"/>
                    </w:rPr>
                  </w:pPr>
                  <w:r>
                    <w:rPr>
                      <w:rFonts w:hint="eastAsia" w:cs="Times New Roman"/>
                      <w:sz w:val="21"/>
                      <w:szCs w:val="21"/>
                      <w:vertAlign w:val="baseline"/>
                      <w:lang w:val="en-US" w:eastAsia="zh-CN"/>
                    </w:rPr>
                    <w:t>3F，高10m，</w:t>
                  </w:r>
                  <w:r>
                    <w:rPr>
                      <w:rFonts w:hint="default" w:ascii="Times New Roman" w:hAnsi="Times New Roman" w:eastAsia="宋体" w:cs="Times New Roman"/>
                      <w:sz w:val="21"/>
                      <w:szCs w:val="21"/>
                      <w:vertAlign w:val="baseline"/>
                    </w:rPr>
                    <w:t>位于1#厂房</w:t>
                  </w:r>
                  <w:r>
                    <w:rPr>
                      <w:rFonts w:hint="eastAsia" w:ascii="Times New Roman" w:hAnsi="Times New Roman" w:eastAsia="宋体" w:cs="Times New Roman"/>
                      <w:sz w:val="21"/>
                      <w:szCs w:val="21"/>
                      <w:vertAlign w:val="baseline"/>
                      <w:lang w:eastAsia="zh-CN"/>
                    </w:rPr>
                    <w:t>北</w:t>
                  </w:r>
                  <w:r>
                    <w:rPr>
                      <w:rFonts w:hint="default" w:ascii="Times New Roman" w:hAnsi="Times New Roman" w:eastAsia="宋体" w:cs="Times New Roman"/>
                      <w:sz w:val="21"/>
                      <w:szCs w:val="21"/>
                      <w:vertAlign w:val="baseline"/>
                    </w:rPr>
                    <w:t>侧，</w:t>
                  </w:r>
                  <w:r>
                    <w:rPr>
                      <w:rFonts w:hint="eastAsia" w:cs="Times New Roman"/>
                      <w:sz w:val="21"/>
                      <w:szCs w:val="21"/>
                      <w:vertAlign w:val="baseline"/>
                      <w:lang w:val="en-US" w:eastAsia="zh-CN"/>
                    </w:rPr>
                    <w:t>建筑</w:t>
                  </w:r>
                  <w:r>
                    <w:rPr>
                      <w:rFonts w:hint="default" w:ascii="Times New Roman" w:hAnsi="Times New Roman" w:eastAsia="宋体" w:cs="Times New Roman"/>
                      <w:sz w:val="21"/>
                      <w:szCs w:val="21"/>
                      <w:vertAlign w:val="baseline"/>
                    </w:rPr>
                    <w:t>面积</w:t>
                  </w:r>
                  <w:r>
                    <w:rPr>
                      <w:rFonts w:hint="eastAsia" w:cs="Times New Roman"/>
                      <w:sz w:val="21"/>
                      <w:szCs w:val="21"/>
                      <w:vertAlign w:val="baseline"/>
                      <w:lang w:val="en-US" w:eastAsia="zh-CN"/>
                    </w:rPr>
                    <w:t>598.8</w:t>
                  </w:r>
                  <w:r>
                    <w:rPr>
                      <w:rFonts w:hint="default" w:ascii="Times New Roman" w:hAnsi="Times New Roman" w:eastAsia="宋体" w:cs="Times New Roman"/>
                      <w:sz w:val="21"/>
                      <w:szCs w:val="21"/>
                      <w:vertAlign w:val="baseline"/>
                      <w:lang w:val="zh-CN"/>
                    </w:rPr>
                    <w:t>m</w:t>
                  </w:r>
                  <w:r>
                    <w:rPr>
                      <w:rFonts w:hint="default" w:ascii="Times New Roman" w:hAnsi="Times New Roman" w:eastAsia="宋体" w:cs="Times New Roman"/>
                      <w:sz w:val="21"/>
                      <w:szCs w:val="21"/>
                      <w:vertAlign w:val="superscript"/>
                      <w:lang w:val="zh-CN"/>
                    </w:rPr>
                    <w:t>2</w:t>
                  </w:r>
                  <w:r>
                    <w:rPr>
                      <w:rFonts w:hint="eastAsia" w:cs="Times New Roman"/>
                      <w:sz w:val="21"/>
                      <w:szCs w:val="21"/>
                      <w:vertAlign w:val="baseline"/>
                      <w:lang w:eastAsia="zh-CN"/>
                    </w:rPr>
                    <w:t>，</w:t>
                  </w:r>
                  <w:r>
                    <w:rPr>
                      <w:rFonts w:hint="default" w:ascii="Times New Roman" w:hAnsi="Times New Roman" w:eastAsia="宋体" w:cs="Times New Roman"/>
                      <w:sz w:val="21"/>
                      <w:szCs w:val="21"/>
                      <w:vertAlign w:val="baseline"/>
                    </w:rPr>
                    <w:t>用于</w:t>
                  </w:r>
                  <w:r>
                    <w:rPr>
                      <w:rFonts w:hint="eastAsia" w:cs="Times New Roman"/>
                      <w:sz w:val="21"/>
                      <w:szCs w:val="21"/>
                      <w:vertAlign w:val="baseline"/>
                      <w:lang w:val="en-US" w:eastAsia="zh-CN"/>
                    </w:rPr>
                    <w:t>员工</w:t>
                  </w:r>
                  <w:r>
                    <w:rPr>
                      <w:rFonts w:hint="default" w:ascii="Times New Roman" w:hAnsi="Times New Roman" w:eastAsia="宋体" w:cs="Times New Roman"/>
                      <w:sz w:val="21"/>
                      <w:szCs w:val="21"/>
                      <w:vertAlign w:val="baseline"/>
                    </w:rPr>
                    <w:t>行政办公</w:t>
                  </w:r>
                  <w:r>
                    <w:rPr>
                      <w:rFonts w:hint="eastAsia" w:cs="Times New Roman"/>
                      <w:sz w:val="21"/>
                      <w:szCs w:val="21"/>
                      <w:vertAlign w:val="baseline"/>
                      <w:lang w:eastAsia="zh-CN"/>
                    </w:rPr>
                    <w:t>。</w:t>
                  </w:r>
                </w:p>
              </w:tc>
              <w:tc>
                <w:tcPr>
                  <w:tcW w:w="526" w:type="pct"/>
                  <w:vMerge w:val="restart"/>
                  <w:vAlign w:val="center"/>
                </w:tcPr>
                <w:p w14:paraId="7427AAA7">
                  <w:pPr>
                    <w:pStyle w:val="75"/>
                    <w:keepNext w:val="0"/>
                    <w:keepLines w:val="0"/>
                    <w:pageBreakBefore w:val="0"/>
                    <w:widowControl/>
                    <w:kinsoku/>
                    <w:wordWrap/>
                    <w:overflowPunct/>
                    <w:topLinePunct w:val="0"/>
                    <w:autoSpaceDE/>
                    <w:autoSpaceDN/>
                    <w:bidi w:val="0"/>
                    <w:adjustRightInd/>
                    <w:snapToGrid/>
                    <w:spacing w:line="240" w:lineRule="auto"/>
                    <w:ind w:left="210" w:leftChars="0" w:hanging="210" w:hangingChars="100"/>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新建</w:t>
                  </w:r>
                </w:p>
              </w:tc>
            </w:tr>
            <w:tr w14:paraId="2950E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524" w:type="pct"/>
                  <w:vMerge w:val="continue"/>
                  <w:vAlign w:val="center"/>
                </w:tcPr>
                <w:p w14:paraId="217D7F16">
                  <w:pPr>
                    <w:pStyle w:val="75"/>
                    <w:keepNext w:val="0"/>
                    <w:keepLines w:val="0"/>
                    <w:pageBreakBefore w:val="0"/>
                    <w:widowControl/>
                    <w:kinsoku/>
                    <w:wordWrap/>
                    <w:overflowPunct/>
                    <w:topLinePunct w:val="0"/>
                    <w:autoSpaceDE/>
                    <w:autoSpaceDN/>
                    <w:bidi w:val="0"/>
                    <w:adjustRightInd/>
                    <w:snapToGrid/>
                    <w:spacing w:line="240" w:lineRule="auto"/>
                    <w:ind w:left="211" w:leftChars="0" w:hanging="211" w:hangingChars="100"/>
                    <w:jc w:val="left"/>
                    <w:textAlignment w:val="auto"/>
                    <w:rPr>
                      <w:rFonts w:hint="default" w:ascii="Times New Roman" w:hAnsi="Times New Roman" w:eastAsia="宋体" w:cs="Times New Roman"/>
                      <w:b/>
                      <w:bCs/>
                      <w:sz w:val="21"/>
                      <w:szCs w:val="21"/>
                      <w:vertAlign w:val="baseline"/>
                    </w:rPr>
                  </w:pPr>
                </w:p>
              </w:tc>
              <w:tc>
                <w:tcPr>
                  <w:tcW w:w="974" w:type="pct"/>
                  <w:vAlign w:val="center"/>
                </w:tcPr>
                <w:p w14:paraId="04D5C42E">
                  <w:pPr>
                    <w:pStyle w:val="75"/>
                    <w:keepNext w:val="0"/>
                    <w:keepLines w:val="0"/>
                    <w:pageBreakBefore w:val="0"/>
                    <w:widowControl/>
                    <w:kinsoku/>
                    <w:wordWrap/>
                    <w:overflowPunct/>
                    <w:topLinePunct w:val="0"/>
                    <w:autoSpaceDE/>
                    <w:autoSpaceDN/>
                    <w:bidi w:val="0"/>
                    <w:adjustRightInd/>
                    <w:snapToGrid/>
                    <w:spacing w:line="240" w:lineRule="auto"/>
                    <w:ind w:left="210" w:leftChars="0" w:hanging="210" w:hangingChars="100"/>
                    <w:jc w:val="center"/>
                    <w:textAlignment w:val="auto"/>
                    <w:rPr>
                      <w:rFonts w:hint="eastAsia" w:ascii="Times New Roman" w:hAnsi="Times New Roman" w:eastAsia="宋体" w:cs="Times New Roman"/>
                      <w:sz w:val="21"/>
                      <w:szCs w:val="21"/>
                      <w:vertAlign w:val="baseline"/>
                      <w:lang w:eastAsia="zh-CN"/>
                    </w:rPr>
                  </w:pPr>
                  <w:r>
                    <w:rPr>
                      <w:rFonts w:hint="eastAsia" w:cs="Times New Roman"/>
                      <w:sz w:val="21"/>
                      <w:szCs w:val="21"/>
                      <w:vertAlign w:val="baseline"/>
                      <w:lang w:val="en-US" w:eastAsia="zh-CN"/>
                    </w:rPr>
                    <w:t>消防</w:t>
                  </w:r>
                  <w:r>
                    <w:rPr>
                      <w:rFonts w:hint="eastAsia" w:ascii="Times New Roman" w:hAnsi="Times New Roman" w:eastAsia="宋体" w:cs="Times New Roman"/>
                      <w:sz w:val="21"/>
                      <w:szCs w:val="21"/>
                      <w:vertAlign w:val="baseline"/>
                      <w:lang w:eastAsia="zh-CN"/>
                    </w:rPr>
                    <w:t>水池</w:t>
                  </w:r>
                </w:p>
              </w:tc>
              <w:tc>
                <w:tcPr>
                  <w:tcW w:w="2975" w:type="pct"/>
                  <w:vAlign w:val="center"/>
                </w:tcPr>
                <w:p w14:paraId="508507D7">
                  <w:pPr>
                    <w:pStyle w:val="75"/>
                    <w:keepNext w:val="0"/>
                    <w:keepLines w:val="0"/>
                    <w:pageBreakBefore w:val="0"/>
                    <w:widowControl/>
                    <w:kinsoku/>
                    <w:wordWrap/>
                    <w:overflowPunct/>
                    <w:topLinePunct w:val="0"/>
                    <w:autoSpaceDE/>
                    <w:autoSpaceDN/>
                    <w:bidi w:val="0"/>
                    <w:adjustRightInd/>
                    <w:snapToGrid/>
                    <w:spacing w:line="240" w:lineRule="auto"/>
                    <w:ind w:left="210" w:leftChars="0" w:hanging="210" w:hangingChars="100"/>
                    <w:jc w:val="center"/>
                    <w:textAlignment w:val="auto"/>
                    <w:rPr>
                      <w:rFonts w:hint="eastAsia"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t>位于</w:t>
                  </w:r>
                  <w:r>
                    <w:rPr>
                      <w:rFonts w:hint="default" w:ascii="Times New Roman" w:hAnsi="Times New Roman" w:eastAsia="宋体" w:cs="Times New Roman"/>
                      <w:sz w:val="21"/>
                      <w:szCs w:val="21"/>
                      <w:vertAlign w:val="baseline"/>
                    </w:rPr>
                    <w:t>2#厂房</w:t>
                  </w:r>
                  <w:r>
                    <w:rPr>
                      <w:rFonts w:hint="eastAsia" w:ascii="Times New Roman" w:hAnsi="Times New Roman" w:eastAsia="宋体" w:cs="Times New Roman"/>
                      <w:sz w:val="21"/>
                      <w:szCs w:val="21"/>
                      <w:vertAlign w:val="baseline"/>
                      <w:lang w:eastAsia="zh-CN"/>
                    </w:rPr>
                    <w:t>的西南侧。</w:t>
                  </w:r>
                </w:p>
              </w:tc>
              <w:tc>
                <w:tcPr>
                  <w:tcW w:w="526" w:type="pct"/>
                  <w:vMerge w:val="continue"/>
                  <w:vAlign w:val="center"/>
                </w:tcPr>
                <w:p w14:paraId="55AA2386">
                  <w:pPr>
                    <w:pStyle w:val="75"/>
                    <w:keepNext w:val="0"/>
                    <w:keepLines w:val="0"/>
                    <w:pageBreakBefore w:val="0"/>
                    <w:widowControl/>
                    <w:kinsoku/>
                    <w:wordWrap/>
                    <w:overflowPunct/>
                    <w:topLinePunct w:val="0"/>
                    <w:autoSpaceDE/>
                    <w:autoSpaceDN/>
                    <w:bidi w:val="0"/>
                    <w:adjustRightInd/>
                    <w:snapToGrid/>
                    <w:spacing w:line="240" w:lineRule="auto"/>
                    <w:ind w:left="210" w:leftChars="0" w:hanging="210" w:hangingChars="100"/>
                    <w:jc w:val="center"/>
                    <w:textAlignment w:val="auto"/>
                    <w:rPr>
                      <w:rFonts w:hint="default" w:ascii="Times New Roman" w:hAnsi="Times New Roman" w:eastAsia="宋体" w:cs="Times New Roman"/>
                      <w:sz w:val="21"/>
                      <w:szCs w:val="21"/>
                      <w:vertAlign w:val="baseline"/>
                    </w:rPr>
                  </w:pPr>
                </w:p>
              </w:tc>
            </w:tr>
            <w:tr w14:paraId="69387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524" w:type="pct"/>
                  <w:vMerge w:val="continue"/>
                  <w:vAlign w:val="center"/>
                </w:tcPr>
                <w:p w14:paraId="59296D5E">
                  <w:pPr>
                    <w:pStyle w:val="75"/>
                    <w:keepNext w:val="0"/>
                    <w:keepLines w:val="0"/>
                    <w:pageBreakBefore w:val="0"/>
                    <w:widowControl/>
                    <w:kinsoku/>
                    <w:wordWrap/>
                    <w:overflowPunct/>
                    <w:topLinePunct w:val="0"/>
                    <w:autoSpaceDE/>
                    <w:autoSpaceDN/>
                    <w:bidi w:val="0"/>
                    <w:adjustRightInd/>
                    <w:snapToGrid/>
                    <w:spacing w:line="240" w:lineRule="auto"/>
                    <w:ind w:left="211" w:leftChars="0" w:hanging="211" w:hangingChars="100"/>
                    <w:jc w:val="left"/>
                    <w:textAlignment w:val="auto"/>
                    <w:rPr>
                      <w:rFonts w:hint="default" w:ascii="Times New Roman" w:hAnsi="Times New Roman" w:eastAsia="宋体" w:cs="Times New Roman"/>
                      <w:b/>
                      <w:bCs/>
                      <w:sz w:val="21"/>
                      <w:szCs w:val="21"/>
                      <w:vertAlign w:val="baseline"/>
                    </w:rPr>
                  </w:pPr>
                </w:p>
              </w:tc>
              <w:tc>
                <w:tcPr>
                  <w:tcW w:w="974" w:type="pct"/>
                  <w:vAlign w:val="center"/>
                </w:tcPr>
                <w:p w14:paraId="5E5B444F">
                  <w:pPr>
                    <w:pStyle w:val="75"/>
                    <w:keepNext w:val="0"/>
                    <w:keepLines w:val="0"/>
                    <w:pageBreakBefore w:val="0"/>
                    <w:widowControl/>
                    <w:kinsoku/>
                    <w:wordWrap/>
                    <w:overflowPunct/>
                    <w:topLinePunct w:val="0"/>
                    <w:autoSpaceDE/>
                    <w:autoSpaceDN/>
                    <w:bidi w:val="0"/>
                    <w:adjustRightInd/>
                    <w:snapToGrid/>
                    <w:spacing w:line="240" w:lineRule="auto"/>
                    <w:ind w:left="210" w:leftChars="0" w:hanging="210" w:hangingChars="100"/>
                    <w:jc w:val="center"/>
                    <w:textAlignment w:val="auto"/>
                    <w:rPr>
                      <w:rFonts w:hint="eastAsia"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t>发电机房</w:t>
                  </w:r>
                </w:p>
              </w:tc>
              <w:tc>
                <w:tcPr>
                  <w:tcW w:w="2975" w:type="pct"/>
                  <w:vAlign w:val="center"/>
                </w:tcPr>
                <w:p w14:paraId="3A66A1CE">
                  <w:pPr>
                    <w:pStyle w:val="75"/>
                    <w:keepNext w:val="0"/>
                    <w:keepLines w:val="0"/>
                    <w:pageBreakBefore w:val="0"/>
                    <w:widowControl/>
                    <w:kinsoku/>
                    <w:wordWrap/>
                    <w:overflowPunct/>
                    <w:topLinePunct w:val="0"/>
                    <w:autoSpaceDE/>
                    <w:autoSpaceDN/>
                    <w:bidi w:val="0"/>
                    <w:adjustRightInd/>
                    <w:snapToGrid/>
                    <w:spacing w:line="240" w:lineRule="auto"/>
                    <w:ind w:left="210" w:leftChars="0" w:hanging="210" w:hangingChars="100"/>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位于</w:t>
                  </w:r>
                  <w:r>
                    <w:rPr>
                      <w:rFonts w:hint="eastAsia" w:ascii="Times New Roman" w:hAnsi="Times New Roman" w:eastAsia="宋体" w:cs="Times New Roman"/>
                      <w:sz w:val="21"/>
                      <w:szCs w:val="21"/>
                      <w:vertAlign w:val="baseline"/>
                      <w:lang w:eastAsia="zh-CN"/>
                    </w:rPr>
                    <w:t>厂区</w:t>
                  </w:r>
                  <w:r>
                    <w:rPr>
                      <w:rFonts w:hint="eastAsia" w:cs="Times New Roman"/>
                      <w:sz w:val="21"/>
                      <w:szCs w:val="21"/>
                      <w:vertAlign w:val="baseline"/>
                      <w:lang w:val="en-US" w:eastAsia="zh-CN"/>
                    </w:rPr>
                    <w:t>西</w:t>
                  </w:r>
                  <w:r>
                    <w:rPr>
                      <w:rFonts w:hint="eastAsia" w:ascii="Times New Roman" w:hAnsi="Times New Roman" w:eastAsia="宋体" w:cs="Times New Roman"/>
                      <w:sz w:val="21"/>
                      <w:szCs w:val="21"/>
                      <w:vertAlign w:val="baseline"/>
                      <w:lang w:eastAsia="zh-CN"/>
                    </w:rPr>
                    <w:t>南侧，</w:t>
                  </w:r>
                  <w:r>
                    <w:rPr>
                      <w:rFonts w:hint="eastAsia" w:cs="Times New Roman"/>
                      <w:sz w:val="21"/>
                      <w:szCs w:val="21"/>
                      <w:vertAlign w:val="baseline"/>
                      <w:lang w:val="en-US" w:eastAsia="zh-CN"/>
                    </w:rPr>
                    <w:t>建筑</w:t>
                  </w:r>
                  <w:r>
                    <w:rPr>
                      <w:rFonts w:hint="eastAsia" w:ascii="Times New Roman" w:hAnsi="Times New Roman" w:eastAsia="宋体" w:cs="Times New Roman"/>
                      <w:sz w:val="21"/>
                      <w:szCs w:val="21"/>
                      <w:vertAlign w:val="baseline"/>
                      <w:lang w:val="en-US" w:eastAsia="zh-CN"/>
                    </w:rPr>
                    <w:t>面积242</w:t>
                  </w:r>
                  <w:r>
                    <w:rPr>
                      <w:rFonts w:hint="default" w:ascii="Times New Roman" w:hAnsi="Times New Roman" w:eastAsia="宋体" w:cs="Times New Roman"/>
                      <w:sz w:val="21"/>
                      <w:szCs w:val="21"/>
                      <w:vertAlign w:val="baseline"/>
                      <w:lang w:val="zh-CN"/>
                    </w:rPr>
                    <w:t>m</w:t>
                  </w:r>
                  <w:r>
                    <w:rPr>
                      <w:rFonts w:hint="default" w:ascii="Times New Roman" w:hAnsi="Times New Roman" w:eastAsia="宋体" w:cs="Times New Roman"/>
                      <w:sz w:val="21"/>
                      <w:szCs w:val="21"/>
                      <w:vertAlign w:val="superscript"/>
                      <w:lang w:val="zh-CN"/>
                    </w:rPr>
                    <w:t>2</w:t>
                  </w:r>
                  <w:r>
                    <w:rPr>
                      <w:rFonts w:hint="eastAsia" w:ascii="Times New Roman" w:hAnsi="Times New Roman" w:eastAsia="宋体" w:cs="Times New Roman"/>
                      <w:sz w:val="21"/>
                      <w:szCs w:val="21"/>
                      <w:vertAlign w:val="baseline"/>
                      <w:lang w:eastAsia="zh-CN"/>
                    </w:rPr>
                    <w:t>。</w:t>
                  </w:r>
                </w:p>
              </w:tc>
              <w:tc>
                <w:tcPr>
                  <w:tcW w:w="526" w:type="pct"/>
                  <w:vMerge w:val="continue"/>
                  <w:vAlign w:val="center"/>
                </w:tcPr>
                <w:p w14:paraId="2B8BDAB8">
                  <w:pPr>
                    <w:pStyle w:val="75"/>
                    <w:keepNext w:val="0"/>
                    <w:keepLines w:val="0"/>
                    <w:pageBreakBefore w:val="0"/>
                    <w:widowControl/>
                    <w:kinsoku/>
                    <w:wordWrap/>
                    <w:overflowPunct/>
                    <w:topLinePunct w:val="0"/>
                    <w:autoSpaceDE/>
                    <w:autoSpaceDN/>
                    <w:bidi w:val="0"/>
                    <w:adjustRightInd/>
                    <w:snapToGrid/>
                    <w:spacing w:line="240" w:lineRule="auto"/>
                    <w:ind w:left="210" w:leftChars="0" w:hanging="210" w:hangingChars="100"/>
                    <w:jc w:val="center"/>
                    <w:textAlignment w:val="auto"/>
                    <w:rPr>
                      <w:rFonts w:hint="default" w:ascii="Times New Roman" w:hAnsi="Times New Roman" w:eastAsia="宋体" w:cs="Times New Roman"/>
                      <w:sz w:val="21"/>
                      <w:szCs w:val="21"/>
                      <w:vertAlign w:val="baseline"/>
                    </w:rPr>
                  </w:pPr>
                </w:p>
              </w:tc>
            </w:tr>
            <w:tr w14:paraId="2D3FD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524" w:type="pct"/>
                  <w:vMerge w:val="continue"/>
                  <w:vAlign w:val="center"/>
                </w:tcPr>
                <w:p w14:paraId="29E08B77">
                  <w:pPr>
                    <w:pStyle w:val="75"/>
                    <w:keepNext w:val="0"/>
                    <w:keepLines w:val="0"/>
                    <w:pageBreakBefore w:val="0"/>
                    <w:widowControl/>
                    <w:kinsoku/>
                    <w:wordWrap/>
                    <w:overflowPunct/>
                    <w:topLinePunct w:val="0"/>
                    <w:autoSpaceDE/>
                    <w:autoSpaceDN/>
                    <w:bidi w:val="0"/>
                    <w:adjustRightInd/>
                    <w:snapToGrid/>
                    <w:spacing w:line="240" w:lineRule="auto"/>
                    <w:ind w:left="211" w:leftChars="0" w:hanging="211" w:hangingChars="100"/>
                    <w:jc w:val="left"/>
                    <w:textAlignment w:val="auto"/>
                    <w:rPr>
                      <w:rFonts w:hint="default" w:ascii="Times New Roman" w:hAnsi="Times New Roman" w:eastAsia="宋体" w:cs="Times New Roman"/>
                      <w:b/>
                      <w:bCs/>
                      <w:sz w:val="21"/>
                      <w:szCs w:val="21"/>
                      <w:vertAlign w:val="baseline"/>
                    </w:rPr>
                  </w:pPr>
                </w:p>
              </w:tc>
              <w:tc>
                <w:tcPr>
                  <w:tcW w:w="974" w:type="pct"/>
                  <w:vAlign w:val="center"/>
                </w:tcPr>
                <w:p w14:paraId="78375F63">
                  <w:pPr>
                    <w:pStyle w:val="75"/>
                    <w:keepNext w:val="0"/>
                    <w:keepLines w:val="0"/>
                    <w:pageBreakBefore w:val="0"/>
                    <w:widowControl/>
                    <w:kinsoku/>
                    <w:wordWrap/>
                    <w:overflowPunct/>
                    <w:topLinePunct w:val="0"/>
                    <w:autoSpaceDE/>
                    <w:autoSpaceDN/>
                    <w:bidi w:val="0"/>
                    <w:adjustRightInd/>
                    <w:snapToGrid/>
                    <w:spacing w:line="240" w:lineRule="auto"/>
                    <w:ind w:left="210" w:leftChars="0" w:hanging="210" w:hangingChars="100"/>
                    <w:jc w:val="center"/>
                    <w:textAlignment w:val="auto"/>
                    <w:rPr>
                      <w:rFonts w:hint="eastAsia"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t>门卫室</w:t>
                  </w:r>
                </w:p>
              </w:tc>
              <w:tc>
                <w:tcPr>
                  <w:tcW w:w="2975" w:type="pct"/>
                  <w:vAlign w:val="center"/>
                </w:tcPr>
                <w:p w14:paraId="0A7A9637">
                  <w:pPr>
                    <w:pStyle w:val="75"/>
                    <w:keepNext w:val="0"/>
                    <w:keepLines w:val="0"/>
                    <w:pageBreakBefore w:val="0"/>
                    <w:widowControl/>
                    <w:kinsoku/>
                    <w:wordWrap/>
                    <w:overflowPunct/>
                    <w:topLinePunct w:val="0"/>
                    <w:autoSpaceDE/>
                    <w:autoSpaceDN/>
                    <w:bidi w:val="0"/>
                    <w:adjustRightInd/>
                    <w:snapToGrid/>
                    <w:spacing w:line="240" w:lineRule="auto"/>
                    <w:ind w:left="210" w:leftChars="0" w:hanging="210" w:hangingChars="100"/>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位于厂区东北侧，占地面积39.59</w:t>
                  </w:r>
                  <w:r>
                    <w:rPr>
                      <w:rFonts w:hint="default" w:ascii="Times New Roman" w:hAnsi="Times New Roman" w:eastAsia="宋体" w:cs="Times New Roman"/>
                      <w:sz w:val="21"/>
                      <w:szCs w:val="21"/>
                      <w:vertAlign w:val="baseline"/>
                      <w:lang w:val="zh-CN"/>
                    </w:rPr>
                    <w:t>m</w:t>
                  </w:r>
                  <w:r>
                    <w:rPr>
                      <w:rFonts w:hint="default" w:ascii="Times New Roman" w:hAnsi="Times New Roman" w:eastAsia="宋体" w:cs="Times New Roman"/>
                      <w:sz w:val="21"/>
                      <w:szCs w:val="21"/>
                      <w:vertAlign w:val="superscript"/>
                      <w:lang w:val="zh-CN"/>
                    </w:rPr>
                    <w:t>2</w:t>
                  </w:r>
                  <w:r>
                    <w:rPr>
                      <w:rFonts w:hint="eastAsia" w:ascii="Times New Roman" w:hAnsi="Times New Roman" w:eastAsia="宋体" w:cs="Times New Roman"/>
                      <w:sz w:val="21"/>
                      <w:szCs w:val="21"/>
                      <w:vertAlign w:val="baseline"/>
                      <w:lang w:eastAsia="zh-CN"/>
                    </w:rPr>
                    <w:t>。</w:t>
                  </w:r>
                </w:p>
              </w:tc>
              <w:tc>
                <w:tcPr>
                  <w:tcW w:w="526" w:type="pct"/>
                  <w:vMerge w:val="continue"/>
                  <w:vAlign w:val="center"/>
                </w:tcPr>
                <w:p w14:paraId="2B81EA42">
                  <w:pPr>
                    <w:pStyle w:val="75"/>
                    <w:keepNext w:val="0"/>
                    <w:keepLines w:val="0"/>
                    <w:pageBreakBefore w:val="0"/>
                    <w:widowControl/>
                    <w:kinsoku/>
                    <w:wordWrap/>
                    <w:overflowPunct/>
                    <w:topLinePunct w:val="0"/>
                    <w:autoSpaceDE/>
                    <w:autoSpaceDN/>
                    <w:bidi w:val="0"/>
                    <w:adjustRightInd/>
                    <w:snapToGrid/>
                    <w:spacing w:line="240" w:lineRule="auto"/>
                    <w:ind w:left="210" w:leftChars="0" w:hanging="210" w:hangingChars="100"/>
                    <w:jc w:val="center"/>
                    <w:textAlignment w:val="auto"/>
                    <w:rPr>
                      <w:rFonts w:hint="default" w:ascii="Times New Roman" w:hAnsi="Times New Roman" w:eastAsia="宋体" w:cs="Times New Roman"/>
                      <w:sz w:val="21"/>
                      <w:szCs w:val="21"/>
                      <w:vertAlign w:val="baseline"/>
                    </w:rPr>
                  </w:pPr>
                </w:p>
              </w:tc>
            </w:tr>
            <w:tr w14:paraId="1A8B3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524" w:type="pct"/>
                  <w:vMerge w:val="restart"/>
                  <w:vAlign w:val="center"/>
                </w:tcPr>
                <w:p w14:paraId="07D56FB9">
                  <w:pPr>
                    <w:pStyle w:val="75"/>
                    <w:keepNext w:val="0"/>
                    <w:keepLines w:val="0"/>
                    <w:pageBreakBefore w:val="0"/>
                    <w:widowControl/>
                    <w:kinsoku/>
                    <w:wordWrap/>
                    <w:overflowPunct/>
                    <w:topLinePunct w:val="0"/>
                    <w:autoSpaceDE/>
                    <w:autoSpaceDN/>
                    <w:bidi w:val="0"/>
                    <w:adjustRightInd/>
                    <w:snapToGrid/>
                    <w:spacing w:line="240" w:lineRule="auto"/>
                    <w:ind w:left="211" w:leftChars="0" w:hanging="211" w:hangingChars="100"/>
                    <w:jc w:val="left"/>
                    <w:textAlignment w:val="auto"/>
                    <w:rPr>
                      <w:rFonts w:hint="default" w:ascii="Times New Roman" w:hAnsi="Times New Roman" w:eastAsia="宋体" w:cs="Times New Roman"/>
                      <w:b/>
                      <w:bCs/>
                      <w:sz w:val="21"/>
                      <w:szCs w:val="21"/>
                      <w:vertAlign w:val="baseline"/>
                    </w:rPr>
                  </w:pPr>
                  <w:r>
                    <w:rPr>
                      <w:rFonts w:hint="default" w:ascii="Times New Roman" w:hAnsi="Times New Roman" w:eastAsia="宋体" w:cs="Times New Roman"/>
                      <w:b/>
                      <w:bCs/>
                      <w:sz w:val="21"/>
                      <w:szCs w:val="21"/>
                      <w:vertAlign w:val="baseline"/>
                    </w:rPr>
                    <w:t>公用工程</w:t>
                  </w:r>
                </w:p>
              </w:tc>
              <w:tc>
                <w:tcPr>
                  <w:tcW w:w="974" w:type="pct"/>
                  <w:vAlign w:val="center"/>
                </w:tcPr>
                <w:p w14:paraId="50321702">
                  <w:pPr>
                    <w:pStyle w:val="75"/>
                    <w:keepNext w:val="0"/>
                    <w:keepLines w:val="0"/>
                    <w:pageBreakBefore w:val="0"/>
                    <w:widowControl/>
                    <w:kinsoku/>
                    <w:wordWrap/>
                    <w:overflowPunct/>
                    <w:topLinePunct w:val="0"/>
                    <w:autoSpaceDE/>
                    <w:autoSpaceDN/>
                    <w:bidi w:val="0"/>
                    <w:adjustRightInd/>
                    <w:snapToGrid/>
                    <w:spacing w:line="240" w:lineRule="auto"/>
                    <w:ind w:left="210" w:leftChars="0" w:hanging="210" w:hangingChars="100"/>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供水工程</w:t>
                  </w:r>
                </w:p>
              </w:tc>
              <w:tc>
                <w:tcPr>
                  <w:tcW w:w="2975" w:type="pct"/>
                  <w:vAlign w:val="center"/>
                </w:tcPr>
                <w:p w14:paraId="0E957EE0">
                  <w:pPr>
                    <w:pStyle w:val="75"/>
                    <w:keepNext w:val="0"/>
                    <w:keepLines w:val="0"/>
                    <w:pageBreakBefore w:val="0"/>
                    <w:widowControl/>
                    <w:kinsoku/>
                    <w:wordWrap/>
                    <w:overflowPunct/>
                    <w:topLinePunct w:val="0"/>
                    <w:autoSpaceDE/>
                    <w:autoSpaceDN/>
                    <w:bidi w:val="0"/>
                    <w:adjustRightInd/>
                    <w:snapToGrid/>
                    <w:spacing w:line="240" w:lineRule="auto"/>
                    <w:ind w:left="210" w:leftChars="0" w:hanging="210" w:hangingChars="100"/>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市政供水管网供给。</w:t>
                  </w:r>
                </w:p>
              </w:tc>
              <w:tc>
                <w:tcPr>
                  <w:tcW w:w="526" w:type="pct"/>
                  <w:vAlign w:val="center"/>
                </w:tcPr>
                <w:p w14:paraId="3CA721F2">
                  <w:pPr>
                    <w:pStyle w:val="75"/>
                    <w:keepNext w:val="0"/>
                    <w:keepLines w:val="0"/>
                    <w:pageBreakBefore w:val="0"/>
                    <w:widowControl/>
                    <w:kinsoku/>
                    <w:wordWrap/>
                    <w:overflowPunct/>
                    <w:topLinePunct w:val="0"/>
                    <w:autoSpaceDE/>
                    <w:autoSpaceDN/>
                    <w:bidi w:val="0"/>
                    <w:adjustRightInd/>
                    <w:snapToGrid/>
                    <w:spacing w:line="240" w:lineRule="auto"/>
                    <w:ind w:left="210" w:leftChars="0" w:hanging="210" w:hangingChars="100"/>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依托</w:t>
                  </w:r>
                </w:p>
              </w:tc>
            </w:tr>
            <w:tr w14:paraId="17BD9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524" w:type="pct"/>
                  <w:vMerge w:val="continue"/>
                  <w:vAlign w:val="center"/>
                </w:tcPr>
                <w:p w14:paraId="3B366302">
                  <w:pPr>
                    <w:pStyle w:val="75"/>
                    <w:keepNext w:val="0"/>
                    <w:keepLines w:val="0"/>
                    <w:pageBreakBefore w:val="0"/>
                    <w:widowControl/>
                    <w:kinsoku/>
                    <w:wordWrap/>
                    <w:overflowPunct/>
                    <w:topLinePunct w:val="0"/>
                    <w:autoSpaceDE/>
                    <w:autoSpaceDN/>
                    <w:bidi w:val="0"/>
                    <w:adjustRightInd/>
                    <w:snapToGrid/>
                    <w:spacing w:line="240" w:lineRule="auto"/>
                    <w:ind w:left="211" w:leftChars="0" w:hanging="211" w:hangingChars="100"/>
                    <w:jc w:val="left"/>
                    <w:textAlignment w:val="auto"/>
                    <w:rPr>
                      <w:rFonts w:hint="default" w:ascii="Times New Roman" w:hAnsi="Times New Roman" w:eastAsia="宋体" w:cs="Times New Roman"/>
                      <w:b/>
                      <w:bCs/>
                      <w:sz w:val="21"/>
                      <w:szCs w:val="21"/>
                      <w:vertAlign w:val="baseline"/>
                    </w:rPr>
                  </w:pPr>
                </w:p>
              </w:tc>
              <w:tc>
                <w:tcPr>
                  <w:tcW w:w="974" w:type="pct"/>
                  <w:shd w:val="clear" w:color="auto" w:fill="auto"/>
                  <w:vAlign w:val="center"/>
                </w:tcPr>
                <w:p w14:paraId="25CD0BF6">
                  <w:pPr>
                    <w:pStyle w:val="75"/>
                    <w:keepNext w:val="0"/>
                    <w:keepLines w:val="0"/>
                    <w:pageBreakBefore w:val="0"/>
                    <w:widowControl/>
                    <w:kinsoku/>
                    <w:wordWrap/>
                    <w:overflowPunct/>
                    <w:topLinePunct w:val="0"/>
                    <w:autoSpaceDE/>
                    <w:autoSpaceDN/>
                    <w:bidi w:val="0"/>
                    <w:adjustRightInd/>
                    <w:snapToGrid/>
                    <w:spacing w:line="240" w:lineRule="auto"/>
                    <w:ind w:left="210" w:leftChars="0" w:hanging="210" w:hangingChars="10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rPr>
                    <w:t>供电工程</w:t>
                  </w:r>
                </w:p>
              </w:tc>
              <w:tc>
                <w:tcPr>
                  <w:tcW w:w="2975" w:type="pct"/>
                  <w:shd w:val="clear" w:color="auto" w:fill="auto"/>
                  <w:vAlign w:val="center"/>
                </w:tcPr>
                <w:p w14:paraId="103B859B">
                  <w:pPr>
                    <w:pStyle w:val="75"/>
                    <w:keepNext w:val="0"/>
                    <w:keepLines w:val="0"/>
                    <w:pageBreakBefore w:val="0"/>
                    <w:widowControl/>
                    <w:kinsoku/>
                    <w:wordWrap/>
                    <w:overflowPunct/>
                    <w:topLinePunct w:val="0"/>
                    <w:autoSpaceDE/>
                    <w:autoSpaceDN/>
                    <w:bidi w:val="0"/>
                    <w:adjustRightInd/>
                    <w:snapToGrid/>
                    <w:spacing w:line="240" w:lineRule="auto"/>
                    <w:ind w:left="210" w:leftChars="0" w:hanging="210" w:hangingChars="10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rPr>
                    <w:t>由市政供电管网</w:t>
                  </w:r>
                  <w:r>
                    <w:rPr>
                      <w:rFonts w:hint="eastAsia" w:ascii="Times New Roman" w:hAnsi="Times New Roman" w:eastAsia="宋体" w:cs="Times New Roman"/>
                      <w:sz w:val="21"/>
                      <w:szCs w:val="21"/>
                      <w:vertAlign w:val="baseline"/>
                      <w:lang w:eastAsia="zh-CN"/>
                    </w:rPr>
                    <w:t>供给</w:t>
                  </w:r>
                  <w:r>
                    <w:rPr>
                      <w:rFonts w:hint="default" w:ascii="Times New Roman" w:hAnsi="Times New Roman" w:eastAsia="宋体" w:cs="Times New Roman"/>
                      <w:sz w:val="21"/>
                      <w:szCs w:val="21"/>
                      <w:vertAlign w:val="baseline"/>
                    </w:rPr>
                    <w:t>。</w:t>
                  </w:r>
                </w:p>
              </w:tc>
              <w:tc>
                <w:tcPr>
                  <w:tcW w:w="526" w:type="pct"/>
                  <w:vAlign w:val="center"/>
                </w:tcPr>
                <w:p w14:paraId="70EE61C1">
                  <w:pPr>
                    <w:pStyle w:val="75"/>
                    <w:keepNext w:val="0"/>
                    <w:keepLines w:val="0"/>
                    <w:pageBreakBefore w:val="0"/>
                    <w:widowControl/>
                    <w:kinsoku/>
                    <w:wordWrap/>
                    <w:overflowPunct/>
                    <w:topLinePunct w:val="0"/>
                    <w:autoSpaceDE/>
                    <w:autoSpaceDN/>
                    <w:bidi w:val="0"/>
                    <w:adjustRightInd/>
                    <w:snapToGrid/>
                    <w:spacing w:line="240" w:lineRule="auto"/>
                    <w:ind w:left="210" w:leftChars="0" w:hanging="210" w:hangingChars="100"/>
                    <w:jc w:val="center"/>
                    <w:textAlignment w:val="auto"/>
                    <w:rPr>
                      <w:rFonts w:hint="default" w:ascii="Times New Roman" w:hAnsi="Times New Roman" w:eastAsia="宋体" w:cs="Times New Roman"/>
                      <w:sz w:val="21"/>
                      <w:szCs w:val="21"/>
                      <w:vertAlign w:val="baseline"/>
                    </w:rPr>
                  </w:pPr>
                </w:p>
              </w:tc>
            </w:tr>
            <w:tr w14:paraId="4CAB9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524" w:type="pct"/>
                  <w:vMerge w:val="continue"/>
                  <w:vAlign w:val="center"/>
                </w:tcPr>
                <w:p w14:paraId="2491A189">
                  <w:pPr>
                    <w:pStyle w:val="75"/>
                    <w:keepNext w:val="0"/>
                    <w:keepLines w:val="0"/>
                    <w:pageBreakBefore w:val="0"/>
                    <w:widowControl/>
                    <w:kinsoku/>
                    <w:wordWrap/>
                    <w:overflowPunct/>
                    <w:topLinePunct w:val="0"/>
                    <w:autoSpaceDE/>
                    <w:autoSpaceDN/>
                    <w:bidi w:val="0"/>
                    <w:adjustRightInd/>
                    <w:snapToGrid/>
                    <w:spacing w:line="240" w:lineRule="auto"/>
                    <w:ind w:left="211" w:leftChars="0" w:hanging="211" w:hangingChars="100"/>
                    <w:jc w:val="left"/>
                    <w:textAlignment w:val="auto"/>
                    <w:rPr>
                      <w:rFonts w:hint="default" w:ascii="Times New Roman" w:hAnsi="Times New Roman" w:eastAsia="宋体" w:cs="Times New Roman"/>
                      <w:b/>
                      <w:bCs/>
                      <w:sz w:val="21"/>
                      <w:szCs w:val="21"/>
                      <w:vertAlign w:val="baseline"/>
                    </w:rPr>
                  </w:pPr>
                </w:p>
              </w:tc>
              <w:tc>
                <w:tcPr>
                  <w:tcW w:w="974" w:type="pct"/>
                  <w:shd w:val="clear" w:color="auto" w:fill="auto"/>
                  <w:vAlign w:val="center"/>
                </w:tcPr>
                <w:p w14:paraId="7D647A48">
                  <w:pPr>
                    <w:pStyle w:val="75"/>
                    <w:keepNext w:val="0"/>
                    <w:keepLines w:val="0"/>
                    <w:pageBreakBefore w:val="0"/>
                    <w:widowControl/>
                    <w:kinsoku/>
                    <w:wordWrap/>
                    <w:overflowPunct/>
                    <w:topLinePunct w:val="0"/>
                    <w:autoSpaceDE/>
                    <w:autoSpaceDN/>
                    <w:bidi w:val="0"/>
                    <w:adjustRightInd/>
                    <w:snapToGrid/>
                    <w:spacing w:line="240" w:lineRule="auto"/>
                    <w:ind w:left="210" w:leftChars="0" w:hanging="210" w:hangingChars="10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rPr>
                    <w:t>排水工程</w:t>
                  </w:r>
                </w:p>
              </w:tc>
              <w:tc>
                <w:tcPr>
                  <w:tcW w:w="2975" w:type="pct"/>
                  <w:shd w:val="clear" w:color="auto" w:fill="auto"/>
                  <w:vAlign w:val="center"/>
                </w:tcPr>
                <w:p w14:paraId="373F3CC2">
                  <w:pPr>
                    <w:pStyle w:val="75"/>
                    <w:keepNext w:val="0"/>
                    <w:keepLines w:val="0"/>
                    <w:pageBreakBefore w:val="0"/>
                    <w:widowControl/>
                    <w:kinsoku/>
                    <w:wordWrap/>
                    <w:overflowPunct/>
                    <w:topLinePunct w:val="0"/>
                    <w:autoSpaceDE/>
                    <w:autoSpaceDN/>
                    <w:bidi w:val="0"/>
                    <w:adjustRightInd/>
                    <w:snapToGrid/>
                    <w:spacing w:line="240" w:lineRule="auto"/>
                    <w:ind w:left="210" w:leftChars="0" w:hanging="210" w:hangingChars="100"/>
                    <w:jc w:val="center"/>
                    <w:textAlignment w:val="auto"/>
                    <w:rPr>
                      <w:rFonts w:hint="eastAsia"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rPr>
                    <w:t>厂区雨污</w:t>
                  </w:r>
                  <w:r>
                    <w:rPr>
                      <w:rFonts w:hint="eastAsia" w:ascii="Times New Roman" w:hAnsi="Times New Roman" w:eastAsia="宋体" w:cs="Times New Roman"/>
                      <w:color w:val="auto"/>
                      <w:sz w:val="21"/>
                      <w:szCs w:val="21"/>
                      <w:vertAlign w:val="baseline"/>
                      <w:lang w:eastAsia="zh-CN"/>
                    </w:rPr>
                    <w:t>分流。</w:t>
                  </w:r>
                  <w:r>
                    <w:rPr>
                      <w:rFonts w:hint="default" w:ascii="Times New Roman" w:hAnsi="Times New Roman" w:eastAsia="宋体" w:cs="Times New Roman"/>
                      <w:color w:val="auto"/>
                      <w:sz w:val="21"/>
                      <w:szCs w:val="21"/>
                      <w:vertAlign w:val="baseline"/>
                    </w:rPr>
                    <w:t>生活污水经厂区</w:t>
                  </w:r>
                  <w:r>
                    <w:rPr>
                      <w:rFonts w:hint="eastAsia" w:ascii="Times New Roman" w:hAnsi="Times New Roman" w:eastAsia="宋体" w:cs="Times New Roman"/>
                      <w:color w:val="auto"/>
                      <w:sz w:val="21"/>
                      <w:szCs w:val="21"/>
                      <w:vertAlign w:val="baseline"/>
                      <w:lang w:eastAsia="zh-CN"/>
                    </w:rPr>
                    <w:t>隔油池</w:t>
                  </w:r>
                  <w:r>
                    <w:rPr>
                      <w:rFonts w:hint="eastAsia"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rPr>
                    <w:t>化粪池预处理后</w:t>
                  </w:r>
                  <w:r>
                    <w:rPr>
                      <w:rFonts w:hint="default" w:ascii="Times New Roman" w:hAnsi="Times New Roman" w:eastAsia="宋体" w:cs="Times New Roman"/>
                      <w:color w:val="auto"/>
                      <w:sz w:val="21"/>
                      <w:szCs w:val="21"/>
                      <w:vertAlign w:val="baseline"/>
                      <w:lang w:eastAsia="zh-CN"/>
                    </w:rPr>
                    <w:t>定期清掏，用于周边肥田，不外排</w:t>
                  </w:r>
                  <w:r>
                    <w:rPr>
                      <w:rFonts w:hint="eastAsia" w:ascii="Times New Roman" w:hAnsi="Times New Roman" w:eastAsia="宋体" w:cs="Times New Roman"/>
                      <w:color w:val="auto"/>
                      <w:sz w:val="21"/>
                      <w:szCs w:val="21"/>
                      <w:vertAlign w:val="baseline"/>
                      <w:lang w:eastAsia="zh-CN"/>
                    </w:rPr>
                    <w:t>；冷却水循环使用，不外排。</w:t>
                  </w:r>
                </w:p>
              </w:tc>
              <w:tc>
                <w:tcPr>
                  <w:tcW w:w="526" w:type="pct"/>
                  <w:vAlign w:val="center"/>
                </w:tcPr>
                <w:p w14:paraId="6A911FFB">
                  <w:pPr>
                    <w:pStyle w:val="75"/>
                    <w:keepNext w:val="0"/>
                    <w:keepLines w:val="0"/>
                    <w:pageBreakBefore w:val="0"/>
                    <w:widowControl/>
                    <w:kinsoku/>
                    <w:wordWrap/>
                    <w:overflowPunct/>
                    <w:topLinePunct w:val="0"/>
                    <w:autoSpaceDE/>
                    <w:autoSpaceDN/>
                    <w:bidi w:val="0"/>
                    <w:adjustRightInd/>
                    <w:snapToGrid/>
                    <w:spacing w:line="240" w:lineRule="auto"/>
                    <w:ind w:left="210" w:leftChars="0" w:hanging="210" w:hangingChars="100"/>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新建</w:t>
                  </w:r>
                </w:p>
              </w:tc>
            </w:tr>
            <w:tr w14:paraId="29526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jc w:val="center"/>
              </w:trPr>
              <w:tc>
                <w:tcPr>
                  <w:tcW w:w="524" w:type="pct"/>
                  <w:vMerge w:val="restart"/>
                  <w:vAlign w:val="center"/>
                </w:tcPr>
                <w:p w14:paraId="0A9FAD59">
                  <w:pPr>
                    <w:pStyle w:val="75"/>
                    <w:keepNext w:val="0"/>
                    <w:keepLines w:val="0"/>
                    <w:pageBreakBefore w:val="0"/>
                    <w:widowControl/>
                    <w:kinsoku/>
                    <w:wordWrap/>
                    <w:overflowPunct/>
                    <w:topLinePunct w:val="0"/>
                    <w:autoSpaceDE/>
                    <w:autoSpaceDN/>
                    <w:bidi w:val="0"/>
                    <w:adjustRightInd/>
                    <w:snapToGrid/>
                    <w:spacing w:line="240" w:lineRule="auto"/>
                    <w:ind w:left="211" w:leftChars="0" w:hanging="211" w:hangingChars="100"/>
                    <w:jc w:val="left"/>
                    <w:textAlignment w:val="auto"/>
                    <w:rPr>
                      <w:rFonts w:hint="default" w:ascii="Times New Roman" w:hAnsi="Times New Roman" w:eastAsia="宋体" w:cs="Times New Roman"/>
                      <w:b/>
                      <w:bCs/>
                      <w:sz w:val="21"/>
                      <w:szCs w:val="21"/>
                      <w:vertAlign w:val="baseline"/>
                    </w:rPr>
                  </w:pPr>
                  <w:r>
                    <w:rPr>
                      <w:rFonts w:hint="default" w:ascii="Times New Roman" w:hAnsi="Times New Roman" w:eastAsia="宋体" w:cs="Times New Roman"/>
                      <w:b/>
                      <w:bCs/>
                      <w:sz w:val="21"/>
                      <w:szCs w:val="21"/>
                      <w:vertAlign w:val="baseline"/>
                    </w:rPr>
                    <w:t>环保工程</w:t>
                  </w:r>
                </w:p>
              </w:tc>
              <w:tc>
                <w:tcPr>
                  <w:tcW w:w="974" w:type="pct"/>
                  <w:vAlign w:val="center"/>
                </w:tcPr>
                <w:p w14:paraId="123FF6C0">
                  <w:pPr>
                    <w:pStyle w:val="75"/>
                    <w:keepNext w:val="0"/>
                    <w:keepLines w:val="0"/>
                    <w:pageBreakBefore w:val="0"/>
                    <w:widowControl/>
                    <w:kinsoku/>
                    <w:wordWrap/>
                    <w:overflowPunct/>
                    <w:topLinePunct w:val="0"/>
                    <w:autoSpaceDE/>
                    <w:autoSpaceDN/>
                    <w:bidi w:val="0"/>
                    <w:adjustRightInd/>
                    <w:snapToGrid/>
                    <w:spacing w:line="240" w:lineRule="auto"/>
                    <w:ind w:left="210" w:leftChars="0" w:hanging="210" w:hangingChars="100"/>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废水治理</w:t>
                  </w:r>
                </w:p>
              </w:tc>
              <w:tc>
                <w:tcPr>
                  <w:tcW w:w="2975" w:type="pct"/>
                  <w:vAlign w:val="center"/>
                </w:tcPr>
                <w:p w14:paraId="11DEB20C">
                  <w:pPr>
                    <w:pStyle w:val="75"/>
                    <w:keepNext w:val="0"/>
                    <w:keepLines w:val="0"/>
                    <w:pageBreakBefore w:val="0"/>
                    <w:widowControl/>
                    <w:kinsoku/>
                    <w:wordWrap/>
                    <w:overflowPunct/>
                    <w:topLinePunct w:val="0"/>
                    <w:autoSpaceDE/>
                    <w:autoSpaceDN/>
                    <w:bidi w:val="0"/>
                    <w:adjustRightInd/>
                    <w:snapToGrid/>
                    <w:spacing w:line="240" w:lineRule="auto"/>
                    <w:ind w:left="210" w:leftChars="0" w:hanging="210" w:hangingChars="10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生活污水经厂区</w:t>
                  </w:r>
                  <w:r>
                    <w:rPr>
                      <w:rFonts w:hint="eastAsia" w:ascii="Times New Roman" w:hAnsi="Times New Roman" w:eastAsia="宋体" w:cs="Times New Roman"/>
                      <w:color w:val="auto"/>
                      <w:sz w:val="21"/>
                      <w:szCs w:val="21"/>
                      <w:vertAlign w:val="baseline"/>
                      <w:lang w:eastAsia="zh-CN"/>
                    </w:rPr>
                    <w:t>隔油池</w:t>
                  </w:r>
                  <w:r>
                    <w:rPr>
                      <w:rFonts w:hint="eastAsia"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rPr>
                    <w:t>化粪池预处理后</w:t>
                  </w:r>
                  <w:r>
                    <w:rPr>
                      <w:rFonts w:hint="default" w:ascii="Times New Roman" w:hAnsi="Times New Roman" w:eastAsia="宋体" w:cs="Times New Roman"/>
                      <w:color w:val="auto"/>
                      <w:sz w:val="21"/>
                      <w:szCs w:val="21"/>
                      <w:vertAlign w:val="baseline"/>
                      <w:lang w:eastAsia="zh-CN"/>
                    </w:rPr>
                    <w:t>定期清掏，用于周边肥田，不外排</w:t>
                  </w:r>
                  <w:r>
                    <w:rPr>
                      <w:rFonts w:hint="eastAsia" w:ascii="Times New Roman" w:hAnsi="Times New Roman" w:eastAsia="宋体" w:cs="Times New Roman"/>
                      <w:color w:val="auto"/>
                      <w:sz w:val="21"/>
                      <w:szCs w:val="21"/>
                      <w:vertAlign w:val="baseline"/>
                      <w:lang w:eastAsia="zh-CN"/>
                    </w:rPr>
                    <w:t>；冷却水循环使用，不外排。</w:t>
                  </w:r>
                </w:p>
              </w:tc>
              <w:tc>
                <w:tcPr>
                  <w:tcW w:w="526" w:type="pct"/>
                  <w:vMerge w:val="restart"/>
                  <w:vAlign w:val="center"/>
                </w:tcPr>
                <w:p w14:paraId="63A33E01">
                  <w:pPr>
                    <w:pStyle w:val="75"/>
                    <w:keepNext w:val="0"/>
                    <w:keepLines w:val="0"/>
                    <w:pageBreakBefore w:val="0"/>
                    <w:widowControl/>
                    <w:kinsoku/>
                    <w:wordWrap/>
                    <w:overflowPunct/>
                    <w:topLinePunct w:val="0"/>
                    <w:autoSpaceDE/>
                    <w:autoSpaceDN/>
                    <w:bidi w:val="0"/>
                    <w:adjustRightInd/>
                    <w:snapToGrid/>
                    <w:spacing w:line="240" w:lineRule="auto"/>
                    <w:ind w:left="210" w:leftChars="0" w:hanging="210" w:hangingChars="100"/>
                    <w:jc w:val="center"/>
                    <w:textAlignment w:val="auto"/>
                    <w:rPr>
                      <w:rFonts w:hint="eastAsia"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t>新建</w:t>
                  </w:r>
                </w:p>
              </w:tc>
            </w:tr>
            <w:tr w14:paraId="5ED11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524" w:type="pct"/>
                  <w:vMerge w:val="continue"/>
                  <w:vAlign w:val="center"/>
                </w:tcPr>
                <w:p w14:paraId="29DFF495">
                  <w:pPr>
                    <w:pStyle w:val="75"/>
                    <w:keepNext w:val="0"/>
                    <w:keepLines w:val="0"/>
                    <w:pageBreakBefore w:val="0"/>
                    <w:widowControl/>
                    <w:kinsoku/>
                    <w:wordWrap/>
                    <w:overflowPunct/>
                    <w:topLinePunct w:val="0"/>
                    <w:autoSpaceDE/>
                    <w:autoSpaceDN/>
                    <w:bidi w:val="0"/>
                    <w:adjustRightInd/>
                    <w:snapToGrid/>
                    <w:spacing w:line="240" w:lineRule="auto"/>
                    <w:ind w:left="211" w:leftChars="0" w:hanging="211" w:hangingChars="100"/>
                    <w:jc w:val="center"/>
                    <w:textAlignment w:val="auto"/>
                    <w:rPr>
                      <w:rFonts w:hint="default" w:ascii="Times New Roman" w:hAnsi="Times New Roman" w:eastAsia="宋体" w:cs="Times New Roman"/>
                      <w:b/>
                      <w:bCs/>
                      <w:sz w:val="21"/>
                      <w:szCs w:val="21"/>
                      <w:vertAlign w:val="baseline"/>
                    </w:rPr>
                  </w:pPr>
                </w:p>
              </w:tc>
              <w:tc>
                <w:tcPr>
                  <w:tcW w:w="974" w:type="pct"/>
                  <w:vMerge w:val="restart"/>
                  <w:vAlign w:val="center"/>
                </w:tcPr>
                <w:p w14:paraId="215E0905">
                  <w:pPr>
                    <w:pStyle w:val="75"/>
                    <w:keepNext w:val="0"/>
                    <w:keepLines w:val="0"/>
                    <w:pageBreakBefore w:val="0"/>
                    <w:widowControl/>
                    <w:kinsoku/>
                    <w:wordWrap/>
                    <w:overflowPunct/>
                    <w:topLinePunct w:val="0"/>
                    <w:autoSpaceDE/>
                    <w:autoSpaceDN/>
                    <w:bidi w:val="0"/>
                    <w:adjustRightInd/>
                    <w:snapToGrid/>
                    <w:spacing w:line="240" w:lineRule="auto"/>
                    <w:ind w:left="210" w:leftChars="0" w:hanging="210" w:hangingChars="100"/>
                    <w:jc w:val="center"/>
                    <w:textAlignment w:val="auto"/>
                    <w:rPr>
                      <w:rFonts w:hint="eastAsia"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t>废气治理</w:t>
                  </w:r>
                </w:p>
              </w:tc>
              <w:tc>
                <w:tcPr>
                  <w:tcW w:w="2975" w:type="pct"/>
                  <w:vAlign w:val="center"/>
                </w:tcPr>
                <w:p w14:paraId="5B08A581">
                  <w:pPr>
                    <w:pStyle w:val="75"/>
                    <w:keepNext w:val="0"/>
                    <w:keepLines w:val="0"/>
                    <w:pageBreakBefore w:val="0"/>
                    <w:widowControl/>
                    <w:kinsoku/>
                    <w:wordWrap/>
                    <w:overflowPunct/>
                    <w:topLinePunct w:val="0"/>
                    <w:autoSpaceDE/>
                    <w:autoSpaceDN/>
                    <w:bidi w:val="0"/>
                    <w:adjustRightInd/>
                    <w:snapToGrid/>
                    <w:spacing w:line="240" w:lineRule="auto"/>
                    <w:ind w:left="210" w:leftChars="0" w:hanging="210" w:hangingChars="10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rPr>
                    <w:t>挤出工序</w:t>
                  </w:r>
                  <w:r>
                    <w:rPr>
                      <w:rFonts w:hint="eastAsia" w:ascii="Times New Roman" w:hAnsi="Times New Roman" w:eastAsia="宋体" w:cs="Times New Roman"/>
                      <w:color w:val="auto"/>
                      <w:sz w:val="21"/>
                      <w:szCs w:val="21"/>
                      <w:vertAlign w:val="baseline"/>
                      <w:lang w:eastAsia="zh-CN"/>
                    </w:rPr>
                    <w:t>、</w:t>
                  </w:r>
                  <w:r>
                    <w:rPr>
                      <w:rFonts w:hint="eastAsia" w:ascii="Times New Roman" w:hAnsi="Times New Roman" w:eastAsia="宋体" w:cs="Times New Roman"/>
                      <w:color w:val="auto"/>
                      <w:sz w:val="21"/>
                      <w:szCs w:val="21"/>
                      <w:vertAlign w:val="baseline"/>
                      <w:lang w:val="en-US" w:eastAsia="zh-CN"/>
                    </w:rPr>
                    <w:t>热熔焊接工序</w:t>
                  </w:r>
                  <w:r>
                    <w:rPr>
                      <w:rFonts w:hint="eastAsia" w:cs="Times New Roman"/>
                      <w:color w:val="auto"/>
                      <w:sz w:val="21"/>
                      <w:szCs w:val="21"/>
                      <w:vertAlign w:val="baseline"/>
                      <w:lang w:val="en-US" w:eastAsia="zh-CN"/>
                    </w:rPr>
                    <w:t>、注塑工序在设备上方</w:t>
                  </w:r>
                  <w:r>
                    <w:rPr>
                      <w:rFonts w:hint="default" w:ascii="Times New Roman" w:hAnsi="Times New Roman" w:eastAsia="宋体" w:cs="Times New Roman"/>
                      <w:color w:val="auto"/>
                      <w:sz w:val="21"/>
                      <w:szCs w:val="21"/>
                      <w:vertAlign w:val="baseline"/>
                    </w:rPr>
                    <w:t>设置集气罩进行</w:t>
                  </w:r>
                  <w:r>
                    <w:rPr>
                      <w:rFonts w:hint="eastAsia" w:ascii="Times New Roman" w:hAnsi="Times New Roman" w:eastAsia="宋体" w:cs="Times New Roman"/>
                      <w:color w:val="auto"/>
                      <w:sz w:val="21"/>
                      <w:szCs w:val="21"/>
                      <w:vertAlign w:val="baseline"/>
                      <w:lang w:eastAsia="zh-CN"/>
                    </w:rPr>
                    <w:t>有机</w:t>
                  </w:r>
                  <w:r>
                    <w:rPr>
                      <w:rFonts w:hint="default" w:ascii="Times New Roman" w:hAnsi="Times New Roman" w:eastAsia="宋体" w:cs="Times New Roman"/>
                      <w:color w:val="auto"/>
                      <w:sz w:val="21"/>
                      <w:szCs w:val="21"/>
                      <w:vertAlign w:val="baseline"/>
                    </w:rPr>
                    <w:t>废气收集，</w:t>
                  </w:r>
                  <w:r>
                    <w:rPr>
                      <w:rFonts w:hint="eastAsia" w:ascii="Times New Roman" w:hAnsi="Times New Roman" w:eastAsia="宋体" w:cs="Times New Roman"/>
                      <w:color w:val="auto"/>
                      <w:sz w:val="21"/>
                      <w:szCs w:val="21"/>
                      <w:vertAlign w:val="baseline"/>
                      <w:lang w:eastAsia="zh-CN"/>
                    </w:rPr>
                    <w:t>后</w:t>
                  </w:r>
                  <w:r>
                    <w:rPr>
                      <w:rFonts w:hint="default" w:ascii="Times New Roman" w:hAnsi="Times New Roman" w:eastAsia="宋体" w:cs="Times New Roman"/>
                      <w:color w:val="auto"/>
                      <w:sz w:val="21"/>
                      <w:szCs w:val="21"/>
                      <w:vertAlign w:val="baseline"/>
                    </w:rPr>
                    <w:t>经二级活性炭吸附装置处理</w:t>
                  </w:r>
                  <w:r>
                    <w:rPr>
                      <w:rFonts w:hint="eastAsia" w:ascii="Times New Roman" w:hAnsi="Times New Roman" w:eastAsia="宋体" w:cs="Times New Roman"/>
                      <w:color w:val="auto"/>
                      <w:sz w:val="21"/>
                      <w:szCs w:val="21"/>
                      <w:vertAlign w:val="baseline"/>
                      <w:lang w:eastAsia="zh-CN"/>
                    </w:rPr>
                    <w:t>，由</w:t>
                  </w:r>
                  <w:r>
                    <w:rPr>
                      <w:rFonts w:hint="default" w:ascii="Times New Roman" w:hAnsi="Times New Roman" w:eastAsia="宋体" w:cs="Times New Roman"/>
                      <w:color w:val="auto"/>
                      <w:sz w:val="21"/>
                      <w:szCs w:val="21"/>
                      <w:vertAlign w:val="baseline"/>
                    </w:rPr>
                    <w:t>15m高排气筒</w:t>
                  </w:r>
                  <w:r>
                    <w:rPr>
                      <w:rFonts w:hint="eastAsia" w:ascii="Times New Roman" w:hAnsi="Times New Roman" w:eastAsia="宋体" w:cs="Times New Roman"/>
                      <w:color w:val="auto"/>
                      <w:sz w:val="21"/>
                      <w:szCs w:val="21"/>
                      <w:vertAlign w:val="baseline"/>
                      <w:lang w:val="en-US" w:eastAsia="zh-CN"/>
                    </w:rPr>
                    <w:t>DA001</w:t>
                  </w:r>
                  <w:r>
                    <w:rPr>
                      <w:rFonts w:hint="default" w:ascii="Times New Roman" w:hAnsi="Times New Roman" w:eastAsia="宋体" w:cs="Times New Roman"/>
                      <w:color w:val="auto"/>
                      <w:sz w:val="21"/>
                      <w:szCs w:val="21"/>
                      <w:vertAlign w:val="baseline"/>
                    </w:rPr>
                    <w:t>排放。</w:t>
                  </w:r>
                </w:p>
              </w:tc>
              <w:tc>
                <w:tcPr>
                  <w:tcW w:w="526" w:type="pct"/>
                  <w:vMerge w:val="continue"/>
                  <w:vAlign w:val="center"/>
                </w:tcPr>
                <w:p w14:paraId="7D961B3A">
                  <w:pPr>
                    <w:pStyle w:val="75"/>
                    <w:keepNext w:val="0"/>
                    <w:keepLines w:val="0"/>
                    <w:pageBreakBefore w:val="0"/>
                    <w:widowControl/>
                    <w:kinsoku/>
                    <w:wordWrap/>
                    <w:overflowPunct/>
                    <w:topLinePunct w:val="0"/>
                    <w:autoSpaceDE/>
                    <w:autoSpaceDN/>
                    <w:bidi w:val="0"/>
                    <w:adjustRightInd/>
                    <w:snapToGrid/>
                    <w:spacing w:line="240" w:lineRule="auto"/>
                    <w:ind w:left="210" w:leftChars="0" w:hanging="210" w:hangingChars="100"/>
                    <w:jc w:val="center"/>
                    <w:textAlignment w:val="auto"/>
                    <w:rPr>
                      <w:rFonts w:hint="eastAsia" w:ascii="Times New Roman" w:hAnsi="Times New Roman" w:eastAsia="宋体" w:cs="Times New Roman"/>
                      <w:sz w:val="21"/>
                      <w:szCs w:val="21"/>
                      <w:vertAlign w:val="baseline"/>
                      <w:lang w:eastAsia="zh-CN"/>
                    </w:rPr>
                  </w:pPr>
                </w:p>
              </w:tc>
            </w:tr>
            <w:tr w14:paraId="558E5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524" w:type="pct"/>
                  <w:vMerge w:val="continue"/>
                  <w:vAlign w:val="center"/>
                </w:tcPr>
                <w:p w14:paraId="6E171C36">
                  <w:pPr>
                    <w:pStyle w:val="75"/>
                    <w:keepNext w:val="0"/>
                    <w:keepLines w:val="0"/>
                    <w:pageBreakBefore w:val="0"/>
                    <w:widowControl/>
                    <w:kinsoku/>
                    <w:wordWrap/>
                    <w:overflowPunct/>
                    <w:topLinePunct w:val="0"/>
                    <w:autoSpaceDE/>
                    <w:autoSpaceDN/>
                    <w:bidi w:val="0"/>
                    <w:adjustRightInd/>
                    <w:snapToGrid/>
                    <w:spacing w:line="240" w:lineRule="auto"/>
                    <w:ind w:left="211" w:leftChars="0" w:hanging="211" w:hangingChars="100"/>
                    <w:jc w:val="center"/>
                    <w:textAlignment w:val="auto"/>
                    <w:rPr>
                      <w:rFonts w:hint="default" w:ascii="Times New Roman" w:hAnsi="Times New Roman" w:eastAsia="宋体" w:cs="Times New Roman"/>
                      <w:b/>
                      <w:bCs/>
                      <w:sz w:val="21"/>
                      <w:szCs w:val="21"/>
                      <w:vertAlign w:val="baseline"/>
                    </w:rPr>
                  </w:pPr>
                </w:p>
              </w:tc>
              <w:tc>
                <w:tcPr>
                  <w:tcW w:w="974" w:type="pct"/>
                  <w:vMerge w:val="continue"/>
                  <w:vAlign w:val="center"/>
                </w:tcPr>
                <w:p w14:paraId="3C259E83">
                  <w:pPr>
                    <w:pStyle w:val="75"/>
                    <w:keepNext w:val="0"/>
                    <w:keepLines w:val="0"/>
                    <w:pageBreakBefore w:val="0"/>
                    <w:widowControl/>
                    <w:kinsoku/>
                    <w:wordWrap/>
                    <w:overflowPunct/>
                    <w:topLinePunct w:val="0"/>
                    <w:autoSpaceDE/>
                    <w:autoSpaceDN/>
                    <w:bidi w:val="0"/>
                    <w:adjustRightInd/>
                    <w:snapToGrid/>
                    <w:spacing w:line="240" w:lineRule="auto"/>
                    <w:ind w:left="210" w:leftChars="0" w:hanging="210" w:hangingChars="100"/>
                    <w:jc w:val="center"/>
                    <w:textAlignment w:val="auto"/>
                    <w:rPr>
                      <w:rFonts w:hint="eastAsia" w:ascii="Times New Roman" w:hAnsi="Times New Roman" w:eastAsia="宋体" w:cs="Times New Roman"/>
                      <w:sz w:val="21"/>
                      <w:szCs w:val="21"/>
                      <w:vertAlign w:val="baseline"/>
                      <w:lang w:eastAsia="zh-CN"/>
                    </w:rPr>
                  </w:pPr>
                </w:p>
              </w:tc>
              <w:tc>
                <w:tcPr>
                  <w:tcW w:w="2975" w:type="pct"/>
                  <w:vAlign w:val="center"/>
                </w:tcPr>
                <w:p w14:paraId="0269AE0E">
                  <w:pPr>
                    <w:pStyle w:val="75"/>
                    <w:keepNext w:val="0"/>
                    <w:keepLines w:val="0"/>
                    <w:pageBreakBefore w:val="0"/>
                    <w:widowControl/>
                    <w:kinsoku/>
                    <w:wordWrap/>
                    <w:overflowPunct/>
                    <w:topLinePunct w:val="0"/>
                    <w:autoSpaceDE/>
                    <w:autoSpaceDN/>
                    <w:bidi w:val="0"/>
                    <w:adjustRightInd/>
                    <w:snapToGrid/>
                    <w:spacing w:line="240" w:lineRule="auto"/>
                    <w:ind w:left="210" w:leftChars="0" w:hanging="210" w:hangingChars="100"/>
                    <w:jc w:val="center"/>
                    <w:textAlignment w:val="auto"/>
                    <w:rPr>
                      <w:rFonts w:hint="default" w:ascii="Times New Roman" w:hAnsi="Times New Roman" w:eastAsia="宋体" w:cs="Times New Roman"/>
                      <w:color w:val="auto"/>
                      <w:sz w:val="21"/>
                      <w:szCs w:val="21"/>
                      <w:vertAlign w:val="baseline"/>
                    </w:rPr>
                  </w:pPr>
                  <w:r>
                    <w:rPr>
                      <w:rFonts w:hint="eastAsia" w:cs="Times New Roman"/>
                      <w:color w:val="auto"/>
                      <w:sz w:val="21"/>
                      <w:szCs w:val="21"/>
                      <w:vertAlign w:val="baseline"/>
                      <w:lang w:val="en-US" w:eastAsia="zh-CN"/>
                    </w:rPr>
                    <w:t>食堂油烟经烟雾净化器处理后引致楼顶排放。</w:t>
                  </w:r>
                </w:p>
              </w:tc>
              <w:tc>
                <w:tcPr>
                  <w:tcW w:w="526" w:type="pct"/>
                  <w:vMerge w:val="continue"/>
                  <w:vAlign w:val="center"/>
                </w:tcPr>
                <w:p w14:paraId="19105540">
                  <w:pPr>
                    <w:pStyle w:val="75"/>
                    <w:keepNext w:val="0"/>
                    <w:keepLines w:val="0"/>
                    <w:pageBreakBefore w:val="0"/>
                    <w:widowControl/>
                    <w:kinsoku/>
                    <w:wordWrap/>
                    <w:overflowPunct/>
                    <w:topLinePunct w:val="0"/>
                    <w:autoSpaceDE/>
                    <w:autoSpaceDN/>
                    <w:bidi w:val="0"/>
                    <w:adjustRightInd/>
                    <w:snapToGrid/>
                    <w:spacing w:line="240" w:lineRule="auto"/>
                    <w:ind w:left="210" w:leftChars="0" w:hanging="210" w:hangingChars="100"/>
                    <w:jc w:val="center"/>
                    <w:textAlignment w:val="auto"/>
                    <w:rPr>
                      <w:rFonts w:hint="eastAsia" w:ascii="Times New Roman" w:hAnsi="Times New Roman" w:eastAsia="宋体" w:cs="Times New Roman"/>
                      <w:sz w:val="21"/>
                      <w:szCs w:val="21"/>
                      <w:vertAlign w:val="baseline"/>
                      <w:lang w:eastAsia="zh-CN"/>
                    </w:rPr>
                  </w:pPr>
                </w:p>
              </w:tc>
            </w:tr>
            <w:tr w14:paraId="136C5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524" w:type="pct"/>
                  <w:vMerge w:val="continue"/>
                  <w:vAlign w:val="center"/>
                </w:tcPr>
                <w:p w14:paraId="0578FB24">
                  <w:pPr>
                    <w:pStyle w:val="75"/>
                    <w:keepNext w:val="0"/>
                    <w:keepLines w:val="0"/>
                    <w:pageBreakBefore w:val="0"/>
                    <w:widowControl/>
                    <w:kinsoku/>
                    <w:wordWrap/>
                    <w:overflowPunct/>
                    <w:topLinePunct w:val="0"/>
                    <w:autoSpaceDE/>
                    <w:autoSpaceDN/>
                    <w:bidi w:val="0"/>
                    <w:adjustRightInd/>
                    <w:snapToGrid/>
                    <w:spacing w:line="240" w:lineRule="auto"/>
                    <w:ind w:left="240" w:leftChars="0" w:hanging="240" w:hangingChars="100"/>
                    <w:jc w:val="center"/>
                    <w:textAlignment w:val="auto"/>
                  </w:pPr>
                </w:p>
              </w:tc>
              <w:tc>
                <w:tcPr>
                  <w:tcW w:w="974" w:type="pct"/>
                  <w:vMerge w:val="continue"/>
                  <w:vAlign w:val="center"/>
                </w:tcPr>
                <w:p w14:paraId="2AFCAF3B">
                  <w:pPr>
                    <w:pStyle w:val="75"/>
                    <w:keepNext w:val="0"/>
                    <w:keepLines w:val="0"/>
                    <w:pageBreakBefore w:val="0"/>
                    <w:widowControl/>
                    <w:kinsoku/>
                    <w:wordWrap/>
                    <w:overflowPunct/>
                    <w:topLinePunct w:val="0"/>
                    <w:autoSpaceDE/>
                    <w:autoSpaceDN/>
                    <w:bidi w:val="0"/>
                    <w:adjustRightInd/>
                    <w:snapToGrid/>
                    <w:spacing w:line="240" w:lineRule="auto"/>
                    <w:ind w:left="240" w:leftChars="0" w:hanging="240" w:hangingChars="100"/>
                    <w:jc w:val="center"/>
                    <w:textAlignment w:val="auto"/>
                  </w:pPr>
                </w:p>
              </w:tc>
              <w:tc>
                <w:tcPr>
                  <w:tcW w:w="2975" w:type="pct"/>
                  <w:vAlign w:val="center"/>
                </w:tcPr>
                <w:p w14:paraId="43D624FD">
                  <w:pPr>
                    <w:pStyle w:val="75"/>
                    <w:keepNext w:val="0"/>
                    <w:keepLines w:val="0"/>
                    <w:pageBreakBefore w:val="0"/>
                    <w:widowControl/>
                    <w:kinsoku/>
                    <w:wordWrap/>
                    <w:overflowPunct/>
                    <w:topLinePunct w:val="0"/>
                    <w:autoSpaceDE/>
                    <w:autoSpaceDN/>
                    <w:bidi w:val="0"/>
                    <w:adjustRightInd/>
                    <w:snapToGrid/>
                    <w:spacing w:line="240" w:lineRule="auto"/>
                    <w:ind w:left="210" w:leftChars="0" w:hanging="210" w:hangingChars="10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000000"/>
                      <w:kern w:val="2"/>
                      <w:sz w:val="21"/>
                      <w:szCs w:val="21"/>
                      <w:lang w:val="en-US" w:eastAsia="zh-CN" w:bidi="ar"/>
                    </w:rPr>
                    <w:t>生产过程中产生的废边角料、不合格品破碎后回用于生产，破碎在密闭车间内进行，</w:t>
                  </w:r>
                  <w:r>
                    <w:rPr>
                      <w:rFonts w:hint="default" w:ascii="Times New Roman" w:hAnsi="Times New Roman" w:eastAsia="宋体" w:cs="Times New Roman"/>
                      <w:b w:val="0"/>
                      <w:bCs w:val="0"/>
                      <w:color w:val="auto"/>
                      <w:sz w:val="21"/>
                      <w:szCs w:val="21"/>
                      <w:lang w:eastAsia="zh-CN"/>
                    </w:rPr>
                    <w:t>破碎产生的粉尘通过</w:t>
                  </w:r>
                  <w:r>
                    <w:rPr>
                      <w:rFonts w:hint="eastAsia" w:cs="Times New Roman"/>
                      <w:b w:val="0"/>
                      <w:bCs w:val="0"/>
                      <w:color w:val="auto"/>
                      <w:sz w:val="21"/>
                      <w:szCs w:val="21"/>
                      <w:lang w:eastAsia="zh-CN"/>
                    </w:rPr>
                    <w:t>布</w:t>
                  </w:r>
                  <w:r>
                    <w:rPr>
                      <w:rFonts w:hint="default" w:ascii="Times New Roman" w:hAnsi="Times New Roman" w:eastAsia="宋体" w:cs="Times New Roman"/>
                      <w:b w:val="0"/>
                      <w:bCs w:val="0"/>
                      <w:color w:val="auto"/>
                      <w:sz w:val="21"/>
                      <w:szCs w:val="21"/>
                      <w:lang w:eastAsia="zh-CN"/>
                    </w:rPr>
                    <w:t>袋</w:t>
                  </w:r>
                  <w:r>
                    <w:rPr>
                      <w:rFonts w:hint="eastAsia" w:cs="Times New Roman"/>
                      <w:b w:val="0"/>
                      <w:bCs w:val="0"/>
                      <w:color w:val="auto"/>
                      <w:sz w:val="21"/>
                      <w:szCs w:val="21"/>
                      <w:lang w:val="en-US" w:eastAsia="zh-CN"/>
                    </w:rPr>
                    <w:t>收尘</w:t>
                  </w:r>
                  <w:r>
                    <w:rPr>
                      <w:rFonts w:hint="default" w:ascii="Times New Roman" w:hAnsi="Times New Roman" w:eastAsia="宋体" w:cs="Times New Roman"/>
                      <w:b w:val="0"/>
                      <w:bCs w:val="0"/>
                      <w:color w:val="auto"/>
                      <w:sz w:val="21"/>
                      <w:szCs w:val="21"/>
                      <w:lang w:eastAsia="zh-CN"/>
                    </w:rPr>
                    <w:t>器</w:t>
                  </w:r>
                  <w:r>
                    <w:rPr>
                      <w:rFonts w:hint="eastAsia" w:cs="Times New Roman"/>
                      <w:b w:val="0"/>
                      <w:bCs w:val="0"/>
                      <w:color w:val="auto"/>
                      <w:sz w:val="21"/>
                      <w:szCs w:val="21"/>
                      <w:lang w:val="en-US" w:eastAsia="zh-CN"/>
                    </w:rPr>
                    <w:t>处理后无组织排放，收集的粉尘回用于生产</w:t>
                  </w:r>
                  <w:r>
                    <w:rPr>
                      <w:rFonts w:hint="eastAsia" w:cs="Times New Roman"/>
                      <w:color w:val="000000"/>
                      <w:kern w:val="2"/>
                      <w:sz w:val="21"/>
                      <w:szCs w:val="21"/>
                      <w:lang w:val="en-US" w:eastAsia="zh-CN" w:bidi="ar"/>
                    </w:rPr>
                    <w:t>。</w:t>
                  </w:r>
                </w:p>
              </w:tc>
              <w:tc>
                <w:tcPr>
                  <w:tcW w:w="526" w:type="pct"/>
                  <w:vMerge w:val="continue"/>
                  <w:vAlign w:val="center"/>
                </w:tcPr>
                <w:p w14:paraId="57B3AAF3">
                  <w:pPr>
                    <w:pStyle w:val="75"/>
                    <w:keepNext w:val="0"/>
                    <w:keepLines w:val="0"/>
                    <w:pageBreakBefore w:val="0"/>
                    <w:widowControl/>
                    <w:kinsoku/>
                    <w:wordWrap/>
                    <w:overflowPunct/>
                    <w:topLinePunct w:val="0"/>
                    <w:autoSpaceDE/>
                    <w:autoSpaceDN/>
                    <w:bidi w:val="0"/>
                    <w:adjustRightInd/>
                    <w:snapToGrid/>
                    <w:spacing w:line="240" w:lineRule="auto"/>
                    <w:ind w:left="210" w:leftChars="0" w:hanging="210" w:hangingChars="100"/>
                    <w:jc w:val="center"/>
                    <w:textAlignment w:val="auto"/>
                    <w:rPr>
                      <w:rFonts w:hint="default" w:ascii="Times New Roman" w:hAnsi="Times New Roman" w:eastAsia="宋体" w:cs="Times New Roman"/>
                      <w:color w:val="FF0000"/>
                      <w:sz w:val="21"/>
                      <w:szCs w:val="21"/>
                      <w:vertAlign w:val="baseline"/>
                    </w:rPr>
                  </w:pPr>
                </w:p>
              </w:tc>
            </w:tr>
            <w:tr w14:paraId="3E6A2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2" w:hRule="atLeast"/>
                <w:jc w:val="center"/>
              </w:trPr>
              <w:tc>
                <w:tcPr>
                  <w:tcW w:w="524" w:type="pct"/>
                  <w:vMerge w:val="continue"/>
                  <w:vAlign w:val="center"/>
                </w:tcPr>
                <w:p w14:paraId="343560A6">
                  <w:pPr>
                    <w:pStyle w:val="75"/>
                    <w:keepNext w:val="0"/>
                    <w:keepLines w:val="0"/>
                    <w:pageBreakBefore w:val="0"/>
                    <w:widowControl/>
                    <w:kinsoku/>
                    <w:wordWrap/>
                    <w:overflowPunct/>
                    <w:topLinePunct w:val="0"/>
                    <w:autoSpaceDE/>
                    <w:autoSpaceDN/>
                    <w:bidi w:val="0"/>
                    <w:adjustRightInd/>
                    <w:snapToGrid/>
                    <w:spacing w:line="240" w:lineRule="auto"/>
                    <w:ind w:left="211" w:leftChars="0" w:hanging="211" w:hangingChars="100"/>
                    <w:jc w:val="center"/>
                    <w:textAlignment w:val="auto"/>
                    <w:rPr>
                      <w:rFonts w:hint="default" w:ascii="Times New Roman" w:hAnsi="Times New Roman" w:eastAsia="宋体" w:cs="Times New Roman"/>
                      <w:b/>
                      <w:bCs/>
                      <w:sz w:val="21"/>
                      <w:szCs w:val="21"/>
                      <w:vertAlign w:val="baseline"/>
                    </w:rPr>
                  </w:pPr>
                </w:p>
              </w:tc>
              <w:tc>
                <w:tcPr>
                  <w:tcW w:w="974" w:type="pct"/>
                  <w:vAlign w:val="center"/>
                </w:tcPr>
                <w:p w14:paraId="140D39C5">
                  <w:pPr>
                    <w:pStyle w:val="75"/>
                    <w:keepNext w:val="0"/>
                    <w:keepLines w:val="0"/>
                    <w:pageBreakBefore w:val="0"/>
                    <w:widowControl/>
                    <w:kinsoku/>
                    <w:wordWrap/>
                    <w:overflowPunct/>
                    <w:topLinePunct w:val="0"/>
                    <w:autoSpaceDE/>
                    <w:autoSpaceDN/>
                    <w:bidi w:val="0"/>
                    <w:adjustRightInd/>
                    <w:snapToGrid/>
                    <w:spacing w:line="240" w:lineRule="auto"/>
                    <w:ind w:left="210" w:leftChars="0" w:hanging="210" w:hangingChars="100"/>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噪声治理</w:t>
                  </w:r>
                </w:p>
              </w:tc>
              <w:tc>
                <w:tcPr>
                  <w:tcW w:w="2975" w:type="pct"/>
                  <w:vAlign w:val="center"/>
                </w:tcPr>
                <w:p w14:paraId="29862F0E">
                  <w:pPr>
                    <w:pStyle w:val="75"/>
                    <w:keepNext w:val="0"/>
                    <w:keepLines w:val="0"/>
                    <w:pageBreakBefore w:val="0"/>
                    <w:widowControl/>
                    <w:kinsoku/>
                    <w:wordWrap/>
                    <w:overflowPunct/>
                    <w:topLinePunct w:val="0"/>
                    <w:autoSpaceDE/>
                    <w:autoSpaceDN/>
                    <w:bidi w:val="0"/>
                    <w:adjustRightInd/>
                    <w:snapToGrid/>
                    <w:spacing w:line="240" w:lineRule="auto"/>
                    <w:ind w:left="210" w:leftChars="0" w:hanging="210" w:hangingChars="100"/>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项目生产设备噪声通过选用低噪声设备、厂房隔声、高噪声设备安装减振基座、隔声罩等措施，通过墙体隔声、距离衰减等方式，可确保厂界噪声达标排放。</w:t>
                  </w:r>
                </w:p>
              </w:tc>
              <w:tc>
                <w:tcPr>
                  <w:tcW w:w="526" w:type="pct"/>
                  <w:vMerge w:val="continue"/>
                  <w:vAlign w:val="center"/>
                </w:tcPr>
                <w:p w14:paraId="7B946CD3">
                  <w:pPr>
                    <w:pStyle w:val="75"/>
                    <w:keepNext w:val="0"/>
                    <w:keepLines w:val="0"/>
                    <w:pageBreakBefore w:val="0"/>
                    <w:widowControl/>
                    <w:kinsoku/>
                    <w:wordWrap/>
                    <w:overflowPunct/>
                    <w:topLinePunct w:val="0"/>
                    <w:autoSpaceDE/>
                    <w:autoSpaceDN/>
                    <w:bidi w:val="0"/>
                    <w:adjustRightInd/>
                    <w:snapToGrid/>
                    <w:spacing w:line="240" w:lineRule="auto"/>
                    <w:ind w:left="210" w:leftChars="0" w:hanging="210" w:hangingChars="100"/>
                    <w:jc w:val="center"/>
                    <w:textAlignment w:val="auto"/>
                    <w:rPr>
                      <w:rFonts w:hint="default" w:ascii="Times New Roman" w:hAnsi="Times New Roman" w:eastAsia="宋体" w:cs="Times New Roman"/>
                      <w:sz w:val="21"/>
                      <w:szCs w:val="21"/>
                      <w:vertAlign w:val="baseline"/>
                    </w:rPr>
                  </w:pPr>
                </w:p>
              </w:tc>
            </w:tr>
            <w:tr w14:paraId="49FEC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524" w:type="pct"/>
                  <w:vMerge w:val="continue"/>
                  <w:vAlign w:val="center"/>
                </w:tcPr>
                <w:p w14:paraId="7041EEA8">
                  <w:pPr>
                    <w:pStyle w:val="75"/>
                    <w:keepNext w:val="0"/>
                    <w:keepLines w:val="0"/>
                    <w:pageBreakBefore w:val="0"/>
                    <w:widowControl/>
                    <w:kinsoku/>
                    <w:wordWrap/>
                    <w:overflowPunct/>
                    <w:topLinePunct w:val="0"/>
                    <w:autoSpaceDE/>
                    <w:autoSpaceDN/>
                    <w:bidi w:val="0"/>
                    <w:adjustRightInd/>
                    <w:snapToGrid/>
                    <w:spacing w:line="240" w:lineRule="auto"/>
                    <w:ind w:left="211" w:leftChars="0" w:hanging="211" w:hangingChars="100"/>
                    <w:jc w:val="center"/>
                    <w:textAlignment w:val="auto"/>
                    <w:rPr>
                      <w:rFonts w:hint="default" w:ascii="Times New Roman" w:hAnsi="Times New Roman" w:eastAsia="宋体" w:cs="Times New Roman"/>
                      <w:b/>
                      <w:bCs/>
                      <w:sz w:val="21"/>
                      <w:szCs w:val="21"/>
                      <w:vertAlign w:val="baseline"/>
                    </w:rPr>
                  </w:pPr>
                </w:p>
              </w:tc>
              <w:tc>
                <w:tcPr>
                  <w:tcW w:w="974" w:type="pct"/>
                  <w:vMerge w:val="restart"/>
                  <w:vAlign w:val="center"/>
                </w:tcPr>
                <w:p w14:paraId="66067063">
                  <w:pPr>
                    <w:pStyle w:val="75"/>
                    <w:keepNext w:val="0"/>
                    <w:keepLines w:val="0"/>
                    <w:pageBreakBefore w:val="0"/>
                    <w:widowControl/>
                    <w:kinsoku/>
                    <w:wordWrap/>
                    <w:overflowPunct/>
                    <w:topLinePunct w:val="0"/>
                    <w:autoSpaceDE/>
                    <w:autoSpaceDN/>
                    <w:bidi w:val="0"/>
                    <w:adjustRightInd/>
                    <w:snapToGrid/>
                    <w:spacing w:line="240" w:lineRule="auto"/>
                    <w:ind w:left="210" w:leftChars="0" w:hanging="210" w:hangingChars="100"/>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固废治理</w:t>
                  </w:r>
                </w:p>
              </w:tc>
              <w:tc>
                <w:tcPr>
                  <w:tcW w:w="2975" w:type="pct"/>
                  <w:vAlign w:val="center"/>
                </w:tcPr>
                <w:p w14:paraId="74357CC7">
                  <w:pPr>
                    <w:pStyle w:val="75"/>
                    <w:keepNext w:val="0"/>
                    <w:keepLines w:val="0"/>
                    <w:pageBreakBefore w:val="0"/>
                    <w:widowControl/>
                    <w:kinsoku/>
                    <w:wordWrap/>
                    <w:overflowPunct/>
                    <w:topLinePunct w:val="0"/>
                    <w:autoSpaceDE/>
                    <w:autoSpaceDN/>
                    <w:bidi w:val="0"/>
                    <w:adjustRightInd/>
                    <w:snapToGrid/>
                    <w:spacing w:line="240" w:lineRule="auto"/>
                    <w:ind w:left="210" w:leftChars="0" w:hanging="210" w:hangingChars="10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设置若干垃圾桶，生活垃圾收集后统一交由环卫部门处理。</w:t>
                  </w:r>
                </w:p>
              </w:tc>
              <w:tc>
                <w:tcPr>
                  <w:tcW w:w="526" w:type="pct"/>
                  <w:vMerge w:val="continue"/>
                  <w:vAlign w:val="center"/>
                </w:tcPr>
                <w:p w14:paraId="02BF9451">
                  <w:pPr>
                    <w:pStyle w:val="75"/>
                    <w:keepNext w:val="0"/>
                    <w:keepLines w:val="0"/>
                    <w:pageBreakBefore w:val="0"/>
                    <w:widowControl/>
                    <w:kinsoku/>
                    <w:wordWrap/>
                    <w:overflowPunct/>
                    <w:topLinePunct w:val="0"/>
                    <w:autoSpaceDE/>
                    <w:autoSpaceDN/>
                    <w:bidi w:val="0"/>
                    <w:adjustRightInd/>
                    <w:snapToGrid/>
                    <w:spacing w:line="240" w:lineRule="auto"/>
                    <w:ind w:left="210" w:leftChars="0" w:hanging="210" w:hangingChars="100"/>
                    <w:jc w:val="center"/>
                    <w:textAlignment w:val="auto"/>
                    <w:rPr>
                      <w:rFonts w:hint="default" w:ascii="Times New Roman" w:hAnsi="Times New Roman" w:eastAsia="宋体" w:cs="Times New Roman"/>
                      <w:sz w:val="21"/>
                      <w:szCs w:val="21"/>
                      <w:vertAlign w:val="baseline"/>
                    </w:rPr>
                  </w:pPr>
                </w:p>
              </w:tc>
            </w:tr>
            <w:tr w14:paraId="7DF2F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4" w:type="pct"/>
                  <w:vMerge w:val="continue"/>
                  <w:vAlign w:val="center"/>
                </w:tcPr>
                <w:p w14:paraId="6E20372D">
                  <w:pPr>
                    <w:pStyle w:val="75"/>
                    <w:keepNext w:val="0"/>
                    <w:keepLines w:val="0"/>
                    <w:pageBreakBefore w:val="0"/>
                    <w:widowControl/>
                    <w:kinsoku/>
                    <w:wordWrap/>
                    <w:overflowPunct/>
                    <w:topLinePunct w:val="0"/>
                    <w:autoSpaceDE/>
                    <w:autoSpaceDN/>
                    <w:bidi w:val="0"/>
                    <w:adjustRightInd/>
                    <w:snapToGrid/>
                    <w:spacing w:line="240" w:lineRule="auto"/>
                    <w:ind w:left="211" w:leftChars="0" w:hanging="211" w:hangingChars="100"/>
                    <w:jc w:val="center"/>
                    <w:textAlignment w:val="auto"/>
                    <w:rPr>
                      <w:rFonts w:hint="default" w:ascii="Times New Roman" w:hAnsi="Times New Roman" w:eastAsia="宋体" w:cs="Times New Roman"/>
                      <w:b/>
                      <w:bCs/>
                      <w:sz w:val="21"/>
                      <w:szCs w:val="21"/>
                      <w:vertAlign w:val="baseline"/>
                    </w:rPr>
                  </w:pPr>
                </w:p>
              </w:tc>
              <w:tc>
                <w:tcPr>
                  <w:tcW w:w="974" w:type="pct"/>
                  <w:vMerge w:val="continue"/>
                  <w:vAlign w:val="center"/>
                </w:tcPr>
                <w:p w14:paraId="1EFDF261">
                  <w:pPr>
                    <w:pStyle w:val="75"/>
                    <w:keepNext w:val="0"/>
                    <w:keepLines w:val="0"/>
                    <w:pageBreakBefore w:val="0"/>
                    <w:widowControl/>
                    <w:kinsoku/>
                    <w:wordWrap/>
                    <w:overflowPunct/>
                    <w:topLinePunct w:val="0"/>
                    <w:autoSpaceDE/>
                    <w:autoSpaceDN/>
                    <w:bidi w:val="0"/>
                    <w:adjustRightInd/>
                    <w:snapToGrid/>
                    <w:spacing w:line="240" w:lineRule="auto"/>
                    <w:ind w:left="210" w:leftChars="0" w:hanging="210" w:hangingChars="100"/>
                    <w:jc w:val="center"/>
                    <w:textAlignment w:val="auto"/>
                    <w:rPr>
                      <w:rFonts w:hint="default" w:ascii="Times New Roman" w:hAnsi="Times New Roman" w:eastAsia="宋体" w:cs="Times New Roman"/>
                      <w:sz w:val="21"/>
                      <w:szCs w:val="21"/>
                      <w:vertAlign w:val="baseline"/>
                    </w:rPr>
                  </w:pPr>
                </w:p>
              </w:tc>
              <w:tc>
                <w:tcPr>
                  <w:tcW w:w="2975" w:type="pct"/>
                  <w:vAlign w:val="center"/>
                </w:tcPr>
                <w:p w14:paraId="0E13F522">
                  <w:pPr>
                    <w:pStyle w:val="75"/>
                    <w:keepNext w:val="0"/>
                    <w:keepLines w:val="0"/>
                    <w:pageBreakBefore w:val="0"/>
                    <w:widowControl/>
                    <w:kinsoku/>
                    <w:wordWrap/>
                    <w:overflowPunct/>
                    <w:topLinePunct w:val="0"/>
                    <w:autoSpaceDE/>
                    <w:autoSpaceDN/>
                    <w:bidi w:val="0"/>
                    <w:adjustRightInd/>
                    <w:snapToGrid/>
                    <w:spacing w:line="240" w:lineRule="auto"/>
                    <w:ind w:left="210" w:leftChars="0" w:hanging="210" w:hangingChars="100"/>
                    <w:jc w:val="center"/>
                    <w:textAlignment w:val="auto"/>
                    <w:rPr>
                      <w:rFonts w:hint="default" w:ascii="Times New Roman" w:hAnsi="Times New Roman" w:eastAsia="宋体" w:cs="Times New Roman"/>
                      <w:color w:val="auto"/>
                      <w:sz w:val="21"/>
                      <w:szCs w:val="21"/>
                      <w:vertAlign w:val="baseline"/>
                    </w:rPr>
                  </w:pPr>
                  <w:r>
                    <w:rPr>
                      <w:rFonts w:hint="eastAsia" w:ascii="Times New Roman" w:hAnsi="Times New Roman" w:eastAsia="宋体" w:cs="Times New Roman"/>
                      <w:color w:val="auto"/>
                      <w:sz w:val="21"/>
                      <w:szCs w:val="21"/>
                      <w:vertAlign w:val="baseline"/>
                      <w:lang w:eastAsia="zh-CN"/>
                    </w:rPr>
                    <w:t>一般工业固体废物：拟在</w:t>
                  </w:r>
                  <w:r>
                    <w:rPr>
                      <w:rFonts w:hint="eastAsia" w:cs="Times New Roman"/>
                      <w:color w:val="auto"/>
                      <w:sz w:val="21"/>
                      <w:szCs w:val="21"/>
                      <w:vertAlign w:val="baseline"/>
                      <w:lang w:val="en-US" w:eastAsia="zh-CN"/>
                    </w:rPr>
                    <w:t>1</w:t>
                  </w:r>
                  <w:r>
                    <w:rPr>
                      <w:rFonts w:hint="eastAsia" w:ascii="Times New Roman" w:hAnsi="Times New Roman" w:eastAsia="宋体" w:cs="Times New Roman"/>
                      <w:color w:val="auto"/>
                      <w:sz w:val="21"/>
                      <w:szCs w:val="21"/>
                      <w:vertAlign w:val="baseline"/>
                      <w:lang w:val="en-US" w:eastAsia="zh-CN"/>
                    </w:rPr>
                    <w:t>#生产车间内东北角</w:t>
                  </w:r>
                  <w:r>
                    <w:rPr>
                      <w:rFonts w:hint="eastAsia" w:ascii="Times New Roman" w:hAnsi="Times New Roman" w:eastAsia="宋体" w:cs="Times New Roman"/>
                      <w:color w:val="auto"/>
                      <w:sz w:val="21"/>
                      <w:szCs w:val="21"/>
                      <w:vertAlign w:val="baseline"/>
                      <w:lang w:eastAsia="zh-CN"/>
                    </w:rPr>
                    <w:t>设置</w:t>
                  </w:r>
                  <w:r>
                    <w:rPr>
                      <w:rFonts w:hint="default" w:ascii="Times New Roman" w:hAnsi="Times New Roman" w:eastAsia="宋体" w:cs="Times New Roman"/>
                      <w:color w:val="auto"/>
                      <w:sz w:val="21"/>
                      <w:szCs w:val="21"/>
                      <w:vertAlign w:val="baseline"/>
                    </w:rPr>
                    <w:t>一般固体废物贮存区，分类收集、暂存各类一般固体废物，定期外售综合利用。</w:t>
                  </w:r>
                </w:p>
              </w:tc>
              <w:tc>
                <w:tcPr>
                  <w:tcW w:w="526" w:type="pct"/>
                  <w:vMerge w:val="continue"/>
                  <w:vAlign w:val="center"/>
                </w:tcPr>
                <w:p w14:paraId="6EBF3738">
                  <w:pPr>
                    <w:pStyle w:val="75"/>
                    <w:keepNext w:val="0"/>
                    <w:keepLines w:val="0"/>
                    <w:pageBreakBefore w:val="0"/>
                    <w:widowControl/>
                    <w:kinsoku/>
                    <w:wordWrap/>
                    <w:overflowPunct/>
                    <w:topLinePunct w:val="0"/>
                    <w:autoSpaceDE/>
                    <w:autoSpaceDN/>
                    <w:bidi w:val="0"/>
                    <w:adjustRightInd/>
                    <w:snapToGrid/>
                    <w:spacing w:line="240" w:lineRule="auto"/>
                    <w:ind w:left="210" w:leftChars="0" w:hanging="210" w:hangingChars="100"/>
                    <w:jc w:val="center"/>
                    <w:textAlignment w:val="auto"/>
                    <w:rPr>
                      <w:rFonts w:hint="default" w:ascii="Times New Roman" w:hAnsi="Times New Roman" w:eastAsia="宋体" w:cs="Times New Roman"/>
                      <w:sz w:val="21"/>
                      <w:szCs w:val="21"/>
                      <w:vertAlign w:val="baseline"/>
                    </w:rPr>
                  </w:pPr>
                </w:p>
              </w:tc>
            </w:tr>
            <w:tr w14:paraId="6004E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524" w:type="pct"/>
                  <w:vMerge w:val="continue"/>
                  <w:vAlign w:val="center"/>
                </w:tcPr>
                <w:p w14:paraId="3C49BAB6">
                  <w:pPr>
                    <w:pStyle w:val="75"/>
                    <w:keepNext w:val="0"/>
                    <w:keepLines w:val="0"/>
                    <w:pageBreakBefore w:val="0"/>
                    <w:widowControl/>
                    <w:kinsoku/>
                    <w:wordWrap/>
                    <w:overflowPunct/>
                    <w:topLinePunct w:val="0"/>
                    <w:autoSpaceDE/>
                    <w:autoSpaceDN/>
                    <w:bidi w:val="0"/>
                    <w:adjustRightInd/>
                    <w:snapToGrid/>
                    <w:spacing w:line="240" w:lineRule="auto"/>
                    <w:ind w:left="211" w:leftChars="0" w:hanging="211" w:hangingChars="100"/>
                    <w:jc w:val="center"/>
                    <w:textAlignment w:val="auto"/>
                    <w:rPr>
                      <w:rFonts w:hint="default" w:ascii="Times New Roman" w:hAnsi="Times New Roman" w:eastAsia="宋体" w:cs="Times New Roman"/>
                      <w:b/>
                      <w:bCs/>
                      <w:sz w:val="21"/>
                      <w:szCs w:val="21"/>
                      <w:vertAlign w:val="baseline"/>
                    </w:rPr>
                  </w:pPr>
                </w:p>
              </w:tc>
              <w:tc>
                <w:tcPr>
                  <w:tcW w:w="974" w:type="pct"/>
                  <w:vMerge w:val="continue"/>
                  <w:vAlign w:val="center"/>
                </w:tcPr>
                <w:p w14:paraId="24644EF1">
                  <w:pPr>
                    <w:pStyle w:val="75"/>
                    <w:keepNext w:val="0"/>
                    <w:keepLines w:val="0"/>
                    <w:pageBreakBefore w:val="0"/>
                    <w:widowControl/>
                    <w:kinsoku/>
                    <w:wordWrap/>
                    <w:overflowPunct/>
                    <w:topLinePunct w:val="0"/>
                    <w:autoSpaceDE/>
                    <w:autoSpaceDN/>
                    <w:bidi w:val="0"/>
                    <w:adjustRightInd/>
                    <w:snapToGrid/>
                    <w:spacing w:line="240" w:lineRule="auto"/>
                    <w:ind w:left="210" w:leftChars="0" w:hanging="210" w:hangingChars="100"/>
                    <w:jc w:val="center"/>
                    <w:textAlignment w:val="auto"/>
                    <w:rPr>
                      <w:rFonts w:hint="default" w:ascii="Times New Roman" w:hAnsi="Times New Roman" w:eastAsia="宋体" w:cs="Times New Roman"/>
                      <w:sz w:val="21"/>
                      <w:szCs w:val="21"/>
                      <w:vertAlign w:val="baseline"/>
                    </w:rPr>
                  </w:pPr>
                </w:p>
              </w:tc>
              <w:tc>
                <w:tcPr>
                  <w:tcW w:w="2975" w:type="pct"/>
                  <w:tcBorders>
                    <w:bottom w:val="single" w:color="000000" w:sz="4" w:space="0"/>
                  </w:tcBorders>
                  <w:vAlign w:val="center"/>
                </w:tcPr>
                <w:p w14:paraId="07CF7636">
                  <w:pPr>
                    <w:pStyle w:val="75"/>
                    <w:keepNext w:val="0"/>
                    <w:keepLines w:val="0"/>
                    <w:pageBreakBefore w:val="0"/>
                    <w:widowControl/>
                    <w:kinsoku/>
                    <w:wordWrap/>
                    <w:overflowPunct/>
                    <w:topLinePunct w:val="0"/>
                    <w:autoSpaceDE/>
                    <w:autoSpaceDN/>
                    <w:bidi w:val="0"/>
                    <w:adjustRightInd/>
                    <w:snapToGrid/>
                    <w:spacing w:line="240" w:lineRule="auto"/>
                    <w:ind w:left="210" w:leftChars="0" w:hanging="210" w:hangingChars="100"/>
                    <w:jc w:val="center"/>
                    <w:textAlignment w:val="auto"/>
                    <w:rPr>
                      <w:rFonts w:hint="default" w:ascii="Times New Roman" w:hAnsi="Times New Roman" w:eastAsia="宋体" w:cs="Times New Roman"/>
                      <w:color w:val="auto"/>
                      <w:sz w:val="21"/>
                      <w:szCs w:val="21"/>
                      <w:vertAlign w:val="baseline"/>
                    </w:rPr>
                  </w:pPr>
                  <w:r>
                    <w:rPr>
                      <w:rFonts w:hint="eastAsia" w:ascii="Times New Roman" w:hAnsi="Times New Roman" w:eastAsia="宋体" w:cs="Times New Roman"/>
                      <w:color w:val="auto"/>
                      <w:sz w:val="21"/>
                      <w:szCs w:val="21"/>
                      <w:vertAlign w:val="baseline"/>
                      <w:lang w:eastAsia="zh-CN"/>
                    </w:rPr>
                    <w:t>危险废物：拟在</w:t>
                  </w:r>
                  <w:r>
                    <w:rPr>
                      <w:rFonts w:hint="eastAsia" w:cs="Times New Roman"/>
                      <w:color w:val="auto"/>
                      <w:sz w:val="21"/>
                      <w:szCs w:val="21"/>
                      <w:vertAlign w:val="baseline"/>
                      <w:lang w:val="en-US" w:eastAsia="zh-CN"/>
                    </w:rPr>
                    <w:t>消防水池旁边</w:t>
                  </w:r>
                  <w:r>
                    <w:rPr>
                      <w:rFonts w:hint="default" w:ascii="Times New Roman" w:hAnsi="Times New Roman" w:eastAsia="宋体" w:cs="Times New Roman"/>
                      <w:color w:val="auto"/>
                      <w:sz w:val="21"/>
                      <w:szCs w:val="21"/>
                      <w:vertAlign w:val="baseline"/>
                    </w:rPr>
                    <w:t>设置危废暂存间，</w:t>
                  </w:r>
                  <w:r>
                    <w:rPr>
                      <w:rFonts w:hint="eastAsia" w:cs="Times New Roman"/>
                      <w:color w:val="auto"/>
                      <w:sz w:val="21"/>
                      <w:szCs w:val="21"/>
                      <w:vertAlign w:val="baseline"/>
                      <w:lang w:val="en-US" w:eastAsia="zh-CN"/>
                    </w:rPr>
                    <w:t>建筑面积约5m</w:t>
                  </w:r>
                  <w:r>
                    <w:rPr>
                      <w:rFonts w:hint="eastAsia" w:cs="Times New Roman"/>
                      <w:color w:val="auto"/>
                      <w:sz w:val="21"/>
                      <w:szCs w:val="21"/>
                      <w:vertAlign w:val="superscript"/>
                      <w:lang w:val="en-US" w:eastAsia="zh-CN"/>
                    </w:rPr>
                    <w:t>2</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rPr>
                    <w:t>危险废物分类收集、暂存，定期委托有资质单位处置。</w:t>
                  </w:r>
                </w:p>
              </w:tc>
              <w:tc>
                <w:tcPr>
                  <w:tcW w:w="526" w:type="pct"/>
                  <w:vMerge w:val="continue"/>
                  <w:tcBorders>
                    <w:bottom w:val="single" w:color="000000" w:sz="4" w:space="0"/>
                  </w:tcBorders>
                  <w:vAlign w:val="center"/>
                </w:tcPr>
                <w:p w14:paraId="5539A6DD">
                  <w:pPr>
                    <w:pStyle w:val="75"/>
                    <w:keepNext w:val="0"/>
                    <w:keepLines w:val="0"/>
                    <w:pageBreakBefore w:val="0"/>
                    <w:widowControl/>
                    <w:kinsoku/>
                    <w:wordWrap/>
                    <w:overflowPunct/>
                    <w:topLinePunct w:val="0"/>
                    <w:autoSpaceDE/>
                    <w:autoSpaceDN/>
                    <w:bidi w:val="0"/>
                    <w:adjustRightInd/>
                    <w:snapToGrid/>
                    <w:spacing w:line="240" w:lineRule="auto"/>
                    <w:ind w:left="210" w:leftChars="0" w:hanging="210" w:hangingChars="100"/>
                    <w:jc w:val="center"/>
                    <w:textAlignment w:val="auto"/>
                    <w:rPr>
                      <w:rFonts w:hint="default" w:ascii="Times New Roman" w:hAnsi="Times New Roman" w:eastAsia="宋体" w:cs="Times New Roman"/>
                      <w:sz w:val="21"/>
                      <w:szCs w:val="21"/>
                      <w:vertAlign w:val="baseline"/>
                    </w:rPr>
                  </w:pPr>
                </w:p>
              </w:tc>
            </w:tr>
          </w:tbl>
          <w:p w14:paraId="3AED6079">
            <w:pPr>
              <w:spacing w:line="360" w:lineRule="auto"/>
              <w:ind w:firstLine="482" w:firstLineChars="200"/>
              <w:jc w:val="both"/>
              <w:rPr>
                <w:rFonts w:hint="default" w:ascii="Times New Roman" w:hAnsi="Times New Roman" w:cs="Times New Roman"/>
                <w:b/>
                <w:bCs w:val="0"/>
                <w:color w:val="auto"/>
                <w:sz w:val="24"/>
                <w:lang w:val="en-US" w:eastAsia="zh-CN"/>
              </w:rPr>
            </w:pPr>
            <w:r>
              <w:rPr>
                <w:rFonts w:hint="eastAsia" w:cs="Times New Roman"/>
                <w:b/>
                <w:bCs w:val="0"/>
                <w:color w:val="auto"/>
                <w:sz w:val="24"/>
                <w:lang w:val="en-US" w:eastAsia="zh-CN"/>
              </w:rPr>
              <w:t>5</w:t>
            </w:r>
            <w:r>
              <w:rPr>
                <w:rFonts w:hint="default" w:ascii="Times New Roman" w:hAnsi="Times New Roman" w:cs="Times New Roman"/>
                <w:b/>
                <w:bCs w:val="0"/>
                <w:color w:val="auto"/>
                <w:sz w:val="24"/>
                <w:lang w:val="en-US" w:eastAsia="zh-CN"/>
              </w:rPr>
              <w:t>、主要产品及产能</w:t>
            </w:r>
          </w:p>
          <w:p w14:paraId="1B4E0AF6">
            <w:pPr>
              <w:spacing w:line="360" w:lineRule="auto"/>
              <w:ind w:firstLine="480" w:firstLineChars="200"/>
              <w:jc w:val="both"/>
              <w:rPr>
                <w:rFonts w:hint="default" w:ascii="Times New Roman" w:hAnsi="Times New Roman" w:cs="Times New Roman"/>
                <w:b w:val="0"/>
                <w:bCs/>
                <w:color w:val="auto"/>
                <w:sz w:val="24"/>
                <w:lang w:val="en-US" w:eastAsia="zh-CN"/>
              </w:rPr>
            </w:pPr>
            <w:r>
              <w:rPr>
                <w:rFonts w:hint="eastAsia" w:cs="Times New Roman"/>
                <w:b w:val="0"/>
                <w:bCs/>
                <w:color w:val="auto"/>
                <w:sz w:val="24"/>
                <w:lang w:val="en-US" w:eastAsia="zh-CN"/>
              </w:rPr>
              <w:t>项目</w:t>
            </w:r>
            <w:r>
              <w:rPr>
                <w:rFonts w:hint="default" w:ascii="Times New Roman" w:hAnsi="Times New Roman" w:cs="Times New Roman"/>
                <w:b w:val="0"/>
                <w:bCs/>
                <w:color w:val="auto"/>
                <w:sz w:val="24"/>
                <w:lang w:val="en-US" w:eastAsia="zh-CN"/>
              </w:rPr>
              <w:t>产品方案如下。</w:t>
            </w:r>
          </w:p>
          <w:p w14:paraId="5EA92D80">
            <w:pPr>
              <w:spacing w:line="360" w:lineRule="auto"/>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表2-</w:t>
            </w:r>
            <w:r>
              <w:rPr>
                <w:rFonts w:hint="eastAsia" w:ascii="Times New Roman" w:hAnsi="Times New Roman" w:eastAsia="宋体" w:cs="Times New Roman"/>
                <w:b/>
                <w:bCs/>
                <w:color w:val="auto"/>
                <w:sz w:val="24"/>
                <w:szCs w:val="24"/>
                <w:lang w:val="en-US" w:eastAsia="zh-CN"/>
              </w:rPr>
              <w:t>4</w:t>
            </w:r>
            <w:r>
              <w:rPr>
                <w:rFonts w:hint="default" w:ascii="Times New Roman" w:hAnsi="Times New Roman" w:eastAsia="宋体" w:cs="Times New Roman"/>
                <w:b/>
                <w:bCs/>
                <w:color w:val="auto"/>
                <w:sz w:val="24"/>
                <w:szCs w:val="24"/>
                <w:lang w:val="en-US" w:eastAsia="zh-CN"/>
              </w:rPr>
              <w:t xml:space="preserve">  产品方案一览表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4"/>
              <w:gridCol w:w="1322"/>
              <w:gridCol w:w="2031"/>
              <w:gridCol w:w="4346"/>
            </w:tblGrid>
            <w:tr w14:paraId="6EF24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5" w:type="pct"/>
                  <w:noWrap w:val="0"/>
                  <w:vAlign w:val="center"/>
                </w:tcPr>
                <w:p w14:paraId="6ACDA3C0">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768" w:type="pct"/>
                  <w:noWrap w:val="0"/>
                  <w:vAlign w:val="center"/>
                </w:tcPr>
                <w:p w14:paraId="7CA7EF77">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产品名称</w:t>
                  </w:r>
                </w:p>
              </w:tc>
              <w:tc>
                <w:tcPr>
                  <w:tcW w:w="1180" w:type="pct"/>
                  <w:noWrap w:val="0"/>
                  <w:vAlign w:val="center"/>
                </w:tcPr>
                <w:p w14:paraId="530BA37A">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规格</w:t>
                  </w:r>
                </w:p>
              </w:tc>
              <w:tc>
                <w:tcPr>
                  <w:tcW w:w="2525" w:type="pct"/>
                  <w:noWrap w:val="0"/>
                  <w:vAlign w:val="center"/>
                </w:tcPr>
                <w:p w14:paraId="53016E64">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产量</w:t>
                  </w:r>
                </w:p>
              </w:tc>
            </w:tr>
            <w:tr w14:paraId="454CF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5" w:type="pct"/>
                  <w:noWrap w:val="0"/>
                  <w:vAlign w:val="center"/>
                </w:tcPr>
                <w:p w14:paraId="3BBFABEB">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1</w:t>
                  </w:r>
                </w:p>
              </w:tc>
              <w:tc>
                <w:tcPr>
                  <w:tcW w:w="768" w:type="pct"/>
                  <w:noWrap w:val="0"/>
                  <w:vAlign w:val="center"/>
                </w:tcPr>
                <w:p w14:paraId="19210A07">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PP板材</w:t>
                  </w:r>
                </w:p>
              </w:tc>
              <w:tc>
                <w:tcPr>
                  <w:tcW w:w="1180" w:type="pct"/>
                  <w:noWrap w:val="0"/>
                  <w:vAlign w:val="center"/>
                </w:tcPr>
                <w:p w14:paraId="0E7A73BE">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3mm-30mm</w:t>
                  </w:r>
                </w:p>
              </w:tc>
              <w:tc>
                <w:tcPr>
                  <w:tcW w:w="2525" w:type="pct"/>
                  <w:noWrap w:val="0"/>
                  <w:vAlign w:val="center"/>
                </w:tcPr>
                <w:p w14:paraId="521C84CE">
                  <w:pPr>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18230张（约</w:t>
                  </w:r>
                  <w:r>
                    <w:rPr>
                      <w:rFonts w:hint="eastAsia" w:ascii="Times New Roman" w:hAnsi="Times New Roman" w:eastAsia="宋体" w:cs="Times New Roman"/>
                      <w:color w:val="auto"/>
                      <w:sz w:val="21"/>
                      <w:szCs w:val="21"/>
                      <w:lang w:val="en-US" w:eastAsia="zh-CN"/>
                    </w:rPr>
                    <w:t>2000</w:t>
                  </w:r>
                  <w:r>
                    <w:rPr>
                      <w:rFonts w:hint="default" w:ascii="Times New Roman" w:hAnsi="Times New Roman" w:eastAsia="宋体" w:cs="Times New Roman"/>
                      <w:color w:val="auto"/>
                      <w:sz w:val="21"/>
                      <w:szCs w:val="21"/>
                      <w:lang w:val="en-US" w:eastAsia="zh-CN"/>
                    </w:rPr>
                    <w:t>吨</w:t>
                  </w:r>
                  <w:r>
                    <w:rPr>
                      <w:rFonts w:hint="eastAsia" w:cs="Times New Roman"/>
                      <w:color w:val="auto"/>
                      <w:sz w:val="21"/>
                      <w:szCs w:val="21"/>
                      <w:lang w:val="en-US" w:eastAsia="zh-CN"/>
                    </w:rPr>
                    <w:t>）</w:t>
                  </w:r>
                </w:p>
              </w:tc>
            </w:tr>
            <w:tr w14:paraId="09688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5" w:type="pct"/>
                  <w:noWrap w:val="0"/>
                  <w:vAlign w:val="center"/>
                </w:tcPr>
                <w:p w14:paraId="0DD99E15">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w:t>
                  </w:r>
                </w:p>
              </w:tc>
              <w:tc>
                <w:tcPr>
                  <w:tcW w:w="768" w:type="pct"/>
                  <w:noWrap w:val="0"/>
                  <w:vAlign w:val="center"/>
                </w:tcPr>
                <w:p w14:paraId="181F7499">
                  <w:pPr>
                    <w:spacing w:line="240" w:lineRule="auto"/>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PP管</w:t>
                  </w:r>
                  <w:r>
                    <w:rPr>
                      <w:rFonts w:hint="eastAsia" w:cs="Times New Roman"/>
                      <w:color w:val="auto"/>
                      <w:sz w:val="21"/>
                      <w:szCs w:val="21"/>
                      <w:lang w:val="en-US" w:eastAsia="zh-CN"/>
                    </w:rPr>
                    <w:t>道</w:t>
                  </w:r>
                </w:p>
              </w:tc>
              <w:tc>
                <w:tcPr>
                  <w:tcW w:w="1180" w:type="pct"/>
                  <w:noWrap w:val="0"/>
                  <w:vAlign w:val="center"/>
                </w:tcPr>
                <w:p w14:paraId="1DEEF47E">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Φ</w:t>
                  </w:r>
                  <w:r>
                    <w:rPr>
                      <w:rFonts w:hint="eastAsia" w:cs="Times New Roman"/>
                      <w:color w:val="auto"/>
                      <w:sz w:val="21"/>
                      <w:szCs w:val="21"/>
                      <w:lang w:val="en-US" w:eastAsia="zh-CN"/>
                    </w:rPr>
                    <w:t>20</w:t>
                  </w:r>
                  <w:r>
                    <w:rPr>
                      <w:rFonts w:hint="default" w:ascii="Times New Roman" w:hAnsi="Times New Roman" w:eastAsia="宋体" w:cs="Times New Roman"/>
                      <w:color w:val="auto"/>
                      <w:sz w:val="21"/>
                      <w:szCs w:val="21"/>
                      <w:lang w:val="en-US" w:eastAsia="zh-CN"/>
                    </w:rPr>
                    <w:t>mm-</w:t>
                  </w:r>
                  <w:r>
                    <w:rPr>
                      <w:rFonts w:hint="default" w:ascii="Times New Roman" w:hAnsi="Times New Roman" w:eastAsia="宋体" w:cs="Times New Roman"/>
                      <w:color w:val="auto"/>
                      <w:sz w:val="21"/>
                      <w:szCs w:val="21"/>
                      <w:lang w:eastAsia="zh-CN"/>
                    </w:rPr>
                    <w:t>Φ</w:t>
                  </w:r>
                  <w:r>
                    <w:rPr>
                      <w:rFonts w:hint="eastAsia" w:cs="Times New Roman"/>
                      <w:color w:val="auto"/>
                      <w:sz w:val="21"/>
                      <w:szCs w:val="21"/>
                      <w:lang w:val="en-US" w:eastAsia="zh-CN"/>
                    </w:rPr>
                    <w:t>650</w:t>
                  </w:r>
                  <w:r>
                    <w:rPr>
                      <w:rFonts w:hint="default" w:ascii="Times New Roman" w:hAnsi="Times New Roman" w:eastAsia="宋体" w:cs="Times New Roman"/>
                      <w:color w:val="auto"/>
                      <w:sz w:val="21"/>
                      <w:szCs w:val="21"/>
                      <w:lang w:val="en-US" w:eastAsia="zh-CN"/>
                    </w:rPr>
                    <w:t>mm</w:t>
                  </w:r>
                </w:p>
              </w:tc>
              <w:tc>
                <w:tcPr>
                  <w:tcW w:w="2525" w:type="pct"/>
                  <w:noWrap w:val="0"/>
                  <w:vAlign w:val="center"/>
                </w:tcPr>
                <w:p w14:paraId="1E9CBADA">
                  <w:pPr>
                    <w:spacing w:line="240" w:lineRule="auto"/>
                    <w:jc w:val="center"/>
                    <w:rPr>
                      <w:rFonts w:hint="eastAsia" w:cs="Times New Roman"/>
                      <w:color w:val="auto"/>
                      <w:sz w:val="21"/>
                      <w:szCs w:val="21"/>
                      <w:lang w:val="en-US" w:eastAsia="zh-CN"/>
                    </w:rPr>
                  </w:pPr>
                  <w:r>
                    <w:rPr>
                      <w:rFonts w:hint="eastAsia" w:cs="Times New Roman"/>
                      <w:color w:val="auto"/>
                      <w:sz w:val="21"/>
                      <w:szCs w:val="21"/>
                      <w:lang w:val="en-US" w:eastAsia="zh-CN"/>
                    </w:rPr>
                    <w:t>8000米（约1000</w:t>
                  </w:r>
                  <w:r>
                    <w:rPr>
                      <w:rFonts w:hint="default" w:ascii="Times New Roman" w:hAnsi="Times New Roman" w:eastAsia="宋体" w:cs="Times New Roman"/>
                      <w:color w:val="auto"/>
                      <w:sz w:val="21"/>
                      <w:szCs w:val="21"/>
                      <w:lang w:val="en-US" w:eastAsia="zh-CN"/>
                    </w:rPr>
                    <w:t>吨</w:t>
                  </w:r>
                  <w:r>
                    <w:rPr>
                      <w:rFonts w:hint="eastAsia" w:cs="Times New Roman"/>
                      <w:color w:val="auto"/>
                      <w:sz w:val="21"/>
                      <w:szCs w:val="21"/>
                      <w:lang w:val="en-US" w:eastAsia="zh-CN"/>
                    </w:rPr>
                    <w:t>）</w:t>
                  </w:r>
                </w:p>
              </w:tc>
            </w:tr>
            <w:tr w14:paraId="3A091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5" w:type="pct"/>
                  <w:noWrap w:val="0"/>
                  <w:vAlign w:val="center"/>
                </w:tcPr>
                <w:p w14:paraId="38339ADA">
                  <w:pPr>
                    <w:jc w:val="center"/>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3</w:t>
                  </w:r>
                </w:p>
              </w:tc>
              <w:tc>
                <w:tcPr>
                  <w:tcW w:w="768" w:type="pct"/>
                  <w:noWrap w:val="0"/>
                  <w:vAlign w:val="center"/>
                </w:tcPr>
                <w:p w14:paraId="01EE7048">
                  <w:pPr>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缠绕</w:t>
                  </w:r>
                  <w:r>
                    <w:rPr>
                      <w:rFonts w:hint="eastAsia" w:cs="Times New Roman"/>
                      <w:color w:val="auto"/>
                      <w:sz w:val="21"/>
                      <w:szCs w:val="21"/>
                      <w:lang w:val="en-US" w:eastAsia="zh-CN"/>
                    </w:rPr>
                    <w:t>桶</w:t>
                  </w:r>
                </w:p>
              </w:tc>
              <w:tc>
                <w:tcPr>
                  <w:tcW w:w="1180" w:type="pct"/>
                  <w:noWrap w:val="0"/>
                  <w:vAlign w:val="center"/>
                </w:tcPr>
                <w:p w14:paraId="0B8C228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Φ</w:t>
                  </w:r>
                  <w:r>
                    <w:rPr>
                      <w:rFonts w:hint="eastAsia" w:cs="Times New Roman"/>
                      <w:color w:val="auto"/>
                      <w:sz w:val="21"/>
                      <w:szCs w:val="21"/>
                      <w:lang w:val="en-US" w:eastAsia="zh-CN"/>
                    </w:rPr>
                    <w:t>800</w:t>
                  </w:r>
                  <w:r>
                    <w:rPr>
                      <w:rFonts w:hint="default" w:ascii="Times New Roman" w:hAnsi="Times New Roman" w:eastAsia="宋体" w:cs="Times New Roman"/>
                      <w:color w:val="auto"/>
                      <w:sz w:val="21"/>
                      <w:szCs w:val="21"/>
                      <w:lang w:val="en-US" w:eastAsia="zh-CN"/>
                    </w:rPr>
                    <w:t>mm-</w:t>
                  </w:r>
                  <w:r>
                    <w:rPr>
                      <w:rFonts w:hint="default" w:ascii="Times New Roman" w:hAnsi="Times New Roman" w:eastAsia="宋体" w:cs="Times New Roman"/>
                      <w:color w:val="auto"/>
                      <w:sz w:val="21"/>
                      <w:szCs w:val="21"/>
                      <w:lang w:eastAsia="zh-CN"/>
                    </w:rPr>
                    <w:t>Φ</w:t>
                  </w:r>
                  <w:r>
                    <w:rPr>
                      <w:rFonts w:hint="default" w:ascii="Times New Roman" w:hAnsi="Times New Roman" w:eastAsia="宋体" w:cs="Times New Roman"/>
                      <w:color w:val="auto"/>
                      <w:sz w:val="21"/>
                      <w:szCs w:val="21"/>
                      <w:lang w:val="en-US" w:eastAsia="zh-CN"/>
                    </w:rPr>
                    <w:t>4</w:t>
                  </w:r>
                  <w:r>
                    <w:rPr>
                      <w:rFonts w:hint="eastAsia" w:cs="Times New Roman"/>
                      <w:color w:val="auto"/>
                      <w:sz w:val="21"/>
                      <w:szCs w:val="21"/>
                      <w:lang w:val="en-US" w:eastAsia="zh-CN"/>
                    </w:rPr>
                    <w:t>0</w:t>
                  </w:r>
                  <w:r>
                    <w:rPr>
                      <w:rFonts w:hint="default" w:ascii="Times New Roman" w:hAnsi="Times New Roman" w:eastAsia="宋体" w:cs="Times New Roman"/>
                      <w:color w:val="auto"/>
                      <w:sz w:val="21"/>
                      <w:szCs w:val="21"/>
                      <w:lang w:val="en-US" w:eastAsia="zh-CN"/>
                    </w:rPr>
                    <w:t>00mm</w:t>
                  </w:r>
                </w:p>
              </w:tc>
              <w:tc>
                <w:tcPr>
                  <w:tcW w:w="2525" w:type="pct"/>
                  <w:noWrap w:val="0"/>
                  <w:vAlign w:val="center"/>
                </w:tcPr>
                <w:p w14:paraId="2211360A">
                  <w:pPr>
                    <w:jc w:val="center"/>
                    <w:rPr>
                      <w:rFonts w:hint="eastAsia" w:cs="Times New Roman"/>
                      <w:color w:val="auto"/>
                      <w:sz w:val="21"/>
                      <w:szCs w:val="21"/>
                      <w:lang w:val="en-US" w:eastAsia="zh-CN"/>
                    </w:rPr>
                  </w:pPr>
                  <w:r>
                    <w:rPr>
                      <w:rFonts w:hint="eastAsia" w:cs="Times New Roman"/>
                      <w:color w:val="auto"/>
                      <w:sz w:val="21"/>
                      <w:szCs w:val="21"/>
                      <w:lang w:val="en-US" w:eastAsia="zh-CN"/>
                    </w:rPr>
                    <w:t>13000米（约2000</w:t>
                  </w:r>
                  <w:r>
                    <w:rPr>
                      <w:rFonts w:hint="default" w:ascii="Times New Roman" w:hAnsi="Times New Roman" w:eastAsia="宋体" w:cs="Times New Roman"/>
                      <w:color w:val="auto"/>
                      <w:sz w:val="21"/>
                      <w:szCs w:val="21"/>
                      <w:lang w:val="en-US" w:eastAsia="zh-CN"/>
                    </w:rPr>
                    <w:t>吨</w:t>
                  </w:r>
                  <w:r>
                    <w:rPr>
                      <w:rFonts w:hint="eastAsia" w:cs="Times New Roman"/>
                      <w:color w:val="auto"/>
                      <w:sz w:val="21"/>
                      <w:szCs w:val="21"/>
                      <w:lang w:val="en-US" w:eastAsia="zh-CN"/>
                    </w:rPr>
                    <w:t>）</w:t>
                  </w:r>
                </w:p>
              </w:tc>
            </w:tr>
            <w:tr w14:paraId="0848B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5" w:type="pct"/>
                  <w:shd w:val="clear" w:color="auto" w:fill="auto"/>
                  <w:noWrap w:val="0"/>
                  <w:vAlign w:val="center"/>
                </w:tcPr>
                <w:p w14:paraId="3F1ED944">
                  <w:pPr>
                    <w:jc w:val="center"/>
                    <w:rPr>
                      <w:rFonts w:hint="default" w:ascii="Times New Roman" w:hAnsi="Times New Roman" w:eastAsia="宋体" w:cs="Times New Roman"/>
                      <w:b/>
                      <w:bCs/>
                      <w:color w:val="auto"/>
                      <w:sz w:val="21"/>
                      <w:szCs w:val="21"/>
                      <w:lang w:val="en-US" w:eastAsia="zh-CN" w:bidi="ar-SA"/>
                    </w:rPr>
                  </w:pPr>
                  <w:r>
                    <w:rPr>
                      <w:rFonts w:hint="default" w:ascii="Times New Roman" w:hAnsi="Times New Roman" w:eastAsia="宋体" w:cs="Times New Roman"/>
                      <w:b/>
                      <w:bCs/>
                      <w:color w:val="auto"/>
                      <w:sz w:val="21"/>
                      <w:szCs w:val="21"/>
                      <w:lang w:val="en-US" w:eastAsia="zh-CN"/>
                    </w:rPr>
                    <w:t>4</w:t>
                  </w:r>
                </w:p>
              </w:tc>
              <w:tc>
                <w:tcPr>
                  <w:tcW w:w="768" w:type="pct"/>
                  <w:shd w:val="clear" w:color="auto" w:fill="auto"/>
                  <w:noWrap w:val="0"/>
                  <w:vAlign w:val="center"/>
                </w:tcPr>
                <w:p w14:paraId="149AB3C4">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封头</w:t>
                  </w:r>
                </w:p>
              </w:tc>
              <w:tc>
                <w:tcPr>
                  <w:tcW w:w="1180" w:type="pct"/>
                  <w:shd w:val="clear" w:color="auto" w:fill="auto"/>
                  <w:noWrap w:val="0"/>
                  <w:vAlign w:val="center"/>
                </w:tcPr>
                <w:p w14:paraId="0B53A11D">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Φ</w:t>
                  </w:r>
                  <w:r>
                    <w:rPr>
                      <w:rFonts w:hint="default" w:ascii="Times New Roman" w:hAnsi="Times New Roman" w:eastAsia="宋体" w:cs="Times New Roman"/>
                      <w:color w:val="auto"/>
                      <w:sz w:val="21"/>
                      <w:szCs w:val="21"/>
                      <w:lang w:val="en-US" w:eastAsia="zh-CN"/>
                    </w:rPr>
                    <w:t>300mm-</w:t>
                  </w:r>
                  <w:r>
                    <w:rPr>
                      <w:rFonts w:hint="default" w:ascii="Times New Roman" w:hAnsi="Times New Roman" w:eastAsia="宋体" w:cs="Times New Roman"/>
                      <w:color w:val="auto"/>
                      <w:sz w:val="21"/>
                      <w:szCs w:val="21"/>
                      <w:lang w:eastAsia="zh-CN"/>
                    </w:rPr>
                    <w:t>Φ</w:t>
                  </w:r>
                  <w:r>
                    <w:rPr>
                      <w:rFonts w:hint="default" w:ascii="Times New Roman" w:hAnsi="Times New Roman" w:eastAsia="宋体" w:cs="Times New Roman"/>
                      <w:color w:val="auto"/>
                      <w:sz w:val="21"/>
                      <w:szCs w:val="21"/>
                      <w:lang w:val="en-US" w:eastAsia="zh-CN"/>
                    </w:rPr>
                    <w:t>4500mm</w:t>
                  </w:r>
                </w:p>
              </w:tc>
              <w:tc>
                <w:tcPr>
                  <w:tcW w:w="2525" w:type="pct"/>
                  <w:shd w:val="clear" w:color="auto" w:fill="auto"/>
                  <w:noWrap w:val="0"/>
                  <w:vAlign w:val="center"/>
                </w:tcPr>
                <w:p w14:paraId="44794E65">
                  <w:pPr>
                    <w:jc w:val="center"/>
                    <w:rPr>
                      <w:rFonts w:hint="eastAsia" w:cs="Times New Roman"/>
                      <w:color w:val="auto"/>
                      <w:sz w:val="21"/>
                      <w:szCs w:val="21"/>
                      <w:highlight w:val="none"/>
                      <w:lang w:val="en-US" w:eastAsia="zh-CN"/>
                    </w:rPr>
                  </w:pPr>
                  <w:r>
                    <w:rPr>
                      <w:rFonts w:hint="eastAsia" w:cs="Times New Roman"/>
                      <w:color w:val="auto"/>
                      <w:sz w:val="21"/>
                      <w:szCs w:val="21"/>
                      <w:lang w:val="en-US" w:eastAsia="zh-CN"/>
                    </w:rPr>
                    <w:t>34000个（约</w:t>
                  </w:r>
                  <w:r>
                    <w:rPr>
                      <w:rFonts w:hint="eastAsia" w:cs="Times New Roman"/>
                      <w:color w:val="auto"/>
                      <w:sz w:val="21"/>
                      <w:szCs w:val="21"/>
                      <w:highlight w:val="none"/>
                      <w:lang w:val="en-US" w:eastAsia="zh-CN"/>
                    </w:rPr>
                    <w:t>500</w:t>
                  </w:r>
                  <w:r>
                    <w:rPr>
                      <w:rFonts w:hint="eastAsia" w:ascii="Times New Roman" w:hAnsi="Times New Roman" w:eastAsia="宋体" w:cs="Times New Roman"/>
                      <w:color w:val="auto"/>
                      <w:sz w:val="21"/>
                      <w:szCs w:val="21"/>
                      <w:highlight w:val="none"/>
                      <w:lang w:val="en-US" w:eastAsia="zh-CN"/>
                    </w:rPr>
                    <w:t>吨</w:t>
                  </w:r>
                  <w:r>
                    <w:rPr>
                      <w:rFonts w:hint="eastAsia" w:cs="Times New Roman"/>
                      <w:color w:val="auto"/>
                      <w:sz w:val="21"/>
                      <w:szCs w:val="21"/>
                      <w:lang w:val="en-US" w:eastAsia="zh-CN"/>
                    </w:rPr>
                    <w:t>）</w:t>
                  </w:r>
                </w:p>
              </w:tc>
            </w:tr>
            <w:tr w14:paraId="2F445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5" w:type="pct"/>
                  <w:shd w:val="clear" w:color="auto" w:fill="auto"/>
                  <w:noWrap w:val="0"/>
                  <w:vAlign w:val="center"/>
                </w:tcPr>
                <w:p w14:paraId="5B2A048A">
                  <w:pPr>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lang w:val="en-US" w:eastAsia="zh-CN"/>
                    </w:rPr>
                    <w:t>5</w:t>
                  </w:r>
                </w:p>
              </w:tc>
              <w:tc>
                <w:tcPr>
                  <w:tcW w:w="768" w:type="pct"/>
                  <w:shd w:val="clear" w:color="auto" w:fill="auto"/>
                  <w:noWrap w:val="0"/>
                  <w:vAlign w:val="center"/>
                </w:tcPr>
                <w:p w14:paraId="1FE3E124">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PP配件</w:t>
                  </w:r>
                </w:p>
              </w:tc>
              <w:tc>
                <w:tcPr>
                  <w:tcW w:w="1180" w:type="pct"/>
                  <w:shd w:val="clear" w:color="auto" w:fill="auto"/>
                  <w:noWrap w:val="0"/>
                  <w:vAlign w:val="center"/>
                </w:tcPr>
                <w:p w14:paraId="3A4BD7BC">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PP法兰</w:t>
                  </w:r>
                  <w:r>
                    <w:rPr>
                      <w:rFonts w:hint="eastAsia" w:cs="Times New Roman"/>
                      <w:color w:val="auto"/>
                      <w:kern w:val="2"/>
                      <w:sz w:val="21"/>
                      <w:szCs w:val="21"/>
                      <w:lang w:val="en-US" w:eastAsia="zh-CN" w:bidi="ar-SA"/>
                    </w:rPr>
                    <w:t>、PP弯头、PP三通规格不统一</w:t>
                  </w:r>
                </w:p>
              </w:tc>
              <w:tc>
                <w:tcPr>
                  <w:tcW w:w="2525" w:type="pct"/>
                  <w:shd w:val="clear" w:color="auto" w:fill="auto"/>
                  <w:noWrap w:val="0"/>
                  <w:vAlign w:val="center"/>
                </w:tcPr>
                <w:p w14:paraId="1D95D82F">
                  <w:pPr>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60000个（约</w:t>
                  </w:r>
                  <w:r>
                    <w:rPr>
                      <w:rFonts w:hint="eastAsia" w:ascii="Times New Roman" w:hAnsi="Times New Roman" w:eastAsia="宋体" w:cs="Times New Roman"/>
                      <w:color w:val="auto"/>
                      <w:sz w:val="21"/>
                      <w:szCs w:val="21"/>
                      <w:highlight w:val="none"/>
                      <w:lang w:val="en-US" w:eastAsia="zh-CN"/>
                    </w:rPr>
                    <w:t>5</w:t>
                  </w:r>
                  <w:r>
                    <w:rPr>
                      <w:rFonts w:hint="eastAsia" w:cs="Times New Roman"/>
                      <w:color w:val="auto"/>
                      <w:sz w:val="21"/>
                      <w:szCs w:val="21"/>
                      <w:highlight w:val="none"/>
                      <w:lang w:val="en-US" w:eastAsia="zh-CN"/>
                    </w:rPr>
                    <w:t>00</w:t>
                  </w:r>
                  <w:r>
                    <w:rPr>
                      <w:rFonts w:hint="eastAsia" w:ascii="Times New Roman" w:hAnsi="Times New Roman" w:eastAsia="宋体" w:cs="Times New Roman"/>
                      <w:color w:val="auto"/>
                      <w:sz w:val="21"/>
                      <w:szCs w:val="21"/>
                      <w:highlight w:val="none"/>
                      <w:lang w:val="en-US" w:eastAsia="zh-CN"/>
                    </w:rPr>
                    <w:t>吨</w:t>
                  </w:r>
                  <w:r>
                    <w:rPr>
                      <w:rFonts w:hint="eastAsia" w:cs="Times New Roman"/>
                      <w:color w:val="auto"/>
                      <w:sz w:val="21"/>
                      <w:szCs w:val="21"/>
                      <w:highlight w:val="none"/>
                      <w:lang w:val="en-US" w:eastAsia="zh-CN"/>
                    </w:rPr>
                    <w:t>）</w:t>
                  </w:r>
                </w:p>
              </w:tc>
            </w:tr>
            <w:tr w14:paraId="7CC2D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5" w:type="pct"/>
                  <w:shd w:val="clear" w:color="auto" w:fill="auto"/>
                  <w:noWrap w:val="0"/>
                  <w:vAlign w:val="center"/>
                </w:tcPr>
                <w:p w14:paraId="3874DB99">
                  <w:pPr>
                    <w:jc w:val="center"/>
                    <w:rPr>
                      <w:rFonts w:hint="default" w:ascii="Times New Roman" w:hAnsi="Times New Roman" w:eastAsia="宋体" w:cs="Times New Roman"/>
                      <w:b/>
                      <w:bCs/>
                      <w:color w:val="auto"/>
                      <w:sz w:val="21"/>
                      <w:szCs w:val="21"/>
                      <w:lang w:val="en-US" w:eastAsia="zh-CN" w:bidi="ar-SA"/>
                    </w:rPr>
                  </w:pPr>
                  <w:r>
                    <w:rPr>
                      <w:rFonts w:hint="default" w:ascii="Times New Roman" w:hAnsi="Times New Roman" w:eastAsia="宋体" w:cs="Times New Roman"/>
                      <w:b/>
                      <w:bCs/>
                      <w:color w:val="auto"/>
                      <w:sz w:val="21"/>
                      <w:szCs w:val="21"/>
                      <w:lang w:val="en-US" w:eastAsia="zh-CN"/>
                    </w:rPr>
                    <w:t>6</w:t>
                  </w:r>
                </w:p>
              </w:tc>
              <w:tc>
                <w:tcPr>
                  <w:tcW w:w="768" w:type="pct"/>
                  <w:shd w:val="clear" w:color="auto" w:fill="auto"/>
                  <w:noWrap w:val="0"/>
                  <w:vAlign w:val="center"/>
                </w:tcPr>
                <w:p w14:paraId="6F0F33A7">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环保设备</w:t>
                  </w:r>
                </w:p>
              </w:tc>
              <w:tc>
                <w:tcPr>
                  <w:tcW w:w="1180" w:type="pct"/>
                  <w:shd w:val="clear" w:color="auto" w:fill="auto"/>
                  <w:noWrap w:val="0"/>
                  <w:vAlign w:val="center"/>
                </w:tcPr>
                <w:p w14:paraId="710CF8D1">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非标产品无规格</w:t>
                  </w:r>
                </w:p>
              </w:tc>
              <w:tc>
                <w:tcPr>
                  <w:tcW w:w="2525" w:type="pct"/>
                  <w:shd w:val="clear" w:color="auto" w:fill="auto"/>
                  <w:noWrap w:val="0"/>
                  <w:vAlign w:val="center"/>
                </w:tcPr>
                <w:p w14:paraId="172C319C">
                  <w:pPr>
                    <w:jc w:val="center"/>
                    <w:rPr>
                      <w:rFonts w:hint="eastAsia" w:cs="Times New Roman"/>
                      <w:color w:val="auto"/>
                      <w:sz w:val="21"/>
                      <w:szCs w:val="21"/>
                      <w:lang w:val="en-US" w:eastAsia="zh-CN"/>
                    </w:rPr>
                  </w:pPr>
                  <w:r>
                    <w:rPr>
                      <w:rFonts w:hint="eastAsia" w:cs="Times New Roman"/>
                      <w:color w:val="auto"/>
                      <w:sz w:val="21"/>
                      <w:szCs w:val="21"/>
                      <w:lang w:val="en-US" w:eastAsia="zh-CN"/>
                    </w:rPr>
                    <w:t>共30000套</w:t>
                  </w:r>
                </w:p>
              </w:tc>
            </w:tr>
          </w:tbl>
          <w:p w14:paraId="446F8A2F">
            <w:pPr>
              <w:spacing w:line="360" w:lineRule="auto"/>
              <w:ind w:firstLine="482" w:firstLineChars="200"/>
              <w:jc w:val="both"/>
              <w:rPr>
                <w:rFonts w:hint="default" w:ascii="Times New Roman" w:hAnsi="Times New Roman" w:eastAsia="宋体" w:cs="Times New Roman"/>
                <w:color w:val="auto"/>
                <w:sz w:val="24"/>
                <w:szCs w:val="24"/>
                <w:vertAlign w:val="baseline"/>
              </w:rPr>
            </w:pPr>
            <w:r>
              <w:rPr>
                <w:rFonts w:hint="eastAsia" w:cs="Times New Roman"/>
                <w:b/>
                <w:bCs/>
                <w:color w:val="auto"/>
                <w:sz w:val="24"/>
                <w:szCs w:val="22"/>
                <w:vertAlign w:val="baseline"/>
                <w:lang w:val="en-US" w:eastAsia="zh-CN"/>
              </w:rPr>
              <w:t>6</w:t>
            </w:r>
            <w:r>
              <w:rPr>
                <w:rFonts w:hint="default" w:ascii="Times New Roman" w:hAnsi="Times New Roman" w:cs="Times New Roman"/>
                <w:b/>
                <w:bCs/>
                <w:color w:val="auto"/>
                <w:sz w:val="24"/>
                <w:szCs w:val="22"/>
                <w:vertAlign w:val="baseline"/>
                <w:lang w:val="en-US" w:eastAsia="zh-CN"/>
              </w:rPr>
              <w:t>、</w:t>
            </w:r>
            <w:r>
              <w:rPr>
                <w:rFonts w:hint="default" w:ascii="Times New Roman" w:hAnsi="Times New Roman" w:eastAsia="宋体" w:cs="Times New Roman"/>
                <w:b/>
                <w:bCs/>
                <w:color w:val="auto"/>
                <w:sz w:val="24"/>
                <w:szCs w:val="24"/>
                <w:vertAlign w:val="baseline"/>
              </w:rPr>
              <w:t>主要设备</w:t>
            </w:r>
          </w:p>
          <w:p w14:paraId="6D92E289">
            <w:pPr>
              <w:spacing w:line="360" w:lineRule="auto"/>
              <w:jc w:val="center"/>
              <w:rPr>
                <w:rFonts w:hint="default" w:ascii="Times New Roman" w:hAnsi="Times New Roman" w:eastAsia="宋体" w:cs="Times New Roman"/>
                <w:b/>
                <w:bCs/>
                <w:color w:val="auto"/>
                <w:sz w:val="21"/>
                <w:szCs w:val="21"/>
                <w:vertAlign w:val="baseline"/>
                <w:lang w:val="en-US" w:eastAsia="zh-CN"/>
              </w:rPr>
            </w:pPr>
            <w:bookmarkStart w:id="6" w:name="OLE_LINK9"/>
            <w:r>
              <w:rPr>
                <w:rFonts w:hint="default" w:ascii="Times New Roman" w:hAnsi="Times New Roman" w:eastAsia="宋体" w:cs="Times New Roman"/>
                <w:b/>
                <w:bCs/>
                <w:color w:val="auto"/>
                <w:sz w:val="24"/>
                <w:szCs w:val="24"/>
                <w:vertAlign w:val="baseline"/>
              </w:rPr>
              <w:t>表</w:t>
            </w:r>
            <w:r>
              <w:rPr>
                <w:rFonts w:hint="default" w:ascii="Times New Roman" w:hAnsi="Times New Roman" w:cs="Times New Roman"/>
                <w:b/>
                <w:bCs/>
                <w:color w:val="auto"/>
                <w:sz w:val="24"/>
                <w:szCs w:val="24"/>
                <w:vertAlign w:val="baseline"/>
                <w:lang w:val="en-US" w:eastAsia="zh-CN"/>
              </w:rPr>
              <w:t>2-</w:t>
            </w:r>
            <w:r>
              <w:rPr>
                <w:rFonts w:hint="eastAsia" w:ascii="Times New Roman" w:hAnsi="Times New Roman" w:cs="Times New Roman"/>
                <w:b/>
                <w:bCs/>
                <w:color w:val="auto"/>
                <w:sz w:val="24"/>
                <w:szCs w:val="24"/>
                <w:vertAlign w:val="baseline"/>
                <w:lang w:val="en-US" w:eastAsia="zh-CN"/>
              </w:rPr>
              <w:t>5</w:t>
            </w:r>
            <w:r>
              <w:rPr>
                <w:rFonts w:hint="default" w:ascii="Times New Roman" w:hAnsi="Times New Roman" w:eastAsia="宋体" w:cs="Times New Roman"/>
                <w:b/>
                <w:bCs/>
                <w:color w:val="auto"/>
                <w:sz w:val="24"/>
                <w:szCs w:val="24"/>
                <w:vertAlign w:val="baseline"/>
                <w:lang w:val="en-US" w:eastAsia="zh-CN"/>
              </w:rPr>
              <w:t xml:space="preserve">  项目主要</w:t>
            </w:r>
            <w:r>
              <w:rPr>
                <w:rFonts w:hint="default" w:ascii="Times New Roman" w:hAnsi="Times New Roman" w:cs="Times New Roman"/>
                <w:b/>
                <w:bCs/>
                <w:color w:val="auto"/>
                <w:sz w:val="24"/>
                <w:szCs w:val="24"/>
                <w:vertAlign w:val="baseline"/>
                <w:lang w:val="en-US" w:eastAsia="zh-CN"/>
              </w:rPr>
              <w:t>生产设施</w:t>
            </w:r>
            <w:r>
              <w:rPr>
                <w:rFonts w:hint="default" w:ascii="Times New Roman" w:hAnsi="Times New Roman" w:eastAsia="宋体" w:cs="Times New Roman"/>
                <w:b/>
                <w:bCs/>
                <w:color w:val="auto"/>
                <w:sz w:val="24"/>
                <w:szCs w:val="24"/>
                <w:vertAlign w:val="baseline"/>
                <w:lang w:val="en-US" w:eastAsia="zh-CN"/>
              </w:rPr>
              <w:t>一览表</w:t>
            </w:r>
          </w:p>
          <w:bookmarkEnd w:id="6"/>
          <w:tbl>
            <w:tblPr>
              <w:tblStyle w:val="2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2"/>
              <w:gridCol w:w="2084"/>
              <w:gridCol w:w="1824"/>
              <w:gridCol w:w="1194"/>
              <w:gridCol w:w="1263"/>
              <w:gridCol w:w="1264"/>
            </w:tblGrid>
            <w:tr w14:paraId="48CF5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5" w:type="pct"/>
                  <w:tcBorders>
                    <w:tl2br w:val="nil"/>
                    <w:tr2bl w:val="nil"/>
                  </w:tcBorders>
                  <w:noWrap w:val="0"/>
                  <w:vAlign w:val="center"/>
                </w:tcPr>
                <w:p w14:paraId="7E37AC66">
                  <w:pPr>
                    <w:jc w:val="center"/>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序号</w:t>
                  </w:r>
                </w:p>
              </w:tc>
              <w:tc>
                <w:tcPr>
                  <w:tcW w:w="1211" w:type="pct"/>
                  <w:tcBorders>
                    <w:tl2br w:val="nil"/>
                    <w:tr2bl w:val="nil"/>
                  </w:tcBorders>
                  <w:noWrap w:val="0"/>
                  <w:vAlign w:val="center"/>
                </w:tcPr>
                <w:p w14:paraId="3CD46D63">
                  <w:pPr>
                    <w:jc w:val="center"/>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设备名称</w:t>
                  </w:r>
                </w:p>
              </w:tc>
              <w:tc>
                <w:tcPr>
                  <w:tcW w:w="1060" w:type="pct"/>
                  <w:tcBorders>
                    <w:tl2br w:val="nil"/>
                    <w:tr2bl w:val="nil"/>
                  </w:tcBorders>
                  <w:noWrap w:val="0"/>
                  <w:vAlign w:val="center"/>
                </w:tcPr>
                <w:p w14:paraId="01DDDBFB">
                  <w:pPr>
                    <w:jc w:val="center"/>
                    <w:rPr>
                      <w:rFonts w:hint="eastAsia" w:ascii="Times New Roman" w:hAnsi="Times New Roman" w:eastAsia="宋体" w:cs="Times New Roman"/>
                      <w:b/>
                      <w:bCs/>
                      <w:kern w:val="0"/>
                      <w:sz w:val="21"/>
                      <w:szCs w:val="21"/>
                      <w:lang w:val="en-US" w:eastAsia="zh-CN"/>
                    </w:rPr>
                  </w:pPr>
                  <w:r>
                    <w:rPr>
                      <w:rFonts w:hint="default" w:ascii="Times New Roman" w:hAnsi="Times New Roman" w:eastAsia="宋体" w:cs="Times New Roman"/>
                      <w:b/>
                      <w:bCs/>
                      <w:kern w:val="0"/>
                      <w:sz w:val="21"/>
                      <w:szCs w:val="21"/>
                    </w:rPr>
                    <w:t>规格型号</w:t>
                  </w:r>
                </w:p>
              </w:tc>
              <w:tc>
                <w:tcPr>
                  <w:tcW w:w="694" w:type="pct"/>
                  <w:tcBorders>
                    <w:tl2br w:val="nil"/>
                    <w:tr2bl w:val="nil"/>
                  </w:tcBorders>
                  <w:noWrap w:val="0"/>
                  <w:vAlign w:val="center"/>
                </w:tcPr>
                <w:p w14:paraId="186B0E6E">
                  <w:pPr>
                    <w:jc w:val="center"/>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单位</w:t>
                  </w:r>
                </w:p>
              </w:tc>
              <w:tc>
                <w:tcPr>
                  <w:tcW w:w="734" w:type="pct"/>
                  <w:tcBorders>
                    <w:tl2br w:val="nil"/>
                    <w:tr2bl w:val="nil"/>
                  </w:tcBorders>
                  <w:noWrap w:val="0"/>
                  <w:vAlign w:val="center"/>
                </w:tcPr>
                <w:p w14:paraId="2E5F1EC1">
                  <w:pPr>
                    <w:widowControl/>
                    <w:jc w:val="center"/>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数量</w:t>
                  </w:r>
                </w:p>
              </w:tc>
              <w:tc>
                <w:tcPr>
                  <w:tcW w:w="734" w:type="pct"/>
                  <w:tcBorders>
                    <w:tl2br w:val="nil"/>
                    <w:tr2bl w:val="nil"/>
                  </w:tcBorders>
                  <w:noWrap w:val="0"/>
                  <w:vAlign w:val="center"/>
                </w:tcPr>
                <w:p w14:paraId="06876835">
                  <w:pPr>
                    <w:widowControl/>
                    <w:jc w:val="center"/>
                    <w:rPr>
                      <w:rFonts w:hint="default" w:ascii="Times New Roman" w:hAnsi="Times New Roman" w:eastAsia="宋体" w:cs="Times New Roman"/>
                      <w:b/>
                      <w:bCs/>
                      <w:kern w:val="0"/>
                      <w:sz w:val="21"/>
                      <w:szCs w:val="21"/>
                      <w:lang w:val="en-US" w:eastAsia="zh-CN"/>
                    </w:rPr>
                  </w:pPr>
                  <w:r>
                    <w:rPr>
                      <w:rFonts w:hint="eastAsia" w:cs="Times New Roman"/>
                      <w:b/>
                      <w:bCs/>
                      <w:kern w:val="0"/>
                      <w:sz w:val="21"/>
                      <w:szCs w:val="21"/>
                      <w:lang w:val="en-US" w:eastAsia="zh-CN"/>
                    </w:rPr>
                    <w:t>所在位置</w:t>
                  </w:r>
                </w:p>
              </w:tc>
            </w:tr>
            <w:tr w14:paraId="2E88E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5" w:type="pct"/>
                  <w:tcBorders>
                    <w:tl2br w:val="nil"/>
                    <w:tr2bl w:val="nil"/>
                  </w:tcBorders>
                  <w:noWrap w:val="0"/>
                  <w:vAlign w:val="center"/>
                </w:tcPr>
                <w:p w14:paraId="4B6D7647">
                  <w:pPr>
                    <w:widowControl/>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w:t>
                  </w:r>
                </w:p>
              </w:tc>
              <w:tc>
                <w:tcPr>
                  <w:tcW w:w="1211" w:type="pct"/>
                  <w:tcBorders>
                    <w:tl2br w:val="nil"/>
                    <w:tr2bl w:val="nil"/>
                  </w:tcBorders>
                  <w:noWrap w:val="0"/>
                  <w:vAlign w:val="center"/>
                </w:tcPr>
                <w:p w14:paraId="60621A18">
                  <w:pPr>
                    <w:widowControl/>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缠绕机</w:t>
                  </w:r>
                </w:p>
              </w:tc>
              <w:tc>
                <w:tcPr>
                  <w:tcW w:w="1060" w:type="pct"/>
                  <w:tcBorders>
                    <w:tl2br w:val="nil"/>
                    <w:tr2bl w:val="nil"/>
                  </w:tcBorders>
                  <w:noWrap w:val="0"/>
                  <w:vAlign w:val="center"/>
                </w:tcPr>
                <w:p w14:paraId="326942AD">
                  <w:pPr>
                    <w:widowControl/>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SJSZ-80B</w:t>
                  </w:r>
                </w:p>
              </w:tc>
              <w:tc>
                <w:tcPr>
                  <w:tcW w:w="694" w:type="pct"/>
                  <w:tcBorders>
                    <w:tl2br w:val="nil"/>
                    <w:tr2bl w:val="nil"/>
                  </w:tcBorders>
                  <w:noWrap w:val="0"/>
                  <w:vAlign w:val="center"/>
                </w:tcPr>
                <w:p w14:paraId="6515D4AF">
                  <w:pPr>
                    <w:widowControl/>
                    <w:jc w:val="center"/>
                    <w:rPr>
                      <w:rFonts w:hint="default" w:ascii="Times New Roman" w:hAnsi="Times New Roman" w:eastAsia="宋体" w:cs="Times New Roman"/>
                      <w:kern w:val="0"/>
                      <w:sz w:val="21"/>
                      <w:szCs w:val="21"/>
                      <w:lang w:eastAsia="zh-CN"/>
                    </w:rPr>
                  </w:pPr>
                  <w:r>
                    <w:rPr>
                      <w:rFonts w:hint="eastAsia" w:cs="Times New Roman"/>
                      <w:kern w:val="0"/>
                      <w:sz w:val="21"/>
                      <w:szCs w:val="21"/>
                      <w:lang w:val="en-US" w:eastAsia="zh-CN"/>
                    </w:rPr>
                    <w:t>台</w:t>
                  </w:r>
                </w:p>
              </w:tc>
              <w:tc>
                <w:tcPr>
                  <w:tcW w:w="734" w:type="pct"/>
                  <w:tcBorders>
                    <w:tl2br w:val="nil"/>
                    <w:tr2bl w:val="nil"/>
                  </w:tcBorders>
                  <w:noWrap w:val="0"/>
                  <w:vAlign w:val="center"/>
                </w:tcPr>
                <w:p w14:paraId="49075C4F">
                  <w:pPr>
                    <w:widowControl/>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2</w:t>
                  </w:r>
                </w:p>
              </w:tc>
              <w:tc>
                <w:tcPr>
                  <w:tcW w:w="734" w:type="pct"/>
                  <w:tcBorders>
                    <w:tl2br w:val="nil"/>
                    <w:tr2bl w:val="nil"/>
                  </w:tcBorders>
                  <w:noWrap w:val="0"/>
                  <w:vAlign w:val="center"/>
                </w:tcPr>
                <w:p w14:paraId="2B5D36BC">
                  <w:pPr>
                    <w:widowControl/>
                    <w:jc w:val="center"/>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2#厂房</w:t>
                  </w:r>
                </w:p>
              </w:tc>
            </w:tr>
            <w:tr w14:paraId="498FF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5" w:type="pct"/>
                  <w:tcBorders>
                    <w:tl2br w:val="nil"/>
                    <w:tr2bl w:val="nil"/>
                  </w:tcBorders>
                  <w:shd w:val="clear" w:color="auto" w:fill="auto"/>
                  <w:noWrap w:val="0"/>
                  <w:vAlign w:val="center"/>
                </w:tcPr>
                <w:p w14:paraId="2A3F14C4">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2</w:t>
                  </w:r>
                </w:p>
              </w:tc>
              <w:tc>
                <w:tcPr>
                  <w:tcW w:w="1211" w:type="pct"/>
                  <w:tcBorders>
                    <w:tl2br w:val="nil"/>
                    <w:tr2bl w:val="nil"/>
                  </w:tcBorders>
                  <w:noWrap w:val="0"/>
                  <w:vAlign w:val="center"/>
                </w:tcPr>
                <w:p w14:paraId="2CCF16F5">
                  <w:pPr>
                    <w:widowControl/>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挤出机</w:t>
                  </w:r>
                </w:p>
              </w:tc>
              <w:tc>
                <w:tcPr>
                  <w:tcW w:w="1060" w:type="pct"/>
                  <w:tcBorders>
                    <w:tl2br w:val="nil"/>
                    <w:tr2bl w:val="nil"/>
                  </w:tcBorders>
                  <w:noWrap w:val="0"/>
                  <w:vAlign w:val="center"/>
                </w:tcPr>
                <w:p w14:paraId="07F57B60">
                  <w:pPr>
                    <w:widowControl/>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SJ65/33、SJ45/33</w:t>
                  </w:r>
                </w:p>
              </w:tc>
              <w:tc>
                <w:tcPr>
                  <w:tcW w:w="694" w:type="pct"/>
                  <w:tcBorders>
                    <w:tl2br w:val="nil"/>
                    <w:tr2bl w:val="nil"/>
                  </w:tcBorders>
                  <w:noWrap w:val="0"/>
                  <w:vAlign w:val="center"/>
                </w:tcPr>
                <w:p w14:paraId="1F11CB48">
                  <w:pPr>
                    <w:widowControl/>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台</w:t>
                  </w:r>
                </w:p>
              </w:tc>
              <w:tc>
                <w:tcPr>
                  <w:tcW w:w="734" w:type="pct"/>
                  <w:tcBorders>
                    <w:tl2br w:val="nil"/>
                    <w:tr2bl w:val="nil"/>
                  </w:tcBorders>
                  <w:noWrap w:val="0"/>
                  <w:vAlign w:val="center"/>
                </w:tcPr>
                <w:p w14:paraId="7C31676B">
                  <w:pPr>
                    <w:widowControl/>
                    <w:jc w:val="center"/>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6</w:t>
                  </w:r>
                </w:p>
              </w:tc>
              <w:tc>
                <w:tcPr>
                  <w:tcW w:w="734" w:type="pct"/>
                  <w:tcBorders>
                    <w:tl2br w:val="nil"/>
                    <w:tr2bl w:val="nil"/>
                  </w:tcBorders>
                  <w:noWrap w:val="0"/>
                  <w:vAlign w:val="center"/>
                </w:tcPr>
                <w:p w14:paraId="7BD0D040">
                  <w:pPr>
                    <w:widowControl/>
                    <w:jc w:val="center"/>
                    <w:rPr>
                      <w:rFonts w:hint="eastAsia" w:cs="Times New Roman"/>
                      <w:kern w:val="0"/>
                      <w:sz w:val="21"/>
                      <w:szCs w:val="21"/>
                      <w:lang w:val="en-US" w:eastAsia="zh-CN"/>
                    </w:rPr>
                  </w:pPr>
                  <w:r>
                    <w:rPr>
                      <w:rFonts w:hint="eastAsia" w:cs="Times New Roman"/>
                      <w:kern w:val="0"/>
                      <w:sz w:val="21"/>
                      <w:szCs w:val="21"/>
                      <w:lang w:val="en-US" w:eastAsia="zh-CN"/>
                    </w:rPr>
                    <w:t>2#厂房</w:t>
                  </w:r>
                </w:p>
              </w:tc>
            </w:tr>
            <w:tr w14:paraId="597E2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5" w:type="pct"/>
                  <w:tcBorders>
                    <w:tl2br w:val="nil"/>
                    <w:tr2bl w:val="nil"/>
                  </w:tcBorders>
                  <w:shd w:val="clear" w:color="auto" w:fill="auto"/>
                  <w:noWrap w:val="0"/>
                  <w:vAlign w:val="center"/>
                </w:tcPr>
                <w:p w14:paraId="227BDBC8">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3</w:t>
                  </w:r>
                </w:p>
              </w:tc>
              <w:tc>
                <w:tcPr>
                  <w:tcW w:w="1211" w:type="pct"/>
                  <w:tcBorders>
                    <w:tl2br w:val="nil"/>
                    <w:tr2bl w:val="nil"/>
                  </w:tcBorders>
                  <w:shd w:val="clear" w:color="auto" w:fill="auto"/>
                  <w:noWrap w:val="0"/>
                  <w:vAlign w:val="center"/>
                </w:tcPr>
                <w:p w14:paraId="2571FC83">
                  <w:pPr>
                    <w:widowControl/>
                    <w:jc w:val="center"/>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eastAsia="zh-CN"/>
                    </w:rPr>
                    <w:t>注塑机</w:t>
                  </w:r>
                </w:p>
              </w:tc>
              <w:tc>
                <w:tcPr>
                  <w:tcW w:w="1060" w:type="pct"/>
                  <w:tcBorders>
                    <w:tl2br w:val="nil"/>
                    <w:tr2bl w:val="nil"/>
                  </w:tcBorders>
                  <w:shd w:val="clear" w:color="auto" w:fill="auto"/>
                  <w:noWrap w:val="0"/>
                  <w:vAlign w:val="center"/>
                </w:tcPr>
                <w:p w14:paraId="7D95E71B">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w:t>
                  </w:r>
                </w:p>
              </w:tc>
              <w:tc>
                <w:tcPr>
                  <w:tcW w:w="694" w:type="pct"/>
                  <w:tcBorders>
                    <w:tl2br w:val="nil"/>
                    <w:tr2bl w:val="nil"/>
                  </w:tcBorders>
                  <w:shd w:val="clear" w:color="auto" w:fill="auto"/>
                  <w:noWrap w:val="0"/>
                  <w:vAlign w:val="center"/>
                </w:tcPr>
                <w:p w14:paraId="1FBCCC96">
                  <w:pPr>
                    <w:widowControl/>
                    <w:jc w:val="center"/>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eastAsia="zh-CN"/>
                    </w:rPr>
                    <w:t>台</w:t>
                  </w:r>
                </w:p>
              </w:tc>
              <w:tc>
                <w:tcPr>
                  <w:tcW w:w="734" w:type="pct"/>
                  <w:tcBorders>
                    <w:tl2br w:val="nil"/>
                    <w:tr2bl w:val="nil"/>
                  </w:tcBorders>
                  <w:shd w:val="clear" w:color="auto" w:fill="auto"/>
                  <w:noWrap w:val="0"/>
                  <w:vAlign w:val="center"/>
                </w:tcPr>
                <w:p w14:paraId="00AC3F7C">
                  <w:pPr>
                    <w:widowControl/>
                    <w:jc w:val="center"/>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5</w:t>
                  </w:r>
                </w:p>
              </w:tc>
              <w:tc>
                <w:tcPr>
                  <w:tcW w:w="734" w:type="pct"/>
                  <w:tcBorders>
                    <w:tl2br w:val="nil"/>
                    <w:tr2bl w:val="nil"/>
                  </w:tcBorders>
                  <w:noWrap w:val="0"/>
                  <w:vAlign w:val="center"/>
                </w:tcPr>
                <w:p w14:paraId="4074F022">
                  <w:pPr>
                    <w:widowControl/>
                    <w:jc w:val="center"/>
                    <w:rPr>
                      <w:rFonts w:hint="eastAsia" w:cs="Times New Roman"/>
                      <w:kern w:val="0"/>
                      <w:sz w:val="21"/>
                      <w:szCs w:val="21"/>
                      <w:lang w:val="en-US" w:eastAsia="zh-CN"/>
                    </w:rPr>
                  </w:pPr>
                  <w:r>
                    <w:rPr>
                      <w:rFonts w:hint="eastAsia" w:cs="Times New Roman"/>
                      <w:kern w:val="0"/>
                      <w:sz w:val="21"/>
                      <w:szCs w:val="21"/>
                      <w:lang w:val="en-US" w:eastAsia="zh-CN"/>
                    </w:rPr>
                    <w:t>1#厂房</w:t>
                  </w:r>
                </w:p>
              </w:tc>
            </w:tr>
            <w:tr w14:paraId="170F8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5" w:type="pct"/>
                  <w:tcBorders>
                    <w:tl2br w:val="nil"/>
                    <w:tr2bl w:val="nil"/>
                  </w:tcBorders>
                  <w:shd w:val="clear" w:color="auto" w:fill="auto"/>
                  <w:noWrap w:val="0"/>
                  <w:vAlign w:val="center"/>
                </w:tcPr>
                <w:p w14:paraId="428AA53A">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4</w:t>
                  </w:r>
                </w:p>
              </w:tc>
              <w:tc>
                <w:tcPr>
                  <w:tcW w:w="1211" w:type="pct"/>
                  <w:tcBorders>
                    <w:tl2br w:val="nil"/>
                    <w:tr2bl w:val="nil"/>
                  </w:tcBorders>
                  <w:noWrap w:val="0"/>
                  <w:vAlign w:val="center"/>
                </w:tcPr>
                <w:p w14:paraId="220435B0">
                  <w:pPr>
                    <w:widowControl/>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料斗式干燥机</w:t>
                  </w:r>
                </w:p>
              </w:tc>
              <w:tc>
                <w:tcPr>
                  <w:tcW w:w="1060" w:type="pct"/>
                  <w:tcBorders>
                    <w:tl2br w:val="nil"/>
                    <w:tr2bl w:val="nil"/>
                  </w:tcBorders>
                  <w:noWrap w:val="0"/>
                  <w:vAlign w:val="center"/>
                </w:tcPr>
                <w:p w14:paraId="33585879">
                  <w:pPr>
                    <w:widowControl/>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c>
                <w:tcPr>
                  <w:tcW w:w="694" w:type="pct"/>
                  <w:tcBorders>
                    <w:tl2br w:val="nil"/>
                    <w:tr2bl w:val="nil"/>
                  </w:tcBorders>
                  <w:noWrap w:val="0"/>
                  <w:vAlign w:val="center"/>
                </w:tcPr>
                <w:p w14:paraId="733EEBF8">
                  <w:pPr>
                    <w:widowControl/>
                    <w:jc w:val="center"/>
                    <w:rPr>
                      <w:rFonts w:hint="eastAsia"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eastAsia="zh-CN"/>
                    </w:rPr>
                    <w:t>台</w:t>
                  </w:r>
                </w:p>
              </w:tc>
              <w:tc>
                <w:tcPr>
                  <w:tcW w:w="734" w:type="pct"/>
                  <w:tcBorders>
                    <w:tl2br w:val="nil"/>
                    <w:tr2bl w:val="nil"/>
                  </w:tcBorders>
                  <w:shd w:val="clear" w:color="auto" w:fill="auto"/>
                  <w:noWrap w:val="0"/>
                  <w:vAlign w:val="center"/>
                </w:tcPr>
                <w:p w14:paraId="0B13AA9D">
                  <w:pPr>
                    <w:widowControl/>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5</w:t>
                  </w:r>
                </w:p>
              </w:tc>
              <w:tc>
                <w:tcPr>
                  <w:tcW w:w="734" w:type="pct"/>
                  <w:tcBorders>
                    <w:tl2br w:val="nil"/>
                    <w:tr2bl w:val="nil"/>
                  </w:tcBorders>
                  <w:noWrap w:val="0"/>
                  <w:vAlign w:val="center"/>
                </w:tcPr>
                <w:p w14:paraId="2D00C160">
                  <w:pPr>
                    <w:widowControl/>
                    <w:jc w:val="center"/>
                    <w:rPr>
                      <w:rFonts w:hint="eastAsia" w:cs="Times New Roman"/>
                      <w:kern w:val="0"/>
                      <w:sz w:val="21"/>
                      <w:szCs w:val="21"/>
                      <w:lang w:val="en-US" w:eastAsia="zh-CN"/>
                    </w:rPr>
                  </w:pPr>
                  <w:r>
                    <w:rPr>
                      <w:rFonts w:hint="eastAsia" w:cs="Times New Roman"/>
                      <w:kern w:val="0"/>
                      <w:sz w:val="21"/>
                      <w:szCs w:val="21"/>
                      <w:lang w:val="en-US" w:eastAsia="zh-CN"/>
                    </w:rPr>
                    <w:t>2#厂房</w:t>
                  </w:r>
                </w:p>
              </w:tc>
            </w:tr>
            <w:tr w14:paraId="1F01E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5" w:type="pct"/>
                  <w:tcBorders>
                    <w:tl2br w:val="nil"/>
                    <w:tr2bl w:val="nil"/>
                  </w:tcBorders>
                  <w:shd w:val="clear" w:color="auto" w:fill="auto"/>
                  <w:noWrap w:val="0"/>
                  <w:vAlign w:val="center"/>
                </w:tcPr>
                <w:p w14:paraId="77D695D6">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5</w:t>
                  </w:r>
                </w:p>
              </w:tc>
              <w:tc>
                <w:tcPr>
                  <w:tcW w:w="1211" w:type="pct"/>
                  <w:tcBorders>
                    <w:tl2br w:val="nil"/>
                    <w:tr2bl w:val="nil"/>
                  </w:tcBorders>
                  <w:noWrap w:val="0"/>
                  <w:vAlign w:val="center"/>
                </w:tcPr>
                <w:p w14:paraId="02A4E4F4">
                  <w:pPr>
                    <w:widowControl/>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PP挤出模具</w:t>
                  </w:r>
                </w:p>
              </w:tc>
              <w:tc>
                <w:tcPr>
                  <w:tcW w:w="1060" w:type="pct"/>
                  <w:tcBorders>
                    <w:tl2br w:val="nil"/>
                    <w:tr2bl w:val="nil"/>
                  </w:tcBorders>
                  <w:noWrap w:val="0"/>
                  <w:vAlign w:val="center"/>
                </w:tcPr>
                <w:p w14:paraId="46C214CD">
                  <w:pPr>
                    <w:widowControl/>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φ20-φ60、φ110-φ315</w:t>
                  </w:r>
                </w:p>
              </w:tc>
              <w:tc>
                <w:tcPr>
                  <w:tcW w:w="694" w:type="pct"/>
                  <w:tcBorders>
                    <w:tl2br w:val="nil"/>
                    <w:tr2bl w:val="nil"/>
                  </w:tcBorders>
                  <w:noWrap w:val="0"/>
                  <w:vAlign w:val="center"/>
                </w:tcPr>
                <w:p w14:paraId="41C7D158">
                  <w:pPr>
                    <w:widowControl/>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套</w:t>
                  </w:r>
                </w:p>
              </w:tc>
              <w:tc>
                <w:tcPr>
                  <w:tcW w:w="734" w:type="pct"/>
                  <w:tcBorders>
                    <w:tl2br w:val="nil"/>
                    <w:tr2bl w:val="nil"/>
                  </w:tcBorders>
                  <w:shd w:val="clear" w:color="auto" w:fill="auto"/>
                  <w:noWrap w:val="0"/>
                  <w:vAlign w:val="center"/>
                </w:tcPr>
                <w:p w14:paraId="3A627A12">
                  <w:pPr>
                    <w:widowControl/>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2</w:t>
                  </w:r>
                </w:p>
              </w:tc>
              <w:tc>
                <w:tcPr>
                  <w:tcW w:w="734" w:type="pct"/>
                  <w:tcBorders>
                    <w:tl2br w:val="nil"/>
                    <w:tr2bl w:val="nil"/>
                  </w:tcBorders>
                  <w:shd w:val="clear" w:color="auto" w:fill="auto"/>
                  <w:noWrap w:val="0"/>
                  <w:vAlign w:val="center"/>
                </w:tcPr>
                <w:p w14:paraId="7747B2EE">
                  <w:pPr>
                    <w:widowControl/>
                    <w:jc w:val="center"/>
                    <w:rPr>
                      <w:rFonts w:hint="eastAsia"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rPr>
                    <w:t>2#厂房</w:t>
                  </w:r>
                </w:p>
              </w:tc>
            </w:tr>
            <w:tr w14:paraId="74F21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5" w:type="pct"/>
                  <w:tcBorders>
                    <w:tl2br w:val="nil"/>
                    <w:tr2bl w:val="nil"/>
                  </w:tcBorders>
                  <w:shd w:val="clear" w:color="auto" w:fill="auto"/>
                  <w:noWrap w:val="0"/>
                  <w:vAlign w:val="center"/>
                </w:tcPr>
                <w:p w14:paraId="1E76652E">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6</w:t>
                  </w:r>
                </w:p>
              </w:tc>
              <w:tc>
                <w:tcPr>
                  <w:tcW w:w="1211" w:type="pct"/>
                  <w:tcBorders>
                    <w:tl2br w:val="nil"/>
                    <w:tr2bl w:val="nil"/>
                  </w:tcBorders>
                  <w:noWrap w:val="0"/>
                  <w:vAlign w:val="center"/>
                </w:tcPr>
                <w:p w14:paraId="1D3657A7">
                  <w:pPr>
                    <w:widowControl/>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衣架式挤出模具</w:t>
                  </w:r>
                </w:p>
              </w:tc>
              <w:tc>
                <w:tcPr>
                  <w:tcW w:w="1060" w:type="pct"/>
                  <w:tcBorders>
                    <w:tl2br w:val="nil"/>
                    <w:tr2bl w:val="nil"/>
                  </w:tcBorders>
                  <w:noWrap w:val="0"/>
                  <w:vAlign w:val="center"/>
                </w:tcPr>
                <w:p w14:paraId="4CA781E7">
                  <w:pPr>
                    <w:widowControl/>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YJM-150</w:t>
                  </w:r>
                </w:p>
              </w:tc>
              <w:tc>
                <w:tcPr>
                  <w:tcW w:w="694" w:type="pct"/>
                  <w:tcBorders>
                    <w:tl2br w:val="nil"/>
                    <w:tr2bl w:val="nil"/>
                  </w:tcBorders>
                  <w:noWrap w:val="0"/>
                  <w:vAlign w:val="center"/>
                </w:tcPr>
                <w:p w14:paraId="3698E7CF">
                  <w:pPr>
                    <w:widowControl/>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套</w:t>
                  </w:r>
                </w:p>
              </w:tc>
              <w:tc>
                <w:tcPr>
                  <w:tcW w:w="734" w:type="pct"/>
                  <w:tcBorders>
                    <w:tl2br w:val="nil"/>
                    <w:tr2bl w:val="nil"/>
                  </w:tcBorders>
                  <w:shd w:val="clear" w:color="auto" w:fill="auto"/>
                  <w:noWrap w:val="0"/>
                  <w:vAlign w:val="center"/>
                </w:tcPr>
                <w:p w14:paraId="37EE8E15">
                  <w:pPr>
                    <w:widowControl/>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w:t>
                  </w:r>
                </w:p>
              </w:tc>
              <w:tc>
                <w:tcPr>
                  <w:tcW w:w="734" w:type="pct"/>
                  <w:tcBorders>
                    <w:tl2br w:val="nil"/>
                    <w:tr2bl w:val="nil"/>
                  </w:tcBorders>
                  <w:shd w:val="clear" w:color="auto" w:fill="auto"/>
                  <w:noWrap w:val="0"/>
                  <w:vAlign w:val="center"/>
                </w:tcPr>
                <w:p w14:paraId="2724D3E0">
                  <w:pPr>
                    <w:widowControl/>
                    <w:jc w:val="center"/>
                    <w:rPr>
                      <w:rFonts w:hint="eastAsia"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rPr>
                    <w:t>2#厂房</w:t>
                  </w:r>
                </w:p>
              </w:tc>
            </w:tr>
            <w:tr w14:paraId="41227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5" w:type="pct"/>
                  <w:tcBorders>
                    <w:tl2br w:val="nil"/>
                    <w:tr2bl w:val="nil"/>
                  </w:tcBorders>
                  <w:shd w:val="clear" w:color="auto" w:fill="auto"/>
                  <w:noWrap w:val="0"/>
                  <w:vAlign w:val="center"/>
                </w:tcPr>
                <w:p w14:paraId="30CBB1B7">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7</w:t>
                  </w:r>
                </w:p>
              </w:tc>
              <w:tc>
                <w:tcPr>
                  <w:tcW w:w="1211" w:type="pct"/>
                  <w:tcBorders>
                    <w:tl2br w:val="nil"/>
                    <w:tr2bl w:val="nil"/>
                  </w:tcBorders>
                  <w:noWrap w:val="0"/>
                  <w:vAlign w:val="center"/>
                </w:tcPr>
                <w:p w14:paraId="2DB451B5">
                  <w:pPr>
                    <w:widowControl/>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真空箱</w:t>
                  </w:r>
                </w:p>
              </w:tc>
              <w:tc>
                <w:tcPr>
                  <w:tcW w:w="1060" w:type="pct"/>
                  <w:tcBorders>
                    <w:tl2br w:val="nil"/>
                    <w:tr2bl w:val="nil"/>
                  </w:tcBorders>
                  <w:noWrap w:val="0"/>
                  <w:vAlign w:val="center"/>
                </w:tcPr>
                <w:p w14:paraId="3566BDF0">
                  <w:pPr>
                    <w:widowControl/>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SJGFD60、SGD315</w:t>
                  </w:r>
                </w:p>
              </w:tc>
              <w:tc>
                <w:tcPr>
                  <w:tcW w:w="694" w:type="pct"/>
                  <w:tcBorders>
                    <w:tl2br w:val="nil"/>
                    <w:tr2bl w:val="nil"/>
                  </w:tcBorders>
                  <w:noWrap w:val="0"/>
                  <w:vAlign w:val="center"/>
                </w:tcPr>
                <w:p w14:paraId="7D34022E">
                  <w:pPr>
                    <w:widowControl/>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个</w:t>
                  </w:r>
                </w:p>
              </w:tc>
              <w:tc>
                <w:tcPr>
                  <w:tcW w:w="734" w:type="pct"/>
                  <w:tcBorders>
                    <w:tl2br w:val="nil"/>
                    <w:tr2bl w:val="nil"/>
                  </w:tcBorders>
                  <w:shd w:val="clear" w:color="auto" w:fill="auto"/>
                  <w:noWrap w:val="0"/>
                  <w:vAlign w:val="center"/>
                </w:tcPr>
                <w:p w14:paraId="2AC9E1B0">
                  <w:pPr>
                    <w:widowControl/>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2</w:t>
                  </w:r>
                </w:p>
              </w:tc>
              <w:tc>
                <w:tcPr>
                  <w:tcW w:w="734" w:type="pct"/>
                  <w:tcBorders>
                    <w:tl2br w:val="nil"/>
                    <w:tr2bl w:val="nil"/>
                  </w:tcBorders>
                  <w:shd w:val="clear" w:color="auto" w:fill="auto"/>
                  <w:noWrap w:val="0"/>
                  <w:vAlign w:val="center"/>
                </w:tcPr>
                <w:p w14:paraId="42EF7CD6">
                  <w:pPr>
                    <w:widowControl/>
                    <w:jc w:val="center"/>
                    <w:rPr>
                      <w:rFonts w:hint="eastAsia"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rPr>
                    <w:t>2#厂房</w:t>
                  </w:r>
                </w:p>
              </w:tc>
            </w:tr>
            <w:tr w14:paraId="58939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5" w:type="pct"/>
                  <w:tcBorders>
                    <w:tl2br w:val="nil"/>
                    <w:tr2bl w:val="nil"/>
                  </w:tcBorders>
                  <w:shd w:val="clear" w:color="auto" w:fill="auto"/>
                  <w:noWrap w:val="0"/>
                  <w:vAlign w:val="center"/>
                </w:tcPr>
                <w:p w14:paraId="4B7C32CD">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8</w:t>
                  </w:r>
                </w:p>
              </w:tc>
              <w:tc>
                <w:tcPr>
                  <w:tcW w:w="1211" w:type="pct"/>
                  <w:tcBorders>
                    <w:tl2br w:val="nil"/>
                    <w:tr2bl w:val="nil"/>
                  </w:tcBorders>
                  <w:noWrap w:val="0"/>
                  <w:vAlign w:val="center"/>
                </w:tcPr>
                <w:p w14:paraId="29FA2F3D">
                  <w:pPr>
                    <w:widowControl/>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冷却水箱</w:t>
                  </w:r>
                </w:p>
              </w:tc>
              <w:tc>
                <w:tcPr>
                  <w:tcW w:w="1060" w:type="pct"/>
                  <w:tcBorders>
                    <w:tl2br w:val="nil"/>
                    <w:tr2bl w:val="nil"/>
                  </w:tcBorders>
                  <w:noWrap w:val="0"/>
                  <w:vAlign w:val="center"/>
                </w:tcPr>
                <w:p w14:paraId="6374DD36">
                  <w:pPr>
                    <w:widowControl/>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c>
                <w:tcPr>
                  <w:tcW w:w="694" w:type="pct"/>
                  <w:tcBorders>
                    <w:tl2br w:val="nil"/>
                    <w:tr2bl w:val="nil"/>
                  </w:tcBorders>
                  <w:noWrap w:val="0"/>
                  <w:vAlign w:val="center"/>
                </w:tcPr>
                <w:p w14:paraId="1F966C1C">
                  <w:pPr>
                    <w:widowControl/>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个</w:t>
                  </w:r>
                </w:p>
              </w:tc>
              <w:tc>
                <w:tcPr>
                  <w:tcW w:w="734" w:type="pct"/>
                  <w:tcBorders>
                    <w:tl2br w:val="nil"/>
                    <w:tr2bl w:val="nil"/>
                  </w:tcBorders>
                  <w:shd w:val="clear" w:color="auto" w:fill="auto"/>
                  <w:noWrap w:val="0"/>
                  <w:vAlign w:val="center"/>
                </w:tcPr>
                <w:p w14:paraId="4CF09072">
                  <w:pPr>
                    <w:widowControl/>
                    <w:jc w:val="center"/>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10</w:t>
                  </w:r>
                </w:p>
              </w:tc>
              <w:tc>
                <w:tcPr>
                  <w:tcW w:w="734" w:type="pct"/>
                  <w:tcBorders>
                    <w:tl2br w:val="nil"/>
                    <w:tr2bl w:val="nil"/>
                  </w:tcBorders>
                  <w:shd w:val="clear" w:color="auto" w:fill="auto"/>
                  <w:noWrap w:val="0"/>
                  <w:vAlign w:val="center"/>
                </w:tcPr>
                <w:p w14:paraId="7CF632CC">
                  <w:pPr>
                    <w:widowControl/>
                    <w:jc w:val="center"/>
                    <w:rPr>
                      <w:rFonts w:hint="eastAsia"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rPr>
                    <w:t>1#、2#厂房</w:t>
                  </w:r>
                </w:p>
              </w:tc>
            </w:tr>
            <w:tr w14:paraId="59BDB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5" w:type="pct"/>
                  <w:tcBorders>
                    <w:tl2br w:val="nil"/>
                    <w:tr2bl w:val="nil"/>
                  </w:tcBorders>
                  <w:shd w:val="clear" w:color="auto" w:fill="auto"/>
                  <w:noWrap w:val="0"/>
                  <w:vAlign w:val="center"/>
                </w:tcPr>
                <w:p w14:paraId="10945E6F">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9</w:t>
                  </w:r>
                </w:p>
              </w:tc>
              <w:tc>
                <w:tcPr>
                  <w:tcW w:w="1211" w:type="pct"/>
                  <w:tcBorders>
                    <w:tl2br w:val="nil"/>
                    <w:tr2bl w:val="nil"/>
                  </w:tcBorders>
                  <w:noWrap w:val="0"/>
                  <w:vAlign w:val="center"/>
                </w:tcPr>
                <w:p w14:paraId="7997A7D5">
                  <w:pPr>
                    <w:widowControl/>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牵引机</w:t>
                  </w:r>
                </w:p>
              </w:tc>
              <w:tc>
                <w:tcPr>
                  <w:tcW w:w="1060" w:type="pct"/>
                  <w:tcBorders>
                    <w:tl2br w:val="nil"/>
                    <w:tr2bl w:val="nil"/>
                  </w:tcBorders>
                  <w:noWrap w:val="0"/>
                  <w:vAlign w:val="center"/>
                </w:tcPr>
                <w:p w14:paraId="7999D1FB">
                  <w:pPr>
                    <w:widowControl/>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SGFQ60</w:t>
                  </w:r>
                </w:p>
              </w:tc>
              <w:tc>
                <w:tcPr>
                  <w:tcW w:w="694" w:type="pct"/>
                  <w:tcBorders>
                    <w:tl2br w:val="nil"/>
                    <w:tr2bl w:val="nil"/>
                  </w:tcBorders>
                  <w:noWrap w:val="0"/>
                  <w:vAlign w:val="center"/>
                </w:tcPr>
                <w:p w14:paraId="04477CB4">
                  <w:pPr>
                    <w:widowControl/>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台</w:t>
                  </w:r>
                </w:p>
              </w:tc>
              <w:tc>
                <w:tcPr>
                  <w:tcW w:w="734" w:type="pct"/>
                  <w:tcBorders>
                    <w:tl2br w:val="nil"/>
                    <w:tr2bl w:val="nil"/>
                  </w:tcBorders>
                  <w:shd w:val="clear" w:color="auto" w:fill="auto"/>
                  <w:noWrap w:val="0"/>
                  <w:vAlign w:val="center"/>
                </w:tcPr>
                <w:p w14:paraId="458D4610">
                  <w:pPr>
                    <w:widowControl/>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3</w:t>
                  </w:r>
                </w:p>
              </w:tc>
              <w:tc>
                <w:tcPr>
                  <w:tcW w:w="734" w:type="pct"/>
                  <w:tcBorders>
                    <w:tl2br w:val="nil"/>
                    <w:tr2bl w:val="nil"/>
                  </w:tcBorders>
                  <w:noWrap w:val="0"/>
                  <w:vAlign w:val="center"/>
                </w:tcPr>
                <w:p w14:paraId="5B587CEE">
                  <w:pPr>
                    <w:widowControl/>
                    <w:jc w:val="center"/>
                    <w:rPr>
                      <w:rFonts w:hint="eastAsia" w:cs="Times New Roman"/>
                      <w:kern w:val="0"/>
                      <w:sz w:val="21"/>
                      <w:szCs w:val="21"/>
                      <w:lang w:val="en-US" w:eastAsia="zh-CN"/>
                    </w:rPr>
                  </w:pPr>
                  <w:r>
                    <w:rPr>
                      <w:rFonts w:hint="eastAsia" w:cs="Times New Roman"/>
                      <w:kern w:val="0"/>
                      <w:sz w:val="21"/>
                      <w:szCs w:val="21"/>
                      <w:lang w:val="en-US" w:eastAsia="zh-CN"/>
                    </w:rPr>
                    <w:t>2#厂房</w:t>
                  </w:r>
                </w:p>
              </w:tc>
            </w:tr>
            <w:tr w14:paraId="33740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5" w:type="pct"/>
                  <w:tcBorders>
                    <w:tl2br w:val="nil"/>
                    <w:tr2bl w:val="nil"/>
                  </w:tcBorders>
                  <w:shd w:val="clear" w:color="auto" w:fill="auto"/>
                  <w:noWrap w:val="0"/>
                  <w:vAlign w:val="center"/>
                </w:tcPr>
                <w:p w14:paraId="1B7C6939">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10</w:t>
                  </w:r>
                </w:p>
              </w:tc>
              <w:tc>
                <w:tcPr>
                  <w:tcW w:w="1211" w:type="pct"/>
                  <w:tcBorders>
                    <w:tl2br w:val="nil"/>
                    <w:tr2bl w:val="nil"/>
                  </w:tcBorders>
                  <w:noWrap w:val="0"/>
                  <w:vAlign w:val="center"/>
                </w:tcPr>
                <w:p w14:paraId="215D3E31">
                  <w:pPr>
                    <w:widowControl/>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切割机</w:t>
                  </w:r>
                </w:p>
              </w:tc>
              <w:tc>
                <w:tcPr>
                  <w:tcW w:w="1060" w:type="pct"/>
                  <w:tcBorders>
                    <w:tl2br w:val="nil"/>
                    <w:tr2bl w:val="nil"/>
                  </w:tcBorders>
                  <w:noWrap w:val="0"/>
                  <w:vAlign w:val="center"/>
                </w:tcPr>
                <w:p w14:paraId="07C03CDD">
                  <w:pPr>
                    <w:widowControl/>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c>
                <w:tcPr>
                  <w:tcW w:w="694" w:type="pct"/>
                  <w:tcBorders>
                    <w:tl2br w:val="nil"/>
                    <w:tr2bl w:val="nil"/>
                  </w:tcBorders>
                  <w:noWrap w:val="0"/>
                  <w:vAlign w:val="center"/>
                </w:tcPr>
                <w:p w14:paraId="4A278F99">
                  <w:pPr>
                    <w:widowControl/>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台</w:t>
                  </w:r>
                </w:p>
              </w:tc>
              <w:tc>
                <w:tcPr>
                  <w:tcW w:w="734" w:type="pct"/>
                  <w:tcBorders>
                    <w:tl2br w:val="nil"/>
                    <w:tr2bl w:val="nil"/>
                  </w:tcBorders>
                  <w:shd w:val="clear" w:color="auto" w:fill="auto"/>
                  <w:noWrap w:val="0"/>
                  <w:vAlign w:val="center"/>
                </w:tcPr>
                <w:p w14:paraId="68A8D01D">
                  <w:pPr>
                    <w:widowControl/>
                    <w:jc w:val="center"/>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1</w:t>
                  </w:r>
                  <w:r>
                    <w:rPr>
                      <w:rFonts w:hint="eastAsia" w:ascii="Times New Roman" w:hAnsi="Times New Roman" w:eastAsia="宋体" w:cs="Times New Roman"/>
                      <w:kern w:val="0"/>
                      <w:sz w:val="21"/>
                      <w:szCs w:val="21"/>
                      <w:lang w:val="en-US" w:eastAsia="zh-CN"/>
                    </w:rPr>
                    <w:t>3</w:t>
                  </w:r>
                </w:p>
              </w:tc>
              <w:tc>
                <w:tcPr>
                  <w:tcW w:w="734" w:type="pct"/>
                  <w:tcBorders>
                    <w:tl2br w:val="nil"/>
                    <w:tr2bl w:val="nil"/>
                  </w:tcBorders>
                  <w:noWrap w:val="0"/>
                  <w:vAlign w:val="center"/>
                </w:tcPr>
                <w:p w14:paraId="17EE52F4">
                  <w:pPr>
                    <w:widowControl/>
                    <w:jc w:val="center"/>
                    <w:rPr>
                      <w:rFonts w:hint="eastAsia" w:cs="Times New Roman"/>
                      <w:kern w:val="0"/>
                      <w:sz w:val="21"/>
                      <w:szCs w:val="21"/>
                      <w:lang w:val="en-US" w:eastAsia="zh-CN"/>
                    </w:rPr>
                  </w:pPr>
                  <w:r>
                    <w:rPr>
                      <w:rFonts w:hint="eastAsia" w:cs="Times New Roman"/>
                      <w:kern w:val="0"/>
                      <w:sz w:val="21"/>
                      <w:szCs w:val="21"/>
                      <w:lang w:val="en-US" w:eastAsia="zh-CN"/>
                    </w:rPr>
                    <w:t>1#、2#厂房</w:t>
                  </w:r>
                </w:p>
              </w:tc>
            </w:tr>
            <w:tr w14:paraId="6FB59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5" w:type="pct"/>
                  <w:tcBorders>
                    <w:tl2br w:val="nil"/>
                    <w:tr2bl w:val="nil"/>
                  </w:tcBorders>
                  <w:shd w:val="clear" w:color="auto" w:fill="auto"/>
                  <w:noWrap w:val="0"/>
                  <w:vAlign w:val="center"/>
                </w:tcPr>
                <w:p w14:paraId="587F06E5">
                  <w:pPr>
                    <w:widowControl/>
                    <w:jc w:val="center"/>
                    <w:rPr>
                      <w:rFonts w:hint="default"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rPr>
                    <w:t>11</w:t>
                  </w:r>
                </w:p>
              </w:tc>
              <w:tc>
                <w:tcPr>
                  <w:tcW w:w="1211" w:type="pct"/>
                  <w:tcBorders>
                    <w:tl2br w:val="nil"/>
                    <w:tr2bl w:val="nil"/>
                  </w:tcBorders>
                  <w:noWrap w:val="0"/>
                  <w:vAlign w:val="center"/>
                </w:tcPr>
                <w:p w14:paraId="218BD2D2">
                  <w:pPr>
                    <w:widowControl/>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切边机</w:t>
                  </w:r>
                </w:p>
              </w:tc>
              <w:tc>
                <w:tcPr>
                  <w:tcW w:w="1060" w:type="pct"/>
                  <w:tcBorders>
                    <w:tl2br w:val="nil"/>
                    <w:tr2bl w:val="nil"/>
                  </w:tcBorders>
                  <w:noWrap w:val="0"/>
                  <w:vAlign w:val="center"/>
                </w:tcPr>
                <w:p w14:paraId="294990BC">
                  <w:pPr>
                    <w:widowControl/>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c>
                <w:tcPr>
                  <w:tcW w:w="694" w:type="pct"/>
                  <w:tcBorders>
                    <w:tl2br w:val="nil"/>
                    <w:tr2bl w:val="nil"/>
                  </w:tcBorders>
                  <w:noWrap w:val="0"/>
                  <w:vAlign w:val="center"/>
                </w:tcPr>
                <w:p w14:paraId="09BA13A2">
                  <w:pPr>
                    <w:widowControl/>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台</w:t>
                  </w:r>
                </w:p>
              </w:tc>
              <w:tc>
                <w:tcPr>
                  <w:tcW w:w="734" w:type="pct"/>
                  <w:tcBorders>
                    <w:tl2br w:val="nil"/>
                    <w:tr2bl w:val="nil"/>
                  </w:tcBorders>
                  <w:shd w:val="clear" w:color="auto" w:fill="auto"/>
                  <w:noWrap w:val="0"/>
                  <w:vAlign w:val="center"/>
                </w:tcPr>
                <w:p w14:paraId="1AB44709">
                  <w:pPr>
                    <w:widowControl/>
                    <w:jc w:val="center"/>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1</w:t>
                  </w:r>
                </w:p>
              </w:tc>
              <w:tc>
                <w:tcPr>
                  <w:tcW w:w="734" w:type="pct"/>
                  <w:tcBorders>
                    <w:tl2br w:val="nil"/>
                    <w:tr2bl w:val="nil"/>
                  </w:tcBorders>
                  <w:noWrap w:val="0"/>
                  <w:vAlign w:val="center"/>
                </w:tcPr>
                <w:p w14:paraId="1D4F843D">
                  <w:pPr>
                    <w:widowControl/>
                    <w:jc w:val="center"/>
                    <w:rPr>
                      <w:rFonts w:hint="eastAsia" w:cs="Times New Roman"/>
                      <w:kern w:val="0"/>
                      <w:sz w:val="21"/>
                      <w:szCs w:val="21"/>
                      <w:lang w:val="en-US" w:eastAsia="zh-CN"/>
                    </w:rPr>
                  </w:pPr>
                  <w:r>
                    <w:rPr>
                      <w:rFonts w:hint="eastAsia" w:cs="Times New Roman"/>
                      <w:kern w:val="0"/>
                      <w:sz w:val="21"/>
                      <w:szCs w:val="21"/>
                      <w:lang w:val="en-US" w:eastAsia="zh-CN"/>
                    </w:rPr>
                    <w:t>2#厂房</w:t>
                  </w:r>
                </w:p>
              </w:tc>
            </w:tr>
            <w:tr w14:paraId="58A9D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5" w:type="pct"/>
                  <w:tcBorders>
                    <w:tl2br w:val="nil"/>
                    <w:tr2bl w:val="nil"/>
                  </w:tcBorders>
                  <w:shd w:val="clear" w:color="auto" w:fill="auto"/>
                  <w:noWrap w:val="0"/>
                  <w:vAlign w:val="center"/>
                </w:tcPr>
                <w:p w14:paraId="15F4FD7C">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12</w:t>
                  </w:r>
                </w:p>
              </w:tc>
              <w:tc>
                <w:tcPr>
                  <w:tcW w:w="1211" w:type="pct"/>
                  <w:tcBorders>
                    <w:tl2br w:val="nil"/>
                    <w:tr2bl w:val="nil"/>
                  </w:tcBorders>
                  <w:noWrap w:val="0"/>
                  <w:vAlign w:val="center"/>
                </w:tcPr>
                <w:p w14:paraId="5E7AF4B8">
                  <w:pPr>
                    <w:widowControl/>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拼板机</w:t>
                  </w:r>
                </w:p>
              </w:tc>
              <w:tc>
                <w:tcPr>
                  <w:tcW w:w="1060" w:type="pct"/>
                  <w:tcBorders>
                    <w:tl2br w:val="nil"/>
                    <w:tr2bl w:val="nil"/>
                  </w:tcBorders>
                  <w:noWrap w:val="0"/>
                  <w:vAlign w:val="center"/>
                </w:tcPr>
                <w:p w14:paraId="54C29A23">
                  <w:pPr>
                    <w:widowControl/>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c>
                <w:tcPr>
                  <w:tcW w:w="694" w:type="pct"/>
                  <w:tcBorders>
                    <w:tl2br w:val="nil"/>
                    <w:tr2bl w:val="nil"/>
                  </w:tcBorders>
                  <w:noWrap w:val="0"/>
                  <w:vAlign w:val="center"/>
                </w:tcPr>
                <w:p w14:paraId="05545D01">
                  <w:pPr>
                    <w:widowControl/>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台</w:t>
                  </w:r>
                </w:p>
              </w:tc>
              <w:tc>
                <w:tcPr>
                  <w:tcW w:w="734" w:type="pct"/>
                  <w:tcBorders>
                    <w:tl2br w:val="nil"/>
                    <w:tr2bl w:val="nil"/>
                  </w:tcBorders>
                  <w:noWrap w:val="0"/>
                  <w:vAlign w:val="center"/>
                </w:tcPr>
                <w:p w14:paraId="557DF94C">
                  <w:pPr>
                    <w:widowControl/>
                    <w:jc w:val="center"/>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1</w:t>
                  </w:r>
                </w:p>
              </w:tc>
              <w:tc>
                <w:tcPr>
                  <w:tcW w:w="734" w:type="pct"/>
                  <w:tcBorders>
                    <w:tl2br w:val="nil"/>
                    <w:tr2bl w:val="nil"/>
                  </w:tcBorders>
                  <w:noWrap w:val="0"/>
                  <w:vAlign w:val="center"/>
                </w:tcPr>
                <w:p w14:paraId="0A850A7D">
                  <w:pPr>
                    <w:widowControl/>
                    <w:jc w:val="center"/>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1#厂房</w:t>
                  </w:r>
                </w:p>
              </w:tc>
            </w:tr>
            <w:tr w14:paraId="1E7DF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5" w:type="pct"/>
                  <w:tcBorders>
                    <w:tl2br w:val="nil"/>
                    <w:tr2bl w:val="nil"/>
                  </w:tcBorders>
                  <w:shd w:val="clear" w:color="auto" w:fill="auto"/>
                  <w:noWrap w:val="0"/>
                  <w:vAlign w:val="center"/>
                </w:tcPr>
                <w:p w14:paraId="0090AF8D">
                  <w:pPr>
                    <w:widowControl/>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13</w:t>
                  </w:r>
                </w:p>
              </w:tc>
              <w:tc>
                <w:tcPr>
                  <w:tcW w:w="1211" w:type="pct"/>
                  <w:tcBorders>
                    <w:tl2br w:val="nil"/>
                    <w:tr2bl w:val="nil"/>
                  </w:tcBorders>
                  <w:noWrap w:val="0"/>
                  <w:vAlign w:val="center"/>
                </w:tcPr>
                <w:p w14:paraId="67EA330B">
                  <w:pPr>
                    <w:widowControl/>
                    <w:jc w:val="center"/>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雕刻机</w:t>
                  </w:r>
                </w:p>
              </w:tc>
              <w:tc>
                <w:tcPr>
                  <w:tcW w:w="1060" w:type="pct"/>
                  <w:tcBorders>
                    <w:tl2br w:val="nil"/>
                    <w:tr2bl w:val="nil"/>
                  </w:tcBorders>
                  <w:shd w:val="clear" w:color="auto" w:fill="auto"/>
                  <w:noWrap w:val="0"/>
                  <w:vAlign w:val="center"/>
                </w:tcPr>
                <w:p w14:paraId="11808016">
                  <w:pPr>
                    <w:widowControl/>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w:t>
                  </w:r>
                </w:p>
              </w:tc>
              <w:tc>
                <w:tcPr>
                  <w:tcW w:w="694" w:type="pct"/>
                  <w:tcBorders>
                    <w:tl2br w:val="nil"/>
                    <w:tr2bl w:val="nil"/>
                  </w:tcBorders>
                  <w:shd w:val="clear" w:color="auto" w:fill="auto"/>
                  <w:noWrap w:val="0"/>
                  <w:vAlign w:val="center"/>
                </w:tcPr>
                <w:p w14:paraId="4FE18A54">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eastAsia="zh-CN"/>
                    </w:rPr>
                    <w:t>台</w:t>
                  </w:r>
                </w:p>
              </w:tc>
              <w:tc>
                <w:tcPr>
                  <w:tcW w:w="734" w:type="pct"/>
                  <w:tcBorders>
                    <w:tl2br w:val="nil"/>
                    <w:tr2bl w:val="nil"/>
                  </w:tcBorders>
                  <w:shd w:val="clear" w:color="auto" w:fill="auto"/>
                  <w:noWrap w:val="0"/>
                  <w:vAlign w:val="center"/>
                </w:tcPr>
                <w:p w14:paraId="12A05E16">
                  <w:pPr>
                    <w:widowControl/>
                    <w:jc w:val="center"/>
                    <w:rPr>
                      <w:rFonts w:hint="eastAsia"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rPr>
                    <w:t>1</w:t>
                  </w:r>
                </w:p>
              </w:tc>
              <w:tc>
                <w:tcPr>
                  <w:tcW w:w="734" w:type="pct"/>
                  <w:tcBorders>
                    <w:tl2br w:val="nil"/>
                    <w:tr2bl w:val="nil"/>
                  </w:tcBorders>
                  <w:shd w:val="clear" w:color="auto" w:fill="auto"/>
                  <w:noWrap w:val="0"/>
                  <w:vAlign w:val="center"/>
                </w:tcPr>
                <w:p w14:paraId="59D7DC65">
                  <w:pPr>
                    <w:widowControl/>
                    <w:jc w:val="center"/>
                    <w:rPr>
                      <w:rFonts w:hint="eastAsia"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rPr>
                    <w:t>1#厂房</w:t>
                  </w:r>
                </w:p>
              </w:tc>
            </w:tr>
            <w:tr w14:paraId="6542B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5" w:type="pct"/>
                  <w:tcBorders>
                    <w:tl2br w:val="nil"/>
                    <w:tr2bl w:val="nil"/>
                  </w:tcBorders>
                  <w:shd w:val="clear" w:color="auto" w:fill="auto"/>
                  <w:noWrap w:val="0"/>
                  <w:vAlign w:val="center"/>
                </w:tcPr>
                <w:p w14:paraId="6A99FEC7">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14</w:t>
                  </w:r>
                </w:p>
              </w:tc>
              <w:tc>
                <w:tcPr>
                  <w:tcW w:w="1211" w:type="pct"/>
                  <w:tcBorders>
                    <w:tl2br w:val="nil"/>
                    <w:tr2bl w:val="nil"/>
                  </w:tcBorders>
                  <w:noWrap w:val="0"/>
                  <w:vAlign w:val="center"/>
                </w:tcPr>
                <w:p w14:paraId="653A4BBD">
                  <w:pPr>
                    <w:widowControl/>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自动焊接机</w:t>
                  </w:r>
                </w:p>
              </w:tc>
              <w:tc>
                <w:tcPr>
                  <w:tcW w:w="1060" w:type="pct"/>
                  <w:tcBorders>
                    <w:tl2br w:val="nil"/>
                    <w:tr2bl w:val="nil"/>
                  </w:tcBorders>
                  <w:noWrap w:val="0"/>
                  <w:vAlign w:val="center"/>
                </w:tcPr>
                <w:p w14:paraId="33628BCB">
                  <w:pPr>
                    <w:widowControl/>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c>
                <w:tcPr>
                  <w:tcW w:w="694" w:type="pct"/>
                  <w:tcBorders>
                    <w:tl2br w:val="nil"/>
                    <w:tr2bl w:val="nil"/>
                  </w:tcBorders>
                  <w:noWrap w:val="0"/>
                  <w:vAlign w:val="center"/>
                </w:tcPr>
                <w:p w14:paraId="62A04DBC">
                  <w:pPr>
                    <w:widowControl/>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台</w:t>
                  </w:r>
                </w:p>
              </w:tc>
              <w:tc>
                <w:tcPr>
                  <w:tcW w:w="734" w:type="pct"/>
                  <w:tcBorders>
                    <w:tl2br w:val="nil"/>
                    <w:tr2bl w:val="nil"/>
                  </w:tcBorders>
                  <w:noWrap w:val="0"/>
                  <w:vAlign w:val="center"/>
                </w:tcPr>
                <w:p w14:paraId="43CEB2EB">
                  <w:pPr>
                    <w:widowControl/>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10</w:t>
                  </w:r>
                </w:p>
              </w:tc>
              <w:tc>
                <w:tcPr>
                  <w:tcW w:w="734" w:type="pct"/>
                  <w:tcBorders>
                    <w:tl2br w:val="nil"/>
                    <w:tr2bl w:val="nil"/>
                  </w:tcBorders>
                  <w:noWrap w:val="0"/>
                  <w:vAlign w:val="center"/>
                </w:tcPr>
                <w:p w14:paraId="2FF2AFCC">
                  <w:pPr>
                    <w:widowControl/>
                    <w:jc w:val="center"/>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1#厂房</w:t>
                  </w:r>
                </w:p>
              </w:tc>
            </w:tr>
            <w:tr w14:paraId="69E72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5" w:type="pct"/>
                  <w:tcBorders>
                    <w:tl2br w:val="nil"/>
                    <w:tr2bl w:val="nil"/>
                  </w:tcBorders>
                  <w:shd w:val="clear" w:color="auto" w:fill="auto"/>
                  <w:noWrap w:val="0"/>
                  <w:vAlign w:val="center"/>
                </w:tcPr>
                <w:p w14:paraId="7D3B3870">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15</w:t>
                  </w:r>
                </w:p>
              </w:tc>
              <w:tc>
                <w:tcPr>
                  <w:tcW w:w="1211" w:type="pct"/>
                  <w:tcBorders>
                    <w:tl2br w:val="nil"/>
                    <w:tr2bl w:val="nil"/>
                  </w:tcBorders>
                  <w:noWrap w:val="0"/>
                  <w:vAlign w:val="center"/>
                </w:tcPr>
                <w:p w14:paraId="37529522">
                  <w:pPr>
                    <w:widowControl/>
                    <w:jc w:val="center"/>
                    <w:rPr>
                      <w:rFonts w:hint="default" w:ascii="Times New Roman" w:hAnsi="Times New Roman" w:eastAsia="宋体" w:cs="Times New Roman"/>
                      <w:kern w:val="0"/>
                      <w:sz w:val="21"/>
                      <w:szCs w:val="21"/>
                      <w:lang w:eastAsia="zh-CN"/>
                    </w:rPr>
                  </w:pPr>
                  <w:r>
                    <w:rPr>
                      <w:rFonts w:hint="eastAsia" w:cs="Times New Roman"/>
                      <w:kern w:val="0"/>
                      <w:sz w:val="21"/>
                      <w:szCs w:val="21"/>
                      <w:lang w:val="en-US" w:eastAsia="zh-CN"/>
                    </w:rPr>
                    <w:t>破碎</w:t>
                  </w:r>
                  <w:r>
                    <w:rPr>
                      <w:rFonts w:hint="default" w:ascii="Times New Roman" w:hAnsi="Times New Roman" w:eastAsia="宋体" w:cs="Times New Roman"/>
                      <w:kern w:val="0"/>
                      <w:sz w:val="21"/>
                      <w:szCs w:val="21"/>
                      <w:lang w:eastAsia="zh-CN"/>
                    </w:rPr>
                    <w:t>机</w:t>
                  </w:r>
                </w:p>
              </w:tc>
              <w:tc>
                <w:tcPr>
                  <w:tcW w:w="1060" w:type="pct"/>
                  <w:tcBorders>
                    <w:tl2br w:val="nil"/>
                    <w:tr2bl w:val="nil"/>
                  </w:tcBorders>
                  <w:noWrap w:val="0"/>
                  <w:vAlign w:val="center"/>
                </w:tcPr>
                <w:p w14:paraId="510D46FE">
                  <w:pPr>
                    <w:widowControl/>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c>
                <w:tcPr>
                  <w:tcW w:w="694" w:type="pct"/>
                  <w:tcBorders>
                    <w:tl2br w:val="nil"/>
                    <w:tr2bl w:val="nil"/>
                  </w:tcBorders>
                  <w:noWrap w:val="0"/>
                  <w:vAlign w:val="center"/>
                </w:tcPr>
                <w:p w14:paraId="33D14B32">
                  <w:pPr>
                    <w:widowControl/>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台</w:t>
                  </w:r>
                </w:p>
              </w:tc>
              <w:tc>
                <w:tcPr>
                  <w:tcW w:w="734" w:type="pct"/>
                  <w:tcBorders>
                    <w:tl2br w:val="nil"/>
                    <w:tr2bl w:val="nil"/>
                  </w:tcBorders>
                  <w:noWrap w:val="0"/>
                  <w:vAlign w:val="center"/>
                </w:tcPr>
                <w:p w14:paraId="7C53B2BA">
                  <w:pPr>
                    <w:widowControl/>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w:t>
                  </w:r>
                </w:p>
              </w:tc>
              <w:tc>
                <w:tcPr>
                  <w:tcW w:w="734" w:type="pct"/>
                  <w:tcBorders>
                    <w:tl2br w:val="nil"/>
                    <w:tr2bl w:val="nil"/>
                  </w:tcBorders>
                  <w:noWrap w:val="0"/>
                  <w:vAlign w:val="center"/>
                </w:tcPr>
                <w:p w14:paraId="71AA796A">
                  <w:pPr>
                    <w:widowControl/>
                    <w:jc w:val="center"/>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2#厂房</w:t>
                  </w:r>
                </w:p>
              </w:tc>
            </w:tr>
            <w:tr w14:paraId="5A4FC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5" w:type="pct"/>
                  <w:tcBorders>
                    <w:tl2br w:val="nil"/>
                    <w:tr2bl w:val="nil"/>
                  </w:tcBorders>
                  <w:shd w:val="clear" w:color="auto" w:fill="auto"/>
                  <w:noWrap w:val="0"/>
                  <w:vAlign w:val="center"/>
                </w:tcPr>
                <w:p w14:paraId="3AD59D64">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16</w:t>
                  </w:r>
                </w:p>
              </w:tc>
              <w:tc>
                <w:tcPr>
                  <w:tcW w:w="1211" w:type="pct"/>
                  <w:tcBorders>
                    <w:tl2br w:val="nil"/>
                    <w:tr2bl w:val="nil"/>
                  </w:tcBorders>
                  <w:noWrap w:val="0"/>
                  <w:vAlign w:val="center"/>
                </w:tcPr>
                <w:p w14:paraId="1D720772">
                  <w:pPr>
                    <w:widowControl/>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撕碎机</w:t>
                  </w:r>
                </w:p>
              </w:tc>
              <w:tc>
                <w:tcPr>
                  <w:tcW w:w="1060" w:type="pct"/>
                  <w:tcBorders>
                    <w:tl2br w:val="nil"/>
                    <w:tr2bl w:val="nil"/>
                  </w:tcBorders>
                  <w:noWrap w:val="0"/>
                  <w:vAlign w:val="center"/>
                </w:tcPr>
                <w:p w14:paraId="3F23F3CD">
                  <w:pPr>
                    <w:widowControl/>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c>
                <w:tcPr>
                  <w:tcW w:w="694" w:type="pct"/>
                  <w:tcBorders>
                    <w:tl2br w:val="nil"/>
                    <w:tr2bl w:val="nil"/>
                  </w:tcBorders>
                  <w:noWrap w:val="0"/>
                  <w:vAlign w:val="center"/>
                </w:tcPr>
                <w:p w14:paraId="17861964">
                  <w:pPr>
                    <w:widowControl/>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台</w:t>
                  </w:r>
                </w:p>
              </w:tc>
              <w:tc>
                <w:tcPr>
                  <w:tcW w:w="734" w:type="pct"/>
                  <w:tcBorders>
                    <w:tl2br w:val="nil"/>
                    <w:tr2bl w:val="nil"/>
                  </w:tcBorders>
                  <w:noWrap w:val="0"/>
                  <w:vAlign w:val="center"/>
                </w:tcPr>
                <w:p w14:paraId="6AFB7BFE">
                  <w:pPr>
                    <w:widowControl/>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w:t>
                  </w:r>
                </w:p>
              </w:tc>
              <w:tc>
                <w:tcPr>
                  <w:tcW w:w="734" w:type="pct"/>
                  <w:tcBorders>
                    <w:tl2br w:val="nil"/>
                    <w:tr2bl w:val="nil"/>
                  </w:tcBorders>
                  <w:shd w:val="clear" w:color="auto" w:fill="auto"/>
                  <w:noWrap w:val="0"/>
                  <w:vAlign w:val="center"/>
                </w:tcPr>
                <w:p w14:paraId="230659AE">
                  <w:pPr>
                    <w:widowControl/>
                    <w:jc w:val="center"/>
                    <w:rPr>
                      <w:rFonts w:hint="default"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rPr>
                    <w:t>2#厂房</w:t>
                  </w:r>
                </w:p>
              </w:tc>
            </w:tr>
            <w:tr w14:paraId="4EABB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5" w:type="pct"/>
                  <w:tcBorders>
                    <w:tl2br w:val="nil"/>
                    <w:tr2bl w:val="nil"/>
                  </w:tcBorders>
                  <w:shd w:val="clear" w:color="auto" w:fill="auto"/>
                  <w:noWrap w:val="0"/>
                  <w:vAlign w:val="center"/>
                </w:tcPr>
                <w:p w14:paraId="156EE028">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17</w:t>
                  </w:r>
                </w:p>
              </w:tc>
              <w:tc>
                <w:tcPr>
                  <w:tcW w:w="1211" w:type="pct"/>
                  <w:tcBorders>
                    <w:tl2br w:val="nil"/>
                    <w:tr2bl w:val="nil"/>
                  </w:tcBorders>
                  <w:noWrap w:val="0"/>
                  <w:vAlign w:val="center"/>
                </w:tcPr>
                <w:p w14:paraId="65E8338A">
                  <w:pPr>
                    <w:widowControl/>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拉板机</w:t>
                  </w:r>
                </w:p>
              </w:tc>
              <w:tc>
                <w:tcPr>
                  <w:tcW w:w="1060" w:type="pct"/>
                  <w:tcBorders>
                    <w:tl2br w:val="nil"/>
                    <w:tr2bl w:val="nil"/>
                  </w:tcBorders>
                  <w:noWrap w:val="0"/>
                  <w:vAlign w:val="center"/>
                </w:tcPr>
                <w:p w14:paraId="6EA97197">
                  <w:pPr>
                    <w:widowControl/>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c>
                <w:tcPr>
                  <w:tcW w:w="694" w:type="pct"/>
                  <w:tcBorders>
                    <w:tl2br w:val="nil"/>
                    <w:tr2bl w:val="nil"/>
                  </w:tcBorders>
                  <w:noWrap w:val="0"/>
                  <w:vAlign w:val="center"/>
                </w:tcPr>
                <w:p w14:paraId="2389FD25">
                  <w:pPr>
                    <w:widowControl/>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套</w:t>
                  </w:r>
                </w:p>
              </w:tc>
              <w:tc>
                <w:tcPr>
                  <w:tcW w:w="734" w:type="pct"/>
                  <w:tcBorders>
                    <w:tl2br w:val="nil"/>
                    <w:tr2bl w:val="nil"/>
                  </w:tcBorders>
                  <w:noWrap w:val="0"/>
                  <w:vAlign w:val="center"/>
                </w:tcPr>
                <w:p w14:paraId="59CA7EEE">
                  <w:pPr>
                    <w:widowControl/>
                    <w:jc w:val="center"/>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2</w:t>
                  </w:r>
                </w:p>
              </w:tc>
              <w:tc>
                <w:tcPr>
                  <w:tcW w:w="734" w:type="pct"/>
                  <w:tcBorders>
                    <w:tl2br w:val="nil"/>
                    <w:tr2bl w:val="nil"/>
                  </w:tcBorders>
                  <w:shd w:val="clear" w:color="auto" w:fill="auto"/>
                  <w:noWrap w:val="0"/>
                  <w:vAlign w:val="center"/>
                </w:tcPr>
                <w:p w14:paraId="5806FC3F">
                  <w:pPr>
                    <w:widowControl/>
                    <w:jc w:val="center"/>
                    <w:rPr>
                      <w:rFonts w:hint="default"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rPr>
                    <w:t>1#厂房</w:t>
                  </w:r>
                </w:p>
              </w:tc>
            </w:tr>
            <w:tr w14:paraId="7D8D2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5" w:type="pct"/>
                  <w:tcBorders>
                    <w:tl2br w:val="nil"/>
                    <w:tr2bl w:val="nil"/>
                  </w:tcBorders>
                  <w:shd w:val="clear" w:color="auto" w:fill="auto"/>
                  <w:noWrap w:val="0"/>
                  <w:vAlign w:val="center"/>
                </w:tcPr>
                <w:p w14:paraId="1DC9B944">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18</w:t>
                  </w:r>
                </w:p>
              </w:tc>
              <w:tc>
                <w:tcPr>
                  <w:tcW w:w="1211" w:type="pct"/>
                  <w:tcBorders>
                    <w:tl2br w:val="nil"/>
                    <w:tr2bl w:val="nil"/>
                  </w:tcBorders>
                  <w:noWrap w:val="0"/>
                  <w:vAlign w:val="center"/>
                </w:tcPr>
                <w:p w14:paraId="35B042C1">
                  <w:pPr>
                    <w:widowControl/>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拉管机</w:t>
                  </w:r>
                </w:p>
              </w:tc>
              <w:tc>
                <w:tcPr>
                  <w:tcW w:w="1060" w:type="pct"/>
                  <w:tcBorders>
                    <w:tl2br w:val="nil"/>
                    <w:tr2bl w:val="nil"/>
                  </w:tcBorders>
                  <w:noWrap w:val="0"/>
                  <w:vAlign w:val="center"/>
                </w:tcPr>
                <w:p w14:paraId="785E4BAD">
                  <w:pPr>
                    <w:widowControl/>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c>
                <w:tcPr>
                  <w:tcW w:w="694" w:type="pct"/>
                  <w:tcBorders>
                    <w:tl2br w:val="nil"/>
                    <w:tr2bl w:val="nil"/>
                  </w:tcBorders>
                  <w:noWrap w:val="0"/>
                  <w:vAlign w:val="center"/>
                </w:tcPr>
                <w:p w14:paraId="0EFAE49B">
                  <w:pPr>
                    <w:widowControl/>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套</w:t>
                  </w:r>
                </w:p>
              </w:tc>
              <w:tc>
                <w:tcPr>
                  <w:tcW w:w="734" w:type="pct"/>
                  <w:tcBorders>
                    <w:tl2br w:val="nil"/>
                    <w:tr2bl w:val="nil"/>
                  </w:tcBorders>
                  <w:noWrap w:val="0"/>
                  <w:vAlign w:val="center"/>
                </w:tcPr>
                <w:p w14:paraId="0C32CBB0">
                  <w:pPr>
                    <w:widowControl/>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2</w:t>
                  </w:r>
                </w:p>
              </w:tc>
              <w:tc>
                <w:tcPr>
                  <w:tcW w:w="734" w:type="pct"/>
                  <w:tcBorders>
                    <w:tl2br w:val="nil"/>
                    <w:tr2bl w:val="nil"/>
                  </w:tcBorders>
                  <w:shd w:val="clear" w:color="auto" w:fill="auto"/>
                  <w:noWrap w:val="0"/>
                  <w:vAlign w:val="center"/>
                </w:tcPr>
                <w:p w14:paraId="1C856376">
                  <w:pPr>
                    <w:widowControl/>
                    <w:jc w:val="center"/>
                    <w:rPr>
                      <w:rFonts w:hint="default"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rPr>
                    <w:t>2#厂房</w:t>
                  </w:r>
                </w:p>
              </w:tc>
            </w:tr>
            <w:tr w14:paraId="615B8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5" w:type="pct"/>
                  <w:tcBorders>
                    <w:tl2br w:val="nil"/>
                    <w:tr2bl w:val="nil"/>
                  </w:tcBorders>
                  <w:shd w:val="clear" w:color="auto" w:fill="auto"/>
                  <w:noWrap w:val="0"/>
                  <w:vAlign w:val="center"/>
                </w:tcPr>
                <w:p w14:paraId="12FBDD06">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19</w:t>
                  </w:r>
                </w:p>
              </w:tc>
              <w:tc>
                <w:tcPr>
                  <w:tcW w:w="1211" w:type="pct"/>
                  <w:tcBorders>
                    <w:tl2br w:val="nil"/>
                    <w:tr2bl w:val="nil"/>
                  </w:tcBorders>
                  <w:noWrap w:val="0"/>
                  <w:vAlign w:val="center"/>
                </w:tcPr>
                <w:p w14:paraId="4C110B9E">
                  <w:pPr>
                    <w:widowControl/>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热风焊枪</w:t>
                  </w:r>
                </w:p>
              </w:tc>
              <w:tc>
                <w:tcPr>
                  <w:tcW w:w="1060" w:type="pct"/>
                  <w:tcBorders>
                    <w:tl2br w:val="nil"/>
                    <w:tr2bl w:val="nil"/>
                  </w:tcBorders>
                  <w:noWrap w:val="0"/>
                  <w:vAlign w:val="center"/>
                </w:tcPr>
                <w:p w14:paraId="5265CA90">
                  <w:pPr>
                    <w:widowControl/>
                    <w:jc w:val="center"/>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w:t>
                  </w:r>
                </w:p>
              </w:tc>
              <w:tc>
                <w:tcPr>
                  <w:tcW w:w="694" w:type="pct"/>
                  <w:tcBorders>
                    <w:tl2br w:val="nil"/>
                    <w:tr2bl w:val="nil"/>
                  </w:tcBorders>
                  <w:noWrap w:val="0"/>
                  <w:vAlign w:val="center"/>
                </w:tcPr>
                <w:p w14:paraId="266774E2">
                  <w:pPr>
                    <w:widowControl/>
                    <w:jc w:val="center"/>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个</w:t>
                  </w:r>
                </w:p>
              </w:tc>
              <w:tc>
                <w:tcPr>
                  <w:tcW w:w="734" w:type="pct"/>
                  <w:tcBorders>
                    <w:tl2br w:val="nil"/>
                    <w:tr2bl w:val="nil"/>
                  </w:tcBorders>
                  <w:noWrap w:val="0"/>
                  <w:vAlign w:val="center"/>
                </w:tcPr>
                <w:p w14:paraId="13968321">
                  <w:pPr>
                    <w:widowControl/>
                    <w:jc w:val="center"/>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30</w:t>
                  </w:r>
                </w:p>
              </w:tc>
              <w:tc>
                <w:tcPr>
                  <w:tcW w:w="734" w:type="pct"/>
                  <w:tcBorders>
                    <w:tl2br w:val="nil"/>
                    <w:tr2bl w:val="nil"/>
                  </w:tcBorders>
                  <w:shd w:val="clear" w:color="auto" w:fill="auto"/>
                  <w:noWrap w:val="0"/>
                  <w:vAlign w:val="center"/>
                </w:tcPr>
                <w:p w14:paraId="07A3B210">
                  <w:pPr>
                    <w:widowControl/>
                    <w:jc w:val="center"/>
                    <w:rPr>
                      <w:rFonts w:hint="default"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rPr>
                    <w:t>1#厂房</w:t>
                  </w:r>
                </w:p>
              </w:tc>
            </w:tr>
            <w:tr w14:paraId="52819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5" w:type="pct"/>
                  <w:tcBorders>
                    <w:tl2br w:val="nil"/>
                    <w:tr2bl w:val="nil"/>
                  </w:tcBorders>
                  <w:shd w:val="clear" w:color="auto" w:fill="auto"/>
                  <w:noWrap w:val="0"/>
                  <w:vAlign w:val="center"/>
                </w:tcPr>
                <w:p w14:paraId="2632161A">
                  <w:pPr>
                    <w:widowControl/>
                    <w:jc w:val="center"/>
                    <w:rPr>
                      <w:rFonts w:hint="default"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rPr>
                    <w:t>20</w:t>
                  </w:r>
                </w:p>
              </w:tc>
              <w:tc>
                <w:tcPr>
                  <w:tcW w:w="1211" w:type="pct"/>
                  <w:tcBorders>
                    <w:tl2br w:val="nil"/>
                    <w:tr2bl w:val="nil"/>
                  </w:tcBorders>
                  <w:shd w:val="clear" w:color="auto" w:fill="auto"/>
                  <w:noWrap w:val="0"/>
                  <w:vAlign w:val="center"/>
                </w:tcPr>
                <w:p w14:paraId="75151DEA">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eastAsia="zh-CN"/>
                    </w:rPr>
                    <w:t>自动上料机</w:t>
                  </w:r>
                </w:p>
              </w:tc>
              <w:tc>
                <w:tcPr>
                  <w:tcW w:w="1060" w:type="pct"/>
                  <w:tcBorders>
                    <w:tl2br w:val="nil"/>
                    <w:tr2bl w:val="nil"/>
                  </w:tcBorders>
                  <w:shd w:val="clear" w:color="auto" w:fill="auto"/>
                  <w:noWrap w:val="0"/>
                  <w:vAlign w:val="center"/>
                </w:tcPr>
                <w:p w14:paraId="00A48C1A">
                  <w:pPr>
                    <w:widowControl/>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w:t>
                  </w:r>
                </w:p>
              </w:tc>
              <w:tc>
                <w:tcPr>
                  <w:tcW w:w="694" w:type="pct"/>
                  <w:tcBorders>
                    <w:tl2br w:val="nil"/>
                    <w:tr2bl w:val="nil"/>
                  </w:tcBorders>
                  <w:shd w:val="clear" w:color="auto" w:fill="auto"/>
                  <w:noWrap w:val="0"/>
                  <w:vAlign w:val="center"/>
                </w:tcPr>
                <w:p w14:paraId="627C9CB2">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eastAsia="zh-CN"/>
                    </w:rPr>
                    <w:t>台</w:t>
                  </w:r>
                </w:p>
              </w:tc>
              <w:tc>
                <w:tcPr>
                  <w:tcW w:w="734" w:type="pct"/>
                  <w:tcBorders>
                    <w:tl2br w:val="nil"/>
                    <w:tr2bl w:val="nil"/>
                  </w:tcBorders>
                  <w:shd w:val="clear" w:color="auto" w:fill="auto"/>
                  <w:noWrap w:val="0"/>
                  <w:vAlign w:val="center"/>
                </w:tcPr>
                <w:p w14:paraId="7CCC8FBC">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5</w:t>
                  </w:r>
                </w:p>
              </w:tc>
              <w:tc>
                <w:tcPr>
                  <w:tcW w:w="734" w:type="pct"/>
                  <w:tcBorders>
                    <w:tl2br w:val="nil"/>
                    <w:tr2bl w:val="nil"/>
                  </w:tcBorders>
                  <w:shd w:val="clear" w:color="auto" w:fill="auto"/>
                  <w:noWrap w:val="0"/>
                  <w:vAlign w:val="center"/>
                </w:tcPr>
                <w:p w14:paraId="51CA6384">
                  <w:pPr>
                    <w:widowControl/>
                    <w:jc w:val="center"/>
                    <w:rPr>
                      <w:rFonts w:hint="eastAsia"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rPr>
                    <w:t>2#厂房</w:t>
                  </w:r>
                </w:p>
              </w:tc>
            </w:tr>
            <w:tr w14:paraId="0088F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5" w:type="pct"/>
                  <w:tcBorders>
                    <w:tl2br w:val="nil"/>
                    <w:tr2bl w:val="nil"/>
                  </w:tcBorders>
                  <w:noWrap w:val="0"/>
                  <w:vAlign w:val="center"/>
                </w:tcPr>
                <w:p w14:paraId="714CF847">
                  <w:pPr>
                    <w:widowControl/>
                    <w:jc w:val="center"/>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21</w:t>
                  </w:r>
                </w:p>
              </w:tc>
              <w:tc>
                <w:tcPr>
                  <w:tcW w:w="1211" w:type="pct"/>
                  <w:tcBorders>
                    <w:tl2br w:val="nil"/>
                    <w:tr2bl w:val="nil"/>
                  </w:tcBorders>
                  <w:noWrap w:val="0"/>
                  <w:vAlign w:val="center"/>
                </w:tcPr>
                <w:p w14:paraId="7976C935">
                  <w:pPr>
                    <w:widowControl/>
                    <w:jc w:val="center"/>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风机</w:t>
                  </w:r>
                </w:p>
              </w:tc>
              <w:tc>
                <w:tcPr>
                  <w:tcW w:w="1060" w:type="pct"/>
                  <w:tcBorders>
                    <w:tl2br w:val="nil"/>
                    <w:tr2bl w:val="nil"/>
                  </w:tcBorders>
                  <w:noWrap w:val="0"/>
                  <w:vAlign w:val="center"/>
                </w:tcPr>
                <w:p w14:paraId="26A5F107">
                  <w:pPr>
                    <w:widowControl/>
                    <w:jc w:val="center"/>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w:t>
                  </w:r>
                </w:p>
              </w:tc>
              <w:tc>
                <w:tcPr>
                  <w:tcW w:w="694" w:type="pct"/>
                  <w:tcBorders>
                    <w:tl2br w:val="nil"/>
                    <w:tr2bl w:val="nil"/>
                  </w:tcBorders>
                  <w:noWrap w:val="0"/>
                  <w:vAlign w:val="center"/>
                </w:tcPr>
                <w:p w14:paraId="1BDF09F1">
                  <w:pPr>
                    <w:widowControl/>
                    <w:jc w:val="center"/>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台</w:t>
                  </w:r>
                </w:p>
              </w:tc>
              <w:tc>
                <w:tcPr>
                  <w:tcW w:w="734" w:type="pct"/>
                  <w:tcBorders>
                    <w:tl2br w:val="nil"/>
                    <w:tr2bl w:val="nil"/>
                  </w:tcBorders>
                  <w:noWrap w:val="0"/>
                  <w:vAlign w:val="center"/>
                </w:tcPr>
                <w:p w14:paraId="3CD5BD72">
                  <w:pPr>
                    <w:widowControl/>
                    <w:jc w:val="center"/>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2</w:t>
                  </w:r>
                </w:p>
              </w:tc>
              <w:tc>
                <w:tcPr>
                  <w:tcW w:w="734" w:type="pct"/>
                  <w:tcBorders>
                    <w:tl2br w:val="nil"/>
                    <w:tr2bl w:val="nil"/>
                  </w:tcBorders>
                  <w:shd w:val="clear" w:color="auto" w:fill="auto"/>
                  <w:noWrap w:val="0"/>
                  <w:vAlign w:val="center"/>
                </w:tcPr>
                <w:p w14:paraId="40AE0AD0">
                  <w:pPr>
                    <w:widowControl/>
                    <w:jc w:val="center"/>
                    <w:rPr>
                      <w:rFonts w:hint="default"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bidi="ar-SA"/>
                    </w:rPr>
                    <w:t>厂房外</w:t>
                  </w:r>
                </w:p>
              </w:tc>
            </w:tr>
          </w:tbl>
          <w:p w14:paraId="4C538717">
            <w:pPr>
              <w:spacing w:line="360" w:lineRule="auto"/>
              <w:ind w:firstLine="482" w:firstLineChars="200"/>
              <w:jc w:val="both"/>
              <w:rPr>
                <w:rFonts w:hint="default" w:ascii="Times New Roman" w:hAnsi="Times New Roman" w:eastAsia="宋体" w:cs="Times New Roman"/>
                <w:b/>
                <w:bCs/>
                <w:color w:val="auto"/>
                <w:sz w:val="24"/>
                <w:szCs w:val="24"/>
                <w:vertAlign w:val="baseline"/>
                <w:lang w:eastAsia="zh-CN"/>
              </w:rPr>
            </w:pPr>
            <w:r>
              <w:rPr>
                <w:rFonts w:hint="eastAsia" w:cs="Times New Roman"/>
                <w:b/>
                <w:bCs/>
                <w:color w:val="auto"/>
                <w:sz w:val="24"/>
                <w:szCs w:val="22"/>
                <w:vertAlign w:val="baseline"/>
                <w:lang w:val="en-US" w:eastAsia="zh-CN"/>
              </w:rPr>
              <w:t>7</w:t>
            </w:r>
            <w:r>
              <w:rPr>
                <w:rFonts w:hint="default" w:ascii="Times New Roman" w:hAnsi="Times New Roman" w:cs="Times New Roman"/>
                <w:b/>
                <w:bCs/>
                <w:color w:val="auto"/>
                <w:sz w:val="24"/>
                <w:szCs w:val="22"/>
                <w:vertAlign w:val="baseline"/>
                <w:lang w:val="en-US" w:eastAsia="zh-CN"/>
              </w:rPr>
              <w:t>、</w:t>
            </w:r>
            <w:r>
              <w:rPr>
                <w:rFonts w:hint="default" w:ascii="Times New Roman" w:hAnsi="Times New Roman" w:eastAsia="宋体" w:cs="Times New Roman"/>
                <w:b/>
                <w:bCs/>
                <w:color w:val="auto"/>
                <w:sz w:val="24"/>
                <w:szCs w:val="24"/>
                <w:vertAlign w:val="baseline"/>
              </w:rPr>
              <w:t>原辅材料</w:t>
            </w:r>
            <w:r>
              <w:rPr>
                <w:rFonts w:hint="default" w:ascii="Times New Roman" w:hAnsi="Times New Roman" w:eastAsia="宋体" w:cs="Times New Roman"/>
                <w:b/>
                <w:bCs/>
                <w:color w:val="auto"/>
                <w:sz w:val="24"/>
                <w:szCs w:val="24"/>
                <w:vertAlign w:val="baseline"/>
                <w:lang w:eastAsia="zh-CN"/>
              </w:rPr>
              <w:t>及能源消耗</w:t>
            </w:r>
          </w:p>
          <w:p w14:paraId="6D08BF34">
            <w:pPr>
              <w:spacing w:line="360" w:lineRule="auto"/>
              <w:ind w:firstLine="480" w:firstLineChars="200"/>
              <w:jc w:val="both"/>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（1）原辅材料消耗量</w:t>
            </w:r>
          </w:p>
          <w:p w14:paraId="064BA80C">
            <w:pPr>
              <w:spacing w:line="360" w:lineRule="auto"/>
              <w:ind w:firstLine="480" w:firstLineChars="200"/>
              <w:jc w:val="both"/>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val="en-US" w:eastAsia="zh-CN"/>
              </w:rPr>
              <w:t>项目</w:t>
            </w:r>
            <w:r>
              <w:rPr>
                <w:rFonts w:hint="default" w:ascii="Times New Roman" w:hAnsi="Times New Roman" w:cs="Times New Roman"/>
                <w:color w:val="auto"/>
                <w:sz w:val="24"/>
                <w:szCs w:val="24"/>
              </w:rPr>
              <w:t>主要原辅材料及能源消耗如下表所示</w:t>
            </w:r>
            <w:r>
              <w:rPr>
                <w:rFonts w:hint="default" w:ascii="Times New Roman" w:hAnsi="Times New Roman" w:cs="Times New Roman"/>
                <w:color w:val="auto"/>
                <w:sz w:val="24"/>
                <w:szCs w:val="24"/>
                <w:lang w:eastAsia="zh-CN"/>
              </w:rPr>
              <w:t>。</w:t>
            </w:r>
          </w:p>
          <w:p w14:paraId="607C55C1">
            <w:pPr>
              <w:spacing w:line="360" w:lineRule="auto"/>
              <w:jc w:val="center"/>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表</w:t>
            </w:r>
            <w:r>
              <w:rPr>
                <w:rFonts w:hint="default" w:ascii="Times New Roman" w:hAnsi="Times New Roman" w:cs="Times New Roman"/>
                <w:b/>
                <w:bCs/>
                <w:color w:val="auto"/>
                <w:sz w:val="24"/>
                <w:szCs w:val="24"/>
                <w:lang w:val="en-US" w:eastAsia="zh-CN"/>
              </w:rPr>
              <w:t>2-</w:t>
            </w:r>
            <w:r>
              <w:rPr>
                <w:rFonts w:hint="eastAsia" w:ascii="Times New Roman" w:hAnsi="Times New Roman" w:cs="Times New Roman"/>
                <w:b/>
                <w:bCs/>
                <w:color w:val="auto"/>
                <w:sz w:val="24"/>
                <w:szCs w:val="24"/>
                <w:lang w:val="en-US" w:eastAsia="zh-CN"/>
              </w:rPr>
              <w:t>6</w:t>
            </w:r>
            <w:r>
              <w:rPr>
                <w:rFonts w:hint="default" w:ascii="Times New Roman" w:hAnsi="Times New Roman" w:cs="Times New Roman"/>
                <w:b/>
                <w:bCs/>
                <w:color w:val="auto"/>
                <w:sz w:val="24"/>
                <w:szCs w:val="24"/>
                <w:lang w:eastAsia="zh-CN"/>
              </w:rPr>
              <w:t xml:space="preserve">  项目原辅材料及能耗消耗量一览表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1"/>
              <w:gridCol w:w="1143"/>
              <w:gridCol w:w="2288"/>
              <w:gridCol w:w="1117"/>
              <w:gridCol w:w="1257"/>
              <w:gridCol w:w="2047"/>
            </w:tblGrid>
            <w:tr w14:paraId="41EF1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6" w:type="pct"/>
                  <w:tcBorders>
                    <w:tl2br w:val="nil"/>
                    <w:tr2bl w:val="nil"/>
                  </w:tcBorders>
                  <w:noWrap w:val="0"/>
                  <w:vAlign w:val="center"/>
                </w:tcPr>
                <w:p w14:paraId="2ABE3641">
                  <w:pPr>
                    <w:jc w:val="center"/>
                    <w:rPr>
                      <w:rFonts w:hint="eastAsia" w:ascii="Times New Roman" w:hAnsi="Times New Roman" w:eastAsia="宋体" w:cs="Times New Roman"/>
                      <w:b/>
                      <w:bCs/>
                      <w:sz w:val="21"/>
                      <w:szCs w:val="21"/>
                    </w:rPr>
                  </w:pPr>
                  <w:r>
                    <w:rPr>
                      <w:rFonts w:hint="eastAsia" w:ascii="Times New Roman" w:hAnsi="Times New Roman" w:eastAsia="宋体" w:cs="Times New Roman"/>
                      <w:b/>
                      <w:bCs/>
                      <w:sz w:val="21"/>
                      <w:szCs w:val="21"/>
                    </w:rPr>
                    <w:t>序号</w:t>
                  </w:r>
                </w:p>
              </w:tc>
              <w:tc>
                <w:tcPr>
                  <w:tcW w:w="664" w:type="pct"/>
                  <w:tcBorders>
                    <w:tl2br w:val="nil"/>
                    <w:tr2bl w:val="nil"/>
                  </w:tcBorders>
                  <w:shd w:val="clear" w:color="auto" w:fill="auto"/>
                  <w:noWrap w:val="0"/>
                  <w:vAlign w:val="center"/>
                </w:tcPr>
                <w:p w14:paraId="03562D86">
                  <w:pPr>
                    <w:keepNext w:val="0"/>
                    <w:keepLines w:val="0"/>
                    <w:pageBreakBefore w:val="0"/>
                    <w:widowControl/>
                    <w:kinsoku/>
                    <w:wordWrap/>
                    <w:overflowPunct/>
                    <w:topLinePunct w:val="0"/>
                    <w:autoSpaceDE/>
                    <w:autoSpaceDN/>
                    <w:bidi w:val="0"/>
                    <w:ind w:left="0" w:leftChars="0" w:right="0" w:rightChars="0" w:firstLine="0" w:firstLineChars="0"/>
                    <w:jc w:val="center"/>
                    <w:rPr>
                      <w:rFonts w:hint="eastAsia" w:ascii="Times New Roman" w:hAnsi="Times New Roman" w:eastAsia="宋体" w:cs="Times New Roman"/>
                      <w:b/>
                      <w:bCs/>
                      <w:color w:val="auto"/>
                      <w:kern w:val="0"/>
                      <w:sz w:val="21"/>
                      <w:szCs w:val="21"/>
                      <w:lang w:val="en-US" w:eastAsia="en-US" w:bidi="ar-SA"/>
                    </w:rPr>
                  </w:pPr>
                  <w:r>
                    <w:rPr>
                      <w:b/>
                      <w:bCs/>
                      <w:color w:val="auto"/>
                      <w:kern w:val="0"/>
                      <w:sz w:val="21"/>
                      <w:szCs w:val="21"/>
                    </w:rPr>
                    <w:t>名称</w:t>
                  </w:r>
                </w:p>
              </w:tc>
              <w:tc>
                <w:tcPr>
                  <w:tcW w:w="1329" w:type="pct"/>
                  <w:tcBorders>
                    <w:tl2br w:val="nil"/>
                    <w:tr2bl w:val="nil"/>
                  </w:tcBorders>
                  <w:shd w:val="clear" w:color="auto" w:fill="auto"/>
                  <w:noWrap w:val="0"/>
                  <w:vAlign w:val="center"/>
                </w:tcPr>
                <w:p w14:paraId="459E858E">
                  <w:pPr>
                    <w:keepNext w:val="0"/>
                    <w:keepLines w:val="0"/>
                    <w:pageBreakBefore w:val="0"/>
                    <w:widowControl/>
                    <w:kinsoku/>
                    <w:wordWrap/>
                    <w:overflowPunct/>
                    <w:topLinePunct w:val="0"/>
                    <w:autoSpaceDE/>
                    <w:autoSpaceDN/>
                    <w:bidi w:val="0"/>
                    <w:ind w:left="0" w:leftChars="0" w:right="0" w:rightChars="0" w:firstLine="0" w:firstLineChars="0"/>
                    <w:jc w:val="center"/>
                    <w:rPr>
                      <w:rFonts w:hint="eastAsia" w:ascii="Times New Roman" w:hAnsi="Times New Roman" w:eastAsia="宋体" w:cs="Times New Roman"/>
                      <w:b/>
                      <w:bCs/>
                      <w:color w:val="auto"/>
                      <w:kern w:val="0"/>
                      <w:sz w:val="21"/>
                      <w:szCs w:val="21"/>
                      <w:lang w:val="en-US" w:eastAsia="zh-CN" w:bidi="ar-SA"/>
                    </w:rPr>
                  </w:pPr>
                  <w:r>
                    <w:rPr>
                      <w:b/>
                      <w:bCs/>
                      <w:color w:val="auto"/>
                      <w:kern w:val="0"/>
                      <w:sz w:val="21"/>
                      <w:szCs w:val="21"/>
                    </w:rPr>
                    <w:t>年用量</w:t>
                  </w:r>
                  <w:r>
                    <w:rPr>
                      <w:rFonts w:hint="eastAsia"/>
                      <w:b/>
                      <w:bCs/>
                      <w:color w:val="auto"/>
                      <w:kern w:val="0"/>
                      <w:sz w:val="21"/>
                      <w:szCs w:val="21"/>
                      <w:lang w:val="en-US" w:eastAsia="zh-CN"/>
                    </w:rPr>
                    <w:t>t/a</w:t>
                  </w:r>
                </w:p>
              </w:tc>
              <w:tc>
                <w:tcPr>
                  <w:tcW w:w="649" w:type="pct"/>
                  <w:tcBorders>
                    <w:tl2br w:val="nil"/>
                    <w:tr2bl w:val="nil"/>
                  </w:tcBorders>
                  <w:shd w:val="clear" w:color="auto" w:fill="auto"/>
                  <w:noWrap w:val="0"/>
                  <w:vAlign w:val="center"/>
                </w:tcPr>
                <w:p w14:paraId="18E23BBA">
                  <w:pPr>
                    <w:keepNext w:val="0"/>
                    <w:keepLines w:val="0"/>
                    <w:pageBreakBefore w:val="0"/>
                    <w:widowControl/>
                    <w:kinsoku/>
                    <w:wordWrap/>
                    <w:overflowPunct/>
                    <w:topLinePunct w:val="0"/>
                    <w:autoSpaceDE/>
                    <w:autoSpaceDN/>
                    <w:bidi w:val="0"/>
                    <w:ind w:left="0" w:leftChars="0" w:right="0" w:rightChars="0" w:firstLine="0" w:firstLineChars="0"/>
                    <w:jc w:val="center"/>
                    <w:rPr>
                      <w:rFonts w:hint="eastAsia" w:ascii="Times New Roman" w:hAnsi="Times New Roman" w:eastAsia="宋体" w:cs="Times New Roman"/>
                      <w:b/>
                      <w:bCs/>
                      <w:color w:val="auto"/>
                      <w:kern w:val="0"/>
                      <w:sz w:val="21"/>
                      <w:szCs w:val="21"/>
                      <w:lang w:val="en-US" w:eastAsia="en-US" w:bidi="ar-SA"/>
                    </w:rPr>
                  </w:pPr>
                  <w:r>
                    <w:rPr>
                      <w:b/>
                      <w:bCs/>
                      <w:color w:val="auto"/>
                      <w:kern w:val="0"/>
                      <w:sz w:val="21"/>
                      <w:szCs w:val="21"/>
                    </w:rPr>
                    <w:t>最大暂存量</w:t>
                  </w:r>
                  <w:r>
                    <w:rPr>
                      <w:rFonts w:hint="eastAsia"/>
                      <w:b/>
                      <w:bCs/>
                      <w:color w:val="auto"/>
                      <w:kern w:val="0"/>
                      <w:sz w:val="21"/>
                      <w:szCs w:val="21"/>
                      <w:lang w:val="en-US" w:eastAsia="zh-CN"/>
                    </w:rPr>
                    <w:t>t</w:t>
                  </w:r>
                </w:p>
              </w:tc>
              <w:tc>
                <w:tcPr>
                  <w:tcW w:w="730" w:type="pct"/>
                  <w:tcBorders>
                    <w:tl2br w:val="nil"/>
                    <w:tr2bl w:val="nil"/>
                  </w:tcBorders>
                  <w:shd w:val="clear" w:color="auto" w:fill="auto"/>
                  <w:noWrap w:val="0"/>
                  <w:vAlign w:val="center"/>
                </w:tcPr>
                <w:p w14:paraId="2EAE8C6F">
                  <w:pPr>
                    <w:keepNext w:val="0"/>
                    <w:keepLines w:val="0"/>
                    <w:pageBreakBefore w:val="0"/>
                    <w:widowControl/>
                    <w:kinsoku/>
                    <w:wordWrap/>
                    <w:overflowPunct/>
                    <w:topLinePunct w:val="0"/>
                    <w:autoSpaceDE/>
                    <w:autoSpaceDN/>
                    <w:bidi w:val="0"/>
                    <w:ind w:left="0" w:leftChars="0" w:right="0" w:rightChars="0" w:firstLine="0" w:firstLineChars="0"/>
                    <w:jc w:val="center"/>
                    <w:rPr>
                      <w:rFonts w:hint="eastAsia" w:ascii="Times New Roman" w:hAnsi="Times New Roman" w:eastAsia="宋体" w:cs="Times New Roman"/>
                      <w:b/>
                      <w:bCs/>
                      <w:color w:val="auto"/>
                      <w:kern w:val="0"/>
                      <w:sz w:val="21"/>
                      <w:szCs w:val="21"/>
                      <w:lang w:val="en-US" w:eastAsia="en-US" w:bidi="ar-SA"/>
                    </w:rPr>
                  </w:pPr>
                  <w:r>
                    <w:rPr>
                      <w:b/>
                      <w:bCs/>
                      <w:color w:val="auto"/>
                      <w:kern w:val="0"/>
                      <w:sz w:val="21"/>
                      <w:szCs w:val="21"/>
                    </w:rPr>
                    <w:t>包装</w:t>
                  </w:r>
                  <w:r>
                    <w:rPr>
                      <w:rFonts w:hint="eastAsia"/>
                      <w:b/>
                      <w:bCs/>
                      <w:color w:val="auto"/>
                      <w:kern w:val="0"/>
                      <w:sz w:val="21"/>
                      <w:szCs w:val="21"/>
                    </w:rPr>
                    <w:t>/储存</w:t>
                  </w:r>
                  <w:r>
                    <w:rPr>
                      <w:b/>
                      <w:bCs/>
                      <w:color w:val="auto"/>
                      <w:kern w:val="0"/>
                      <w:sz w:val="21"/>
                      <w:szCs w:val="21"/>
                    </w:rPr>
                    <w:t>方式</w:t>
                  </w:r>
                </w:p>
              </w:tc>
              <w:tc>
                <w:tcPr>
                  <w:tcW w:w="1189" w:type="pct"/>
                  <w:tcBorders>
                    <w:tl2br w:val="nil"/>
                    <w:tr2bl w:val="nil"/>
                  </w:tcBorders>
                  <w:shd w:val="clear" w:color="auto" w:fill="auto"/>
                  <w:noWrap w:val="0"/>
                  <w:vAlign w:val="center"/>
                </w:tcPr>
                <w:p w14:paraId="4563D393">
                  <w:pPr>
                    <w:keepNext w:val="0"/>
                    <w:keepLines w:val="0"/>
                    <w:pageBreakBefore w:val="0"/>
                    <w:widowControl/>
                    <w:kinsoku/>
                    <w:wordWrap/>
                    <w:overflowPunct/>
                    <w:topLinePunct w:val="0"/>
                    <w:autoSpaceDE/>
                    <w:autoSpaceDN/>
                    <w:bidi w:val="0"/>
                    <w:ind w:left="0" w:leftChars="0" w:right="0" w:rightChars="0" w:firstLine="0" w:firstLineChars="0"/>
                    <w:jc w:val="center"/>
                    <w:rPr>
                      <w:rFonts w:hint="eastAsia" w:ascii="Times New Roman" w:hAnsi="Times New Roman" w:eastAsia="宋体" w:cs="Times New Roman"/>
                      <w:b/>
                      <w:bCs/>
                      <w:color w:val="auto"/>
                      <w:kern w:val="0"/>
                      <w:sz w:val="21"/>
                      <w:szCs w:val="21"/>
                      <w:lang w:val="en-US" w:eastAsia="en-US" w:bidi="ar-SA"/>
                    </w:rPr>
                  </w:pPr>
                  <w:r>
                    <w:rPr>
                      <w:b/>
                      <w:bCs/>
                      <w:color w:val="auto"/>
                      <w:kern w:val="0"/>
                      <w:sz w:val="21"/>
                      <w:szCs w:val="21"/>
                    </w:rPr>
                    <w:t>备注</w:t>
                  </w:r>
                </w:p>
              </w:tc>
            </w:tr>
            <w:tr w14:paraId="742A4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6" w:type="pct"/>
                  <w:tcBorders>
                    <w:tl2br w:val="nil"/>
                    <w:tr2bl w:val="nil"/>
                  </w:tcBorders>
                  <w:noWrap w:val="0"/>
                  <w:vAlign w:val="center"/>
                </w:tcPr>
                <w:p w14:paraId="0B02805E">
                  <w:pPr>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1</w:t>
                  </w:r>
                </w:p>
              </w:tc>
              <w:tc>
                <w:tcPr>
                  <w:tcW w:w="664" w:type="pct"/>
                  <w:tcBorders>
                    <w:tl2br w:val="nil"/>
                    <w:tr2bl w:val="nil"/>
                  </w:tcBorders>
                  <w:noWrap w:val="0"/>
                  <w:vAlign w:val="center"/>
                </w:tcPr>
                <w:p w14:paraId="722499DC">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聚丙烯</w:t>
                  </w:r>
                </w:p>
              </w:tc>
              <w:tc>
                <w:tcPr>
                  <w:tcW w:w="1329" w:type="pct"/>
                  <w:tcBorders>
                    <w:tl2br w:val="nil"/>
                    <w:tr2bl w:val="nil"/>
                  </w:tcBorders>
                  <w:shd w:val="clear" w:color="auto" w:fill="auto"/>
                  <w:noWrap w:val="0"/>
                  <w:vAlign w:val="center"/>
                </w:tcPr>
                <w:p w14:paraId="75B76520">
                  <w:pPr>
                    <w:jc w:val="center"/>
                    <w:rPr>
                      <w:rFonts w:hint="eastAsia"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rPr>
                    <w:t>6</w:t>
                  </w:r>
                  <w:r>
                    <w:rPr>
                      <w:rFonts w:hint="eastAsia" w:ascii="Times New Roman" w:hAnsi="Times New Roman" w:eastAsia="宋体" w:cs="Times New Roman"/>
                      <w:color w:val="auto"/>
                      <w:sz w:val="21"/>
                      <w:szCs w:val="21"/>
                      <w:lang w:val="en-US" w:eastAsia="zh-CN"/>
                    </w:rPr>
                    <w:t>000</w:t>
                  </w:r>
                </w:p>
              </w:tc>
              <w:tc>
                <w:tcPr>
                  <w:tcW w:w="649" w:type="pct"/>
                  <w:tcBorders>
                    <w:tl2br w:val="nil"/>
                    <w:tr2bl w:val="nil"/>
                  </w:tcBorders>
                  <w:noWrap w:val="0"/>
                  <w:vAlign w:val="center"/>
                </w:tcPr>
                <w:p w14:paraId="1918B1FB">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200</w:t>
                  </w:r>
                </w:p>
              </w:tc>
              <w:tc>
                <w:tcPr>
                  <w:tcW w:w="730" w:type="pct"/>
                  <w:tcBorders>
                    <w:tl2br w:val="nil"/>
                    <w:tr2bl w:val="nil"/>
                  </w:tcBorders>
                  <w:noWrap w:val="0"/>
                  <w:vAlign w:val="center"/>
                </w:tcPr>
                <w:p w14:paraId="5E530951">
                  <w:pPr>
                    <w:jc w:val="center"/>
                    <w:rPr>
                      <w:rFonts w:hint="eastAsia" w:ascii="Times New Roman" w:hAnsi="Times New Roman" w:eastAsia="宋体" w:cs="Times New Roman"/>
                      <w:color w:val="auto"/>
                      <w:sz w:val="21"/>
                      <w:szCs w:val="21"/>
                      <w:lang w:eastAsia="zh-CN"/>
                    </w:rPr>
                  </w:pPr>
                  <w:r>
                    <w:rPr>
                      <w:rFonts w:hint="eastAsia"/>
                      <w:b w:val="0"/>
                      <w:bCs w:val="0"/>
                      <w:color w:val="auto"/>
                      <w:kern w:val="0"/>
                      <w:sz w:val="21"/>
                      <w:szCs w:val="21"/>
                      <w:lang w:val="en-US" w:eastAsia="zh-CN"/>
                    </w:rPr>
                    <w:t>袋装；仓库</w:t>
                  </w:r>
                </w:p>
              </w:tc>
              <w:tc>
                <w:tcPr>
                  <w:tcW w:w="1189" w:type="pct"/>
                  <w:tcBorders>
                    <w:tl2br w:val="nil"/>
                    <w:tr2bl w:val="nil"/>
                  </w:tcBorders>
                  <w:noWrap w:val="0"/>
                  <w:vAlign w:val="center"/>
                </w:tcPr>
                <w:p w14:paraId="34C138D5">
                  <w:pPr>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外购，新料</w:t>
                  </w:r>
                </w:p>
              </w:tc>
            </w:tr>
            <w:tr w14:paraId="28A49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6" w:type="pct"/>
                  <w:tcBorders>
                    <w:tl2br w:val="nil"/>
                    <w:tr2bl w:val="nil"/>
                  </w:tcBorders>
                  <w:noWrap w:val="0"/>
                  <w:vAlign w:val="center"/>
                </w:tcPr>
                <w:p w14:paraId="028ABA54">
                  <w:pPr>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2</w:t>
                  </w:r>
                </w:p>
              </w:tc>
              <w:tc>
                <w:tcPr>
                  <w:tcW w:w="664" w:type="pct"/>
                  <w:tcBorders>
                    <w:tl2br w:val="nil"/>
                    <w:tr2bl w:val="nil"/>
                  </w:tcBorders>
                  <w:shd w:val="clear" w:color="auto" w:fill="auto"/>
                  <w:noWrap w:val="0"/>
                  <w:vAlign w:val="center"/>
                </w:tcPr>
                <w:p w14:paraId="6DF90AAE">
                  <w:pPr>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pp色母</w:t>
                  </w:r>
                </w:p>
              </w:tc>
              <w:tc>
                <w:tcPr>
                  <w:tcW w:w="1329" w:type="pct"/>
                  <w:tcBorders>
                    <w:tl2br w:val="nil"/>
                    <w:tr2bl w:val="nil"/>
                  </w:tcBorders>
                  <w:shd w:val="clear" w:color="auto" w:fill="auto"/>
                  <w:noWrap w:val="0"/>
                  <w:vAlign w:val="center"/>
                </w:tcPr>
                <w:p w14:paraId="11B203E3">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22.33</w:t>
                  </w:r>
                </w:p>
              </w:tc>
              <w:tc>
                <w:tcPr>
                  <w:tcW w:w="649" w:type="pct"/>
                  <w:tcBorders>
                    <w:tl2br w:val="nil"/>
                    <w:tr2bl w:val="nil"/>
                  </w:tcBorders>
                  <w:shd w:val="clear" w:color="auto" w:fill="auto"/>
                  <w:noWrap w:val="0"/>
                  <w:vAlign w:val="center"/>
                </w:tcPr>
                <w:p w14:paraId="78896B54">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10</w:t>
                  </w:r>
                </w:p>
              </w:tc>
              <w:tc>
                <w:tcPr>
                  <w:tcW w:w="730" w:type="pct"/>
                  <w:tcBorders>
                    <w:tl2br w:val="nil"/>
                    <w:tr2bl w:val="nil"/>
                  </w:tcBorders>
                  <w:shd w:val="clear" w:color="auto" w:fill="auto"/>
                  <w:noWrap w:val="0"/>
                  <w:vAlign w:val="center"/>
                </w:tcPr>
                <w:p w14:paraId="5714F85E">
                  <w:pPr>
                    <w:jc w:val="center"/>
                    <w:rPr>
                      <w:rFonts w:hint="eastAsia" w:ascii="Times New Roman" w:hAnsi="Times New Roman" w:eastAsia="宋体" w:cs="Times New Roman"/>
                      <w:color w:val="auto"/>
                      <w:sz w:val="21"/>
                      <w:szCs w:val="21"/>
                      <w:lang w:val="en-US" w:eastAsia="zh-CN" w:bidi="ar-SA"/>
                    </w:rPr>
                  </w:pPr>
                  <w:r>
                    <w:rPr>
                      <w:rFonts w:hint="eastAsia"/>
                      <w:b w:val="0"/>
                      <w:bCs w:val="0"/>
                      <w:color w:val="auto"/>
                      <w:kern w:val="0"/>
                      <w:sz w:val="21"/>
                      <w:szCs w:val="21"/>
                      <w:lang w:val="en-US" w:eastAsia="zh-CN"/>
                    </w:rPr>
                    <w:t>袋装；仓库</w:t>
                  </w:r>
                </w:p>
              </w:tc>
              <w:tc>
                <w:tcPr>
                  <w:tcW w:w="1189" w:type="pct"/>
                  <w:tcBorders>
                    <w:tl2br w:val="nil"/>
                    <w:tr2bl w:val="nil"/>
                  </w:tcBorders>
                  <w:shd w:val="clear" w:color="auto" w:fill="auto"/>
                  <w:noWrap w:val="0"/>
                  <w:vAlign w:val="center"/>
                </w:tcPr>
                <w:p w14:paraId="3DA85479">
                  <w:pPr>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外购，新料</w:t>
                  </w:r>
                </w:p>
              </w:tc>
            </w:tr>
            <w:tr w14:paraId="06050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6" w:type="pct"/>
                  <w:tcBorders>
                    <w:tl2br w:val="nil"/>
                    <w:tr2bl w:val="nil"/>
                  </w:tcBorders>
                  <w:noWrap w:val="0"/>
                  <w:vAlign w:val="center"/>
                </w:tcPr>
                <w:p w14:paraId="06C4DCCA">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p>
              </w:tc>
              <w:tc>
                <w:tcPr>
                  <w:tcW w:w="664" w:type="pct"/>
                  <w:tcBorders>
                    <w:tl2br w:val="nil"/>
                    <w:tr2bl w:val="nil"/>
                  </w:tcBorders>
                  <w:shd w:val="clear" w:color="auto" w:fill="auto"/>
                  <w:noWrap w:val="0"/>
                  <w:vAlign w:val="center"/>
                </w:tcPr>
                <w:p w14:paraId="04AD2E6D">
                  <w:pPr>
                    <w:keepNext w:val="0"/>
                    <w:keepLines w:val="0"/>
                    <w:pageBreakBefore w:val="0"/>
                    <w:tabs>
                      <w:tab w:val="left" w:pos="3225"/>
                    </w:tabs>
                    <w:kinsoku/>
                    <w:wordWrap/>
                    <w:overflowPunct/>
                    <w:topLinePunct w:val="0"/>
                    <w:autoSpaceDE/>
                    <w:autoSpaceDN/>
                    <w:bidi w:val="0"/>
                    <w:adjustRightInd w:val="0"/>
                    <w:snapToGrid w:val="0"/>
                    <w:ind w:left="0" w:leftChars="0" w:right="0" w:rightChars="0" w:firstLine="0" w:firstLineChars="0"/>
                    <w:jc w:val="center"/>
                    <w:rPr>
                      <w:rFonts w:hint="eastAsia" w:ascii="Times New Roman" w:hAnsi="Times New Roman" w:eastAsia="宋体" w:cs="Times New Roman"/>
                      <w:b w:val="0"/>
                      <w:bCs w:val="0"/>
                      <w:color w:val="auto"/>
                      <w:kern w:val="0"/>
                      <w:sz w:val="21"/>
                      <w:szCs w:val="21"/>
                      <w:lang w:val="en-US" w:eastAsia="zh-CN" w:bidi="ar-SA"/>
                    </w:rPr>
                  </w:pPr>
                  <w:r>
                    <w:rPr>
                      <w:rFonts w:hint="eastAsia" w:ascii="Times New Roman" w:hAnsi="Times New Roman"/>
                      <w:b w:val="0"/>
                      <w:bCs w:val="0"/>
                      <w:color w:val="auto"/>
                      <w:kern w:val="0"/>
                      <w:sz w:val="21"/>
                      <w:szCs w:val="21"/>
                      <w:lang w:eastAsia="zh-CN"/>
                    </w:rPr>
                    <w:t>润滑油</w:t>
                  </w:r>
                </w:p>
              </w:tc>
              <w:tc>
                <w:tcPr>
                  <w:tcW w:w="1329" w:type="pct"/>
                  <w:tcBorders>
                    <w:tl2br w:val="nil"/>
                    <w:tr2bl w:val="nil"/>
                  </w:tcBorders>
                  <w:shd w:val="clear" w:color="auto" w:fill="auto"/>
                  <w:noWrap w:val="0"/>
                  <w:vAlign w:val="center"/>
                </w:tcPr>
                <w:p w14:paraId="669F43B0">
                  <w:pPr>
                    <w:keepNext w:val="0"/>
                    <w:keepLines w:val="0"/>
                    <w:pageBreakBefore w:val="0"/>
                    <w:tabs>
                      <w:tab w:val="left" w:pos="3225"/>
                    </w:tabs>
                    <w:kinsoku/>
                    <w:wordWrap/>
                    <w:overflowPunct/>
                    <w:topLinePunct w:val="0"/>
                    <w:autoSpaceDE/>
                    <w:autoSpaceDN/>
                    <w:bidi w:val="0"/>
                    <w:adjustRightInd w:val="0"/>
                    <w:snapToGrid w:val="0"/>
                    <w:ind w:left="0" w:leftChars="0" w:right="0" w:rightChars="0" w:firstLine="0" w:firstLineChars="0"/>
                    <w:jc w:val="center"/>
                    <w:rPr>
                      <w:rFonts w:hint="eastAsia" w:ascii="Times New Roman" w:hAnsi="Times New Roman" w:eastAsia="宋体" w:cs="Times New Roman"/>
                      <w:b w:val="0"/>
                      <w:bCs w:val="0"/>
                      <w:color w:val="auto"/>
                      <w:kern w:val="0"/>
                      <w:sz w:val="21"/>
                      <w:szCs w:val="21"/>
                      <w:lang w:val="en-US" w:eastAsia="zh-CN" w:bidi="ar-SA"/>
                    </w:rPr>
                  </w:pPr>
                  <w:r>
                    <w:rPr>
                      <w:rFonts w:hint="eastAsia"/>
                      <w:b w:val="0"/>
                      <w:bCs w:val="0"/>
                      <w:color w:val="auto"/>
                      <w:kern w:val="0"/>
                      <w:sz w:val="21"/>
                      <w:szCs w:val="21"/>
                      <w:lang w:val="en-US" w:eastAsia="zh-CN"/>
                    </w:rPr>
                    <w:t>0.3</w:t>
                  </w:r>
                </w:p>
              </w:tc>
              <w:tc>
                <w:tcPr>
                  <w:tcW w:w="649" w:type="pct"/>
                  <w:tcBorders>
                    <w:tl2br w:val="nil"/>
                    <w:tr2bl w:val="nil"/>
                  </w:tcBorders>
                  <w:shd w:val="clear" w:color="auto" w:fill="auto"/>
                  <w:noWrap w:val="0"/>
                  <w:vAlign w:val="center"/>
                </w:tcPr>
                <w:p w14:paraId="71F0CEAB">
                  <w:pPr>
                    <w:keepNext w:val="0"/>
                    <w:keepLines w:val="0"/>
                    <w:pageBreakBefore w:val="0"/>
                    <w:widowControl/>
                    <w:kinsoku/>
                    <w:wordWrap/>
                    <w:overflowPunct/>
                    <w:topLinePunct w:val="0"/>
                    <w:autoSpaceDE/>
                    <w:autoSpaceDN/>
                    <w:bidi w:val="0"/>
                    <w:ind w:left="0" w:leftChars="0" w:right="0" w:rightChars="0" w:firstLine="0" w:firstLineChars="0"/>
                    <w:jc w:val="center"/>
                    <w:rPr>
                      <w:rFonts w:hint="default" w:ascii="Times New Roman" w:hAnsi="Times New Roman" w:eastAsia="宋体" w:cs="Times New Roman"/>
                      <w:b w:val="0"/>
                      <w:bCs w:val="0"/>
                      <w:color w:val="auto"/>
                      <w:kern w:val="0"/>
                      <w:sz w:val="21"/>
                      <w:szCs w:val="21"/>
                      <w:lang w:val="en-US" w:eastAsia="zh-CN" w:bidi="ar-SA"/>
                    </w:rPr>
                  </w:pPr>
                  <w:r>
                    <w:rPr>
                      <w:rFonts w:hint="eastAsia"/>
                      <w:b w:val="0"/>
                      <w:bCs w:val="0"/>
                      <w:color w:val="auto"/>
                      <w:kern w:val="0"/>
                      <w:sz w:val="21"/>
                      <w:szCs w:val="21"/>
                      <w:lang w:val="en-US" w:eastAsia="zh-CN"/>
                    </w:rPr>
                    <w:t>0.1</w:t>
                  </w:r>
                </w:p>
              </w:tc>
              <w:tc>
                <w:tcPr>
                  <w:tcW w:w="730" w:type="pct"/>
                  <w:tcBorders>
                    <w:tl2br w:val="nil"/>
                    <w:tr2bl w:val="nil"/>
                  </w:tcBorders>
                  <w:shd w:val="clear" w:color="auto" w:fill="auto"/>
                  <w:noWrap w:val="0"/>
                  <w:vAlign w:val="center"/>
                </w:tcPr>
                <w:p w14:paraId="668D1A1A">
                  <w:pPr>
                    <w:keepNext w:val="0"/>
                    <w:keepLines w:val="0"/>
                    <w:pageBreakBefore w:val="0"/>
                    <w:widowControl/>
                    <w:kinsoku/>
                    <w:wordWrap/>
                    <w:overflowPunct/>
                    <w:topLinePunct w:val="0"/>
                    <w:autoSpaceDE/>
                    <w:autoSpaceDN/>
                    <w:bidi w:val="0"/>
                    <w:adjustRightInd/>
                    <w:snapToGrid/>
                    <w:ind w:left="-120" w:leftChars="-50" w:right="-120" w:rightChars="-50" w:firstLine="0" w:firstLineChars="0"/>
                    <w:jc w:val="center"/>
                    <w:textAlignment w:val="auto"/>
                    <w:rPr>
                      <w:rFonts w:hint="eastAsia" w:ascii="Times New Roman" w:hAnsi="Times New Roman" w:eastAsia="宋体" w:cs="Times New Roman"/>
                      <w:b w:val="0"/>
                      <w:bCs w:val="0"/>
                      <w:color w:val="auto"/>
                      <w:kern w:val="0"/>
                      <w:sz w:val="21"/>
                      <w:szCs w:val="21"/>
                      <w:lang w:val="en-US" w:eastAsia="zh-CN" w:bidi="ar-SA"/>
                    </w:rPr>
                  </w:pPr>
                  <w:r>
                    <w:rPr>
                      <w:rFonts w:hint="eastAsia"/>
                      <w:b w:val="0"/>
                      <w:bCs w:val="0"/>
                      <w:color w:val="auto"/>
                      <w:kern w:val="0"/>
                      <w:sz w:val="21"/>
                      <w:szCs w:val="21"/>
                      <w:lang w:val="en-US" w:eastAsia="zh-CN"/>
                    </w:rPr>
                    <w:t>桶装</w:t>
                  </w:r>
                  <w:r>
                    <w:rPr>
                      <w:rFonts w:hint="eastAsia"/>
                      <w:b w:val="0"/>
                      <w:bCs w:val="0"/>
                      <w:color w:val="auto"/>
                      <w:kern w:val="0"/>
                      <w:sz w:val="21"/>
                      <w:szCs w:val="21"/>
                      <w:lang w:eastAsia="zh-CN"/>
                    </w:rPr>
                    <w:t>；</w:t>
                  </w:r>
                  <w:r>
                    <w:rPr>
                      <w:rFonts w:hint="eastAsia"/>
                      <w:b w:val="0"/>
                      <w:bCs w:val="0"/>
                      <w:color w:val="auto"/>
                      <w:kern w:val="0"/>
                      <w:sz w:val="21"/>
                      <w:szCs w:val="21"/>
                      <w:lang w:val="en-US" w:eastAsia="zh-CN"/>
                    </w:rPr>
                    <w:t>仓库</w:t>
                  </w:r>
                </w:p>
              </w:tc>
              <w:tc>
                <w:tcPr>
                  <w:tcW w:w="1189" w:type="pct"/>
                  <w:tcBorders>
                    <w:tl2br w:val="nil"/>
                    <w:tr2bl w:val="nil"/>
                  </w:tcBorders>
                  <w:shd w:val="clear" w:color="auto" w:fill="auto"/>
                  <w:noWrap w:val="0"/>
                  <w:vAlign w:val="center"/>
                </w:tcPr>
                <w:p w14:paraId="26F3E5CA">
                  <w:pPr>
                    <w:keepNext w:val="0"/>
                    <w:keepLines w:val="0"/>
                    <w:pageBreakBefore w:val="0"/>
                    <w:widowControl/>
                    <w:kinsoku/>
                    <w:wordWrap/>
                    <w:overflowPunct/>
                    <w:topLinePunct w:val="0"/>
                    <w:autoSpaceDE/>
                    <w:autoSpaceDN/>
                    <w:bidi w:val="0"/>
                    <w:ind w:left="0" w:leftChars="0" w:right="0" w:rightChars="0" w:firstLine="0" w:firstLineChars="0"/>
                    <w:jc w:val="center"/>
                    <w:rPr>
                      <w:rFonts w:hint="eastAsia" w:ascii="Times New Roman" w:hAnsi="Times New Roman" w:eastAsia="宋体" w:cs="Times New Roman"/>
                      <w:b w:val="0"/>
                      <w:bCs w:val="0"/>
                      <w:color w:val="auto"/>
                      <w:kern w:val="0"/>
                      <w:sz w:val="21"/>
                      <w:szCs w:val="21"/>
                      <w:lang w:val="en-US" w:eastAsia="zh-CN" w:bidi="ar-SA"/>
                    </w:rPr>
                  </w:pPr>
                  <w:r>
                    <w:rPr>
                      <w:rFonts w:hint="eastAsia" w:eastAsia="宋体"/>
                      <w:b w:val="0"/>
                      <w:bCs w:val="0"/>
                      <w:color w:val="auto"/>
                      <w:kern w:val="0"/>
                      <w:sz w:val="21"/>
                      <w:szCs w:val="21"/>
                      <w:lang w:val="en-US" w:eastAsia="zh-CN"/>
                    </w:rPr>
                    <w:t>外购</w:t>
                  </w:r>
                </w:p>
              </w:tc>
            </w:tr>
            <w:tr w14:paraId="77B76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6" w:type="pct"/>
                  <w:tcBorders>
                    <w:tl2br w:val="nil"/>
                    <w:tr2bl w:val="nil"/>
                  </w:tcBorders>
                  <w:noWrap w:val="0"/>
                  <w:vAlign w:val="center"/>
                </w:tcPr>
                <w:p w14:paraId="5ACB3BB9">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p>
              </w:tc>
              <w:tc>
                <w:tcPr>
                  <w:tcW w:w="664" w:type="pct"/>
                  <w:tcBorders>
                    <w:tl2br w:val="nil"/>
                    <w:tr2bl w:val="nil"/>
                  </w:tcBorders>
                  <w:shd w:val="clear" w:color="auto" w:fill="auto"/>
                  <w:noWrap w:val="0"/>
                  <w:vAlign w:val="center"/>
                </w:tcPr>
                <w:p w14:paraId="08B4E751">
                  <w:pPr>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eastAsia="zh-CN"/>
                    </w:rPr>
                    <w:t>供水</w:t>
                  </w:r>
                </w:p>
              </w:tc>
              <w:tc>
                <w:tcPr>
                  <w:tcW w:w="1329" w:type="pct"/>
                  <w:tcBorders>
                    <w:tl2br w:val="nil"/>
                    <w:tr2bl w:val="nil"/>
                  </w:tcBorders>
                  <w:shd w:val="clear" w:color="auto" w:fill="auto"/>
                  <w:noWrap w:val="0"/>
                  <w:vAlign w:val="center"/>
                </w:tcPr>
                <w:p w14:paraId="7BF5BCCB">
                  <w:pPr>
                    <w:jc w:val="center"/>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rPr>
                    <w:t>900</w:t>
                  </w:r>
                </w:p>
              </w:tc>
              <w:tc>
                <w:tcPr>
                  <w:tcW w:w="649" w:type="pct"/>
                  <w:tcBorders>
                    <w:tl2br w:val="nil"/>
                    <w:tr2bl w:val="nil"/>
                  </w:tcBorders>
                  <w:shd w:val="clear" w:color="auto" w:fill="auto"/>
                  <w:noWrap w:val="0"/>
                  <w:vAlign w:val="center"/>
                </w:tcPr>
                <w:p w14:paraId="3BD7F578">
                  <w:pPr>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bidi="ar-SA"/>
                    </w:rPr>
                    <w:t>/</w:t>
                  </w:r>
                </w:p>
              </w:tc>
              <w:tc>
                <w:tcPr>
                  <w:tcW w:w="730" w:type="pct"/>
                  <w:tcBorders>
                    <w:tl2br w:val="nil"/>
                    <w:tr2bl w:val="nil"/>
                  </w:tcBorders>
                  <w:shd w:val="clear" w:color="auto" w:fill="auto"/>
                  <w:noWrap w:val="0"/>
                  <w:vAlign w:val="center"/>
                </w:tcPr>
                <w:p w14:paraId="1BCD8CD9">
                  <w:pPr>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bidi="ar-SA"/>
                    </w:rPr>
                    <w:t>/</w:t>
                  </w:r>
                </w:p>
              </w:tc>
              <w:tc>
                <w:tcPr>
                  <w:tcW w:w="1189" w:type="pct"/>
                  <w:tcBorders>
                    <w:tl2br w:val="nil"/>
                    <w:tr2bl w:val="nil"/>
                  </w:tcBorders>
                  <w:shd w:val="clear" w:color="auto" w:fill="auto"/>
                  <w:noWrap w:val="0"/>
                  <w:vAlign w:val="center"/>
                </w:tcPr>
                <w:p w14:paraId="6799DC7D">
                  <w:pPr>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市</w:t>
                  </w:r>
                  <w:r>
                    <w:rPr>
                      <w:rFonts w:hint="eastAsia" w:cs="Times New Roman"/>
                      <w:color w:val="auto"/>
                      <w:sz w:val="21"/>
                      <w:szCs w:val="21"/>
                      <w:highlight w:val="none"/>
                      <w:lang w:val="en-US" w:eastAsia="zh-CN"/>
                    </w:rPr>
                    <w:t>政</w:t>
                  </w:r>
                  <w:r>
                    <w:rPr>
                      <w:rFonts w:hint="eastAsia" w:ascii="Times New Roman" w:hAnsi="Times New Roman" w:eastAsia="宋体" w:cs="Times New Roman"/>
                      <w:color w:val="auto"/>
                      <w:sz w:val="21"/>
                      <w:szCs w:val="21"/>
                      <w:highlight w:val="none"/>
                      <w:lang w:val="en-US" w:eastAsia="zh-CN"/>
                    </w:rPr>
                    <w:t>供水</w:t>
                  </w:r>
                </w:p>
              </w:tc>
            </w:tr>
            <w:tr w14:paraId="7729A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6" w:type="pct"/>
                  <w:tcBorders>
                    <w:tl2br w:val="nil"/>
                    <w:tr2bl w:val="nil"/>
                  </w:tcBorders>
                  <w:noWrap w:val="0"/>
                  <w:vAlign w:val="center"/>
                </w:tcPr>
                <w:p w14:paraId="016FD0D3">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w:t>
                  </w:r>
                </w:p>
              </w:tc>
              <w:tc>
                <w:tcPr>
                  <w:tcW w:w="664" w:type="pct"/>
                  <w:tcBorders>
                    <w:tl2br w:val="nil"/>
                    <w:tr2bl w:val="nil"/>
                  </w:tcBorders>
                  <w:shd w:val="clear" w:color="auto" w:fill="auto"/>
                  <w:noWrap w:val="0"/>
                  <w:vAlign w:val="center"/>
                </w:tcPr>
                <w:p w14:paraId="5B05A69B">
                  <w:pPr>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eastAsia="zh-CN"/>
                    </w:rPr>
                    <w:t>供电</w:t>
                  </w:r>
                </w:p>
              </w:tc>
              <w:tc>
                <w:tcPr>
                  <w:tcW w:w="1329" w:type="pct"/>
                  <w:tcBorders>
                    <w:tl2br w:val="nil"/>
                    <w:tr2bl w:val="nil"/>
                  </w:tcBorders>
                  <w:shd w:val="clear" w:color="auto" w:fill="auto"/>
                  <w:noWrap w:val="0"/>
                  <w:vAlign w:val="center"/>
                </w:tcPr>
                <w:p w14:paraId="188406FF">
                  <w:pPr>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30</w:t>
                  </w:r>
                  <w:r>
                    <w:rPr>
                      <w:b w:val="0"/>
                      <w:bCs w:val="0"/>
                      <w:color w:val="auto"/>
                      <w:kern w:val="0"/>
                      <w:sz w:val="21"/>
                      <w:szCs w:val="21"/>
                    </w:rPr>
                    <w:t>万kWh</w:t>
                  </w:r>
                </w:p>
              </w:tc>
              <w:tc>
                <w:tcPr>
                  <w:tcW w:w="649" w:type="pct"/>
                  <w:tcBorders>
                    <w:tl2br w:val="nil"/>
                    <w:tr2bl w:val="nil"/>
                  </w:tcBorders>
                  <w:shd w:val="clear" w:color="auto" w:fill="auto"/>
                  <w:noWrap w:val="0"/>
                  <w:vAlign w:val="center"/>
                </w:tcPr>
                <w:p w14:paraId="1DA6C2F8">
                  <w:pPr>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bidi="ar-SA"/>
                    </w:rPr>
                    <w:t>/</w:t>
                  </w:r>
                </w:p>
              </w:tc>
              <w:tc>
                <w:tcPr>
                  <w:tcW w:w="730" w:type="pct"/>
                  <w:tcBorders>
                    <w:tl2br w:val="nil"/>
                    <w:tr2bl w:val="nil"/>
                  </w:tcBorders>
                  <w:shd w:val="clear" w:color="auto" w:fill="auto"/>
                  <w:noWrap w:val="0"/>
                  <w:vAlign w:val="center"/>
                </w:tcPr>
                <w:p w14:paraId="3B06669E">
                  <w:pPr>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bidi="ar-SA"/>
                    </w:rPr>
                    <w:t>/</w:t>
                  </w:r>
                </w:p>
              </w:tc>
              <w:tc>
                <w:tcPr>
                  <w:tcW w:w="1189" w:type="pct"/>
                  <w:tcBorders>
                    <w:tl2br w:val="nil"/>
                    <w:tr2bl w:val="nil"/>
                  </w:tcBorders>
                  <w:shd w:val="clear" w:color="auto" w:fill="auto"/>
                  <w:noWrap w:val="0"/>
                  <w:vAlign w:val="center"/>
                </w:tcPr>
                <w:p w14:paraId="04E559CB">
                  <w:pPr>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eastAsia="zh-CN"/>
                    </w:rPr>
                    <w:t>市政供电</w:t>
                  </w:r>
                </w:p>
              </w:tc>
            </w:tr>
          </w:tbl>
          <w:p w14:paraId="6E56B4D7">
            <w:p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cs="Times New Roman"/>
                <w:b w:val="0"/>
                <w:bCs w:val="0"/>
                <w:color w:val="auto"/>
                <w:sz w:val="24"/>
                <w:szCs w:val="22"/>
                <w:vertAlign w:val="baseline"/>
                <w:lang w:val="en-US" w:eastAsia="zh-CN"/>
              </w:rPr>
              <w:t>（</w:t>
            </w:r>
            <w:r>
              <w:rPr>
                <w:rFonts w:hint="eastAsia" w:cs="Times New Roman"/>
                <w:b w:val="0"/>
                <w:bCs w:val="0"/>
                <w:color w:val="auto"/>
                <w:sz w:val="24"/>
                <w:szCs w:val="22"/>
                <w:vertAlign w:val="baseline"/>
                <w:lang w:val="en-US" w:eastAsia="zh-CN"/>
              </w:rPr>
              <w:t>2</w:t>
            </w:r>
            <w:r>
              <w:rPr>
                <w:rFonts w:hint="default" w:ascii="Times New Roman" w:hAnsi="Times New Roman" w:cs="Times New Roman"/>
                <w:b w:val="0"/>
                <w:bCs w:val="0"/>
                <w:color w:val="auto"/>
                <w:sz w:val="24"/>
                <w:szCs w:val="22"/>
                <w:vertAlign w:val="baseline"/>
                <w:lang w:val="en-US" w:eastAsia="zh-CN"/>
              </w:rPr>
              <w:t>）原料成分</w:t>
            </w:r>
          </w:p>
          <w:p w14:paraId="4194F34D">
            <w:pPr>
              <w:spacing w:line="360" w:lineRule="auto"/>
              <w:jc w:val="center"/>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表</w:t>
            </w:r>
            <w:r>
              <w:rPr>
                <w:rFonts w:hint="default" w:ascii="Times New Roman" w:hAnsi="Times New Roman" w:cs="Times New Roman"/>
                <w:b/>
                <w:bCs/>
                <w:color w:val="auto"/>
                <w:sz w:val="24"/>
                <w:szCs w:val="24"/>
                <w:lang w:val="en-US" w:eastAsia="zh-CN"/>
              </w:rPr>
              <w:t>2-</w:t>
            </w:r>
            <w:r>
              <w:rPr>
                <w:rFonts w:hint="eastAsia" w:ascii="Times New Roman" w:hAnsi="Times New Roman" w:cs="Times New Roman"/>
                <w:b/>
                <w:bCs/>
                <w:color w:val="auto"/>
                <w:sz w:val="24"/>
                <w:szCs w:val="24"/>
                <w:lang w:val="en-US" w:eastAsia="zh-CN"/>
              </w:rPr>
              <w:t>7</w:t>
            </w:r>
            <w:r>
              <w:rPr>
                <w:rFonts w:hint="default" w:ascii="Times New Roman" w:hAnsi="Times New Roman" w:cs="Times New Roman"/>
                <w:b/>
                <w:bCs/>
                <w:color w:val="auto"/>
                <w:sz w:val="24"/>
                <w:szCs w:val="24"/>
                <w:lang w:eastAsia="zh-CN"/>
              </w:rPr>
              <w:t xml:space="preserve">  项目原辅材料</w:t>
            </w:r>
            <w:r>
              <w:rPr>
                <w:rFonts w:hint="default" w:ascii="Times New Roman" w:hAnsi="Times New Roman" w:cs="Times New Roman"/>
                <w:b/>
                <w:bCs/>
                <w:color w:val="auto"/>
                <w:sz w:val="24"/>
                <w:szCs w:val="24"/>
                <w:lang w:val="en-US" w:eastAsia="zh-CN"/>
              </w:rPr>
              <w:t>理化性质</w:t>
            </w:r>
            <w:r>
              <w:rPr>
                <w:rFonts w:hint="default" w:ascii="Times New Roman" w:hAnsi="Times New Roman" w:cs="Times New Roman"/>
                <w:b/>
                <w:bCs/>
                <w:color w:val="auto"/>
                <w:sz w:val="24"/>
                <w:szCs w:val="24"/>
                <w:lang w:eastAsia="zh-CN"/>
              </w:rPr>
              <w:t>一览表</w:t>
            </w:r>
          </w:p>
          <w:tbl>
            <w:tblPr>
              <w:tblStyle w:val="2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59"/>
              <w:gridCol w:w="1074"/>
              <w:gridCol w:w="6971"/>
            </w:tblGrid>
            <w:tr w14:paraId="19A6C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25" w:type="pct"/>
                  <w:noWrap w:val="0"/>
                  <w:vAlign w:val="center"/>
                </w:tcPr>
                <w:p w14:paraId="7D8D4B80">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序号</w:t>
                  </w:r>
                </w:p>
              </w:tc>
              <w:tc>
                <w:tcPr>
                  <w:tcW w:w="624" w:type="pct"/>
                  <w:noWrap w:val="0"/>
                  <w:vAlign w:val="center"/>
                </w:tcPr>
                <w:p w14:paraId="4357C96C">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名称</w:t>
                  </w:r>
                </w:p>
              </w:tc>
              <w:tc>
                <w:tcPr>
                  <w:tcW w:w="4050" w:type="pct"/>
                  <w:noWrap w:val="0"/>
                  <w:vAlign w:val="center"/>
                </w:tcPr>
                <w:p w14:paraId="2E5AE2CA">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性质</w:t>
                  </w:r>
                </w:p>
              </w:tc>
            </w:tr>
            <w:tr w14:paraId="46113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25" w:type="pct"/>
                  <w:noWrap w:val="0"/>
                  <w:vAlign w:val="center"/>
                </w:tcPr>
                <w:p w14:paraId="46D24EB0">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624" w:type="pct"/>
                  <w:noWrap w:val="0"/>
                  <w:vAlign w:val="center"/>
                </w:tcPr>
                <w:p w14:paraId="561A140B">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sz w:val="21"/>
                      <w:szCs w:val="21"/>
                      <w:lang w:val="en-US" w:eastAsia="zh-CN"/>
                    </w:rPr>
                  </w:pPr>
                  <w:r>
                    <w:rPr>
                      <w:rFonts w:hint="eastAsia"/>
                      <w:color w:val="auto"/>
                      <w:kern w:val="0"/>
                      <w:sz w:val="21"/>
                      <w:szCs w:val="21"/>
                      <w:lang w:val="en-US" w:eastAsia="zh-CN"/>
                    </w:rPr>
                    <w:t>聚丙烯颗粒</w:t>
                  </w:r>
                </w:p>
              </w:tc>
              <w:tc>
                <w:tcPr>
                  <w:tcW w:w="4050" w:type="pct"/>
                  <w:noWrap w:val="0"/>
                  <w:vAlign w:val="center"/>
                </w:tcPr>
                <w:p w14:paraId="59401B82">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lang w:val="en-US" w:eastAsia="zh-CN"/>
                    </w:rPr>
                  </w:pPr>
                  <w:r>
                    <w:rPr>
                      <w:rFonts w:hint="eastAsia"/>
                      <w:color w:val="auto"/>
                      <w:kern w:val="0"/>
                      <w:sz w:val="21"/>
                      <w:szCs w:val="21"/>
                    </w:rPr>
                    <w:t>简称PP</w:t>
                  </w:r>
                  <w:r>
                    <w:rPr>
                      <w:rFonts w:hint="eastAsia"/>
                      <w:color w:val="auto"/>
                      <w:kern w:val="0"/>
                      <w:sz w:val="21"/>
                      <w:szCs w:val="21"/>
                      <w:lang w:eastAsia="zh-CN"/>
                    </w:rPr>
                    <w:t>，</w:t>
                  </w:r>
                  <w:r>
                    <w:rPr>
                      <w:rFonts w:hint="eastAsia"/>
                      <w:color w:val="auto"/>
                      <w:kern w:val="0"/>
                      <w:sz w:val="21"/>
                      <w:szCs w:val="21"/>
                    </w:rPr>
                    <w:t>是由丙烯聚合而制得的一种热塑性树脂。为无毒、无臭、无味的乳白色高结晶的聚合物，密度只有0.90~0.91g/cm3，是目前所有塑料中最轻的品种之一。它对水特别稳定，在水中24h的吸水率仅为0.01%，分子量约8~15万之间。成型</w:t>
                  </w:r>
                  <w:r>
                    <w:rPr>
                      <w:rFonts w:hint="eastAsia"/>
                      <w:color w:val="auto"/>
                      <w:kern w:val="0"/>
                      <w:sz w:val="21"/>
                      <w:szCs w:val="21"/>
                      <w:lang w:eastAsia="zh-CN"/>
                    </w:rPr>
                    <w:t>性</w:t>
                  </w:r>
                  <w:r>
                    <w:rPr>
                      <w:rFonts w:hint="eastAsia"/>
                      <w:color w:val="auto"/>
                      <w:kern w:val="0"/>
                      <w:sz w:val="21"/>
                      <w:szCs w:val="21"/>
                    </w:rPr>
                    <w:t>好，但因收缩率大，厚壁制品易凹陷。制品表面光泽好，易于着色。PP具有良好的耐热性，融化温度在220~275℃，制品能在100℃以上温度进行消毒灭菌，在不受外力的情况下，150℃也不变形。聚丙烯具有耐化学性、耐热性、电绝缘性、高强度机械性能和良好的高耐磨加工性能等，同时它的化学稳定性随结晶度的增加还有所提高，所以聚丙烯适合</w:t>
                  </w:r>
                  <w:r>
                    <w:rPr>
                      <w:rFonts w:hint="eastAsia"/>
                      <w:color w:val="auto"/>
                      <w:kern w:val="0"/>
                      <w:sz w:val="21"/>
                      <w:szCs w:val="21"/>
                      <w:lang w:eastAsia="zh-CN"/>
                    </w:rPr>
                    <w:t>做各种</w:t>
                  </w:r>
                  <w:r>
                    <w:rPr>
                      <w:rFonts w:hint="eastAsia"/>
                      <w:color w:val="auto"/>
                      <w:kern w:val="0"/>
                      <w:sz w:val="21"/>
                      <w:szCs w:val="21"/>
                    </w:rPr>
                    <w:t>化工管道和配件，防腐蚀效果良好</w:t>
                  </w:r>
                  <w:r>
                    <w:rPr>
                      <w:rFonts w:hint="eastAsia"/>
                      <w:color w:val="auto"/>
                      <w:kern w:val="0"/>
                      <w:sz w:val="21"/>
                      <w:szCs w:val="21"/>
                      <w:lang w:eastAsia="zh-CN"/>
                    </w:rPr>
                    <w:t>。同时广泛应用于服装、毛毯等纤维制品、医疗器械、汽车、自行车、零件、输送管道、化工容器等生产</w:t>
                  </w:r>
                  <w:r>
                    <w:rPr>
                      <w:rFonts w:hint="eastAsia"/>
                      <w:color w:val="auto"/>
                      <w:kern w:val="0"/>
                      <w:sz w:val="21"/>
                      <w:szCs w:val="21"/>
                    </w:rPr>
                    <w:t>。</w:t>
                  </w:r>
                </w:p>
              </w:tc>
            </w:tr>
            <w:tr w14:paraId="786C0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5" w:type="pct"/>
                  <w:noWrap w:val="0"/>
                  <w:vAlign w:val="center"/>
                </w:tcPr>
                <w:p w14:paraId="5B33B3A3">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624" w:type="pct"/>
                  <w:noWrap w:val="0"/>
                  <w:vAlign w:val="center"/>
                </w:tcPr>
                <w:p w14:paraId="3995A28D">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色母</w:t>
                  </w:r>
                </w:p>
              </w:tc>
              <w:tc>
                <w:tcPr>
                  <w:tcW w:w="4050" w:type="pct"/>
                  <w:noWrap w:val="0"/>
                  <w:vAlign w:val="center"/>
                </w:tcPr>
                <w:p w14:paraId="4708DCA6">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000000"/>
                      <w:kern w:val="0"/>
                      <w:sz w:val="21"/>
                      <w:szCs w:val="21"/>
                    </w:rPr>
                    <w:t>全称叫色母粒</w:t>
                  </w:r>
                  <w:r>
                    <w:rPr>
                      <w:rFonts w:hint="default" w:ascii="Times New Roman" w:hAnsi="Times New Roman" w:cs="Times New Roman"/>
                      <w:color w:val="000000"/>
                      <w:kern w:val="0"/>
                      <w:sz w:val="21"/>
                      <w:szCs w:val="21"/>
                      <w:lang w:eastAsia="zh-CN"/>
                    </w:rPr>
                    <w:t>，</w:t>
                  </w:r>
                  <w:r>
                    <w:rPr>
                      <w:rFonts w:hint="default" w:ascii="Times New Roman" w:hAnsi="Times New Roman" w:cs="Times New Roman"/>
                      <w:color w:val="000000"/>
                      <w:kern w:val="0"/>
                      <w:sz w:val="21"/>
                      <w:szCs w:val="21"/>
                    </w:rPr>
                    <w:t>也叫色种，是把超常量的颜料均匀载附于树脂之中而制得的聚集体。是一种新型高分子材料专用着色剂，亦称颜料制备物（Pigment</w:t>
                  </w:r>
                  <w:r>
                    <w:rPr>
                      <w:rFonts w:hint="default" w:ascii="Times New Roman" w:hAnsi="Times New Roman" w:cs="Times New Roman"/>
                      <w:color w:val="000000"/>
                      <w:kern w:val="0"/>
                      <w:sz w:val="21"/>
                      <w:szCs w:val="21"/>
                      <w:lang w:val="en-US" w:eastAsia="zh-CN"/>
                    </w:rPr>
                    <w:t xml:space="preserve"> </w:t>
                  </w:r>
                  <w:r>
                    <w:rPr>
                      <w:rFonts w:hint="default" w:ascii="Times New Roman" w:hAnsi="Times New Roman" w:cs="Times New Roman"/>
                      <w:color w:val="000000"/>
                      <w:kern w:val="0"/>
                      <w:sz w:val="21"/>
                      <w:szCs w:val="21"/>
                    </w:rPr>
                    <w:t>Preparation）。色母主要用在塑料上。它由颜料或染料、载体和添加剂三种基本要素所组成，是把超常量的颜料或染料均匀地载附于树脂之中而得到的聚集体，可称颜料浓缩物（Pigment</w:t>
                  </w:r>
                  <w:r>
                    <w:rPr>
                      <w:rFonts w:hint="default" w:ascii="Times New Roman" w:hAnsi="Times New Roman" w:cs="Times New Roman"/>
                      <w:color w:val="000000"/>
                      <w:kern w:val="0"/>
                      <w:sz w:val="21"/>
                      <w:szCs w:val="21"/>
                      <w:lang w:val="en-US" w:eastAsia="zh-CN"/>
                    </w:rPr>
                    <w:t xml:space="preserve"> </w:t>
                  </w:r>
                  <w:r>
                    <w:rPr>
                      <w:rFonts w:hint="default" w:ascii="Times New Roman" w:hAnsi="Times New Roman" w:cs="Times New Roman"/>
                      <w:color w:val="000000"/>
                      <w:kern w:val="0"/>
                      <w:sz w:val="21"/>
                      <w:szCs w:val="21"/>
                    </w:rPr>
                    <w:t>Concentration），所以</w:t>
                  </w:r>
                  <w:r>
                    <w:rPr>
                      <w:rFonts w:hint="eastAsia" w:cs="Times New Roman"/>
                      <w:color w:val="000000"/>
                      <w:kern w:val="0"/>
                      <w:sz w:val="21"/>
                      <w:szCs w:val="21"/>
                      <w:lang w:eastAsia="zh-CN"/>
                    </w:rPr>
                    <w:t>它</w:t>
                  </w:r>
                  <w:r>
                    <w:rPr>
                      <w:rFonts w:hint="default" w:ascii="Times New Roman" w:hAnsi="Times New Roman" w:cs="Times New Roman"/>
                      <w:color w:val="000000"/>
                      <w:kern w:val="0"/>
                      <w:sz w:val="21"/>
                      <w:szCs w:val="21"/>
                    </w:rPr>
                    <w:t>的着色力高于颜料本身。专用色母的耐热等级一般是与用于制品的塑料相适应的，在正常温度下，可以放心使用。</w:t>
                  </w:r>
                </w:p>
              </w:tc>
            </w:tr>
          </w:tbl>
          <w:p w14:paraId="12CD5E53">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b/>
                <w:bCs w:val="0"/>
                <w:color w:val="auto"/>
                <w:sz w:val="21"/>
                <w:szCs w:val="21"/>
              </w:rPr>
            </w:pPr>
            <w:r>
              <w:rPr>
                <w:b/>
                <w:bCs w:val="0"/>
                <w:color w:val="auto"/>
                <w:sz w:val="21"/>
                <w:szCs w:val="21"/>
              </w:rPr>
              <w:t>备注：本项目所使用的塑料</w:t>
            </w:r>
            <w:r>
              <w:rPr>
                <w:rFonts w:hint="eastAsia"/>
                <w:b/>
                <w:bCs w:val="0"/>
                <w:color w:val="auto"/>
                <w:sz w:val="21"/>
                <w:szCs w:val="21"/>
                <w:lang w:eastAsia="zh-CN"/>
              </w:rPr>
              <w:t>原料</w:t>
            </w:r>
            <w:r>
              <w:rPr>
                <w:b/>
                <w:bCs w:val="0"/>
                <w:color w:val="auto"/>
                <w:sz w:val="21"/>
                <w:szCs w:val="21"/>
              </w:rPr>
              <w:t>，均为成品新塑料</w:t>
            </w:r>
            <w:r>
              <w:rPr>
                <w:rFonts w:hint="eastAsia"/>
                <w:b/>
                <w:bCs w:val="0"/>
                <w:color w:val="auto"/>
                <w:sz w:val="21"/>
                <w:szCs w:val="21"/>
                <w:lang w:val="en-US" w:eastAsia="zh-CN"/>
              </w:rPr>
              <w:t>颗粒</w:t>
            </w:r>
            <w:r>
              <w:rPr>
                <w:b/>
                <w:bCs w:val="0"/>
                <w:color w:val="auto"/>
                <w:sz w:val="21"/>
                <w:szCs w:val="21"/>
              </w:rPr>
              <w:t>，不使用外购的废旧塑料。</w:t>
            </w:r>
          </w:p>
          <w:p w14:paraId="19BE9A6F">
            <w:pPr>
              <w:numPr>
                <w:ilvl w:val="0"/>
                <w:numId w:val="0"/>
              </w:numPr>
              <w:spacing w:line="360" w:lineRule="auto"/>
              <w:ind w:firstLine="480" w:firstLineChars="200"/>
              <w:jc w:val="both"/>
              <w:rPr>
                <w:rFonts w:hint="eastAsia" w:cs="Times New Roman"/>
                <w:b w:val="0"/>
                <w:bCs w:val="0"/>
                <w:color w:val="auto"/>
                <w:sz w:val="24"/>
                <w:szCs w:val="22"/>
                <w:vertAlign w:val="baseline"/>
                <w:lang w:val="en-US" w:eastAsia="zh-CN"/>
              </w:rPr>
            </w:pPr>
            <w:r>
              <w:rPr>
                <w:rFonts w:hint="eastAsia" w:ascii="Times New Roman" w:hAnsi="Times New Roman" w:eastAsia="宋体" w:cs="Times New Roman"/>
                <w:b w:val="0"/>
                <w:bCs w:val="0"/>
                <w:color w:val="auto"/>
                <w:sz w:val="24"/>
                <w:szCs w:val="22"/>
                <w:vertAlign w:val="baseline"/>
                <w:lang w:val="en-US" w:eastAsia="zh-CN" w:bidi="ar-SA"/>
              </w:rPr>
              <w:t>（3）</w:t>
            </w:r>
            <w:r>
              <w:rPr>
                <w:rFonts w:hint="eastAsia" w:cs="Times New Roman"/>
                <w:b w:val="0"/>
                <w:bCs w:val="0"/>
                <w:color w:val="auto"/>
                <w:sz w:val="24"/>
                <w:szCs w:val="22"/>
                <w:vertAlign w:val="baseline"/>
                <w:lang w:val="en-US" w:eastAsia="zh-CN"/>
              </w:rPr>
              <w:t>物料平衡</w:t>
            </w:r>
          </w:p>
          <w:p w14:paraId="5ACEA298">
            <w:pPr>
              <w:keepNext w:val="0"/>
              <w:keepLines w:val="0"/>
              <w:pageBreakBefore w:val="0"/>
              <w:kinsoku/>
              <w:wordWrap/>
              <w:overflowPunct/>
              <w:topLinePunct w:val="0"/>
              <w:bidi w:val="0"/>
              <w:adjustRightInd/>
              <w:snapToGrid/>
              <w:spacing w:line="360" w:lineRule="auto"/>
              <w:ind w:left="0" w:firstLine="480" w:firstLineChars="200"/>
              <w:jc w:val="both"/>
              <w:textAlignment w:val="auto"/>
              <w:rPr>
                <w:color w:val="auto"/>
                <w:sz w:val="24"/>
              </w:rPr>
            </w:pPr>
            <w:r>
              <w:rPr>
                <w:rFonts w:hint="eastAsia"/>
                <w:color w:val="auto"/>
                <w:sz w:val="24"/>
                <w:lang w:val="en-US" w:eastAsia="zh-CN"/>
              </w:rPr>
              <w:t>根据项目生产过程中的产生及排放情况，物料平衡如下图。</w:t>
            </w:r>
          </w:p>
          <w:p w14:paraId="071430B3">
            <w:pPr>
              <w:numPr>
                <w:ilvl w:val="0"/>
                <w:numId w:val="0"/>
              </w:numPr>
              <w:spacing w:line="360" w:lineRule="auto"/>
              <w:jc w:val="center"/>
              <w:rPr>
                <w:rFonts w:hint="default" w:cs="Times New Roman"/>
                <w:b w:val="0"/>
                <w:bCs w:val="0"/>
                <w:color w:val="auto"/>
                <w:sz w:val="24"/>
                <w:szCs w:val="22"/>
                <w:vertAlign w:val="baseline"/>
                <w:lang w:val="en-US" w:eastAsia="zh-CN"/>
              </w:rPr>
            </w:pPr>
            <w:r>
              <w:rPr>
                <w:b/>
                <w:color w:val="000000"/>
                <w:kern w:val="0"/>
                <w:szCs w:val="21"/>
                <w:highlight w:val="none"/>
                <w:lang w:bidi="ar"/>
              </w:rPr>
              <w:object>
                <v:shape id="_x0000_i1025" o:spt="75" type="#_x0000_t75" style="height:296.15pt;width:380.7pt;" o:ole="t" filled="f" o:preferrelative="t" stroked="f" coordsize="21600,21600">
                  <v:path/>
                  <v:fill on="f" focussize="0,0"/>
                  <v:stroke on="f"/>
                  <v:imagedata r:id="rId16" o:title=""/>
                  <o:lock v:ext="edit" aspectratio="f"/>
                  <w10:wrap type="none"/>
                  <w10:anchorlock/>
                </v:shape>
                <o:OLEObject Type="Embed" ProgID="Visio.Drawing.15" ShapeID="_x0000_i1025" DrawAspect="Content" ObjectID="_1468075725" r:id="rId15">
                  <o:LockedField>false</o:LockedField>
                </o:OLEObject>
              </w:object>
            </w:r>
          </w:p>
          <w:p w14:paraId="69802F42">
            <w:pPr>
              <w:keepNext w:val="0"/>
              <w:keepLines w:val="0"/>
              <w:pageBreakBefore w:val="0"/>
              <w:kinsoku/>
              <w:wordWrap/>
              <w:overflowPunct/>
              <w:topLinePunct w:val="0"/>
              <w:bidi w:val="0"/>
              <w:adjustRightInd/>
              <w:snapToGrid/>
              <w:spacing w:line="360" w:lineRule="auto"/>
              <w:ind w:left="0" w:firstLine="482" w:firstLineChars="200"/>
              <w:jc w:val="center"/>
              <w:textAlignment w:val="auto"/>
              <w:rPr>
                <w:rFonts w:hint="eastAsia" w:ascii="Times New Roman" w:hAnsi="Times New Roman" w:cs="Times New Roman"/>
                <w:b/>
                <w:bCs w:val="0"/>
                <w:color w:val="auto"/>
                <w:sz w:val="24"/>
                <w:lang w:val="en-US" w:eastAsia="zh-CN"/>
              </w:rPr>
            </w:pPr>
            <w:r>
              <w:rPr>
                <w:b/>
                <w:bCs w:val="0"/>
                <w:color w:val="auto"/>
                <w:kern w:val="0"/>
                <w:sz w:val="24"/>
                <w:szCs w:val="24"/>
                <w:lang w:bidi="ar"/>
              </w:rPr>
              <w:t xml:space="preserve">图2-1 </w:t>
            </w:r>
            <w:r>
              <w:rPr>
                <w:rFonts w:hint="eastAsia"/>
                <w:b/>
                <w:bCs w:val="0"/>
                <w:color w:val="auto"/>
                <w:kern w:val="0"/>
                <w:sz w:val="24"/>
                <w:szCs w:val="24"/>
                <w:lang w:bidi="ar"/>
              </w:rPr>
              <w:t xml:space="preserve"> </w:t>
            </w:r>
            <w:r>
              <w:rPr>
                <w:rFonts w:hint="eastAsia"/>
                <w:b/>
                <w:bCs w:val="0"/>
                <w:color w:val="auto"/>
                <w:sz w:val="24"/>
                <w:szCs w:val="24"/>
              </w:rPr>
              <w:t>项目</w:t>
            </w:r>
            <w:r>
              <w:rPr>
                <w:rFonts w:hint="eastAsia"/>
                <w:b/>
                <w:bCs w:val="0"/>
                <w:color w:val="auto"/>
                <w:sz w:val="24"/>
                <w:szCs w:val="24"/>
                <w:lang w:val="en-US" w:eastAsia="zh-CN"/>
              </w:rPr>
              <w:t>物料</w:t>
            </w:r>
            <w:r>
              <w:rPr>
                <w:b/>
                <w:bCs w:val="0"/>
                <w:color w:val="auto"/>
                <w:sz w:val="24"/>
                <w:szCs w:val="24"/>
              </w:rPr>
              <w:t>平衡图</w:t>
            </w:r>
          </w:p>
          <w:p w14:paraId="70069F4E">
            <w:pPr>
              <w:keepNext w:val="0"/>
              <w:keepLines w:val="0"/>
              <w:pageBreakBefore w:val="0"/>
              <w:kinsoku/>
              <w:wordWrap/>
              <w:overflowPunct/>
              <w:topLinePunct w:val="0"/>
              <w:bidi w:val="0"/>
              <w:adjustRightInd/>
              <w:snapToGrid/>
              <w:spacing w:line="360" w:lineRule="auto"/>
              <w:ind w:left="0" w:firstLine="482" w:firstLineChars="200"/>
              <w:jc w:val="both"/>
              <w:textAlignment w:val="auto"/>
              <w:rPr>
                <w:b/>
                <w:color w:val="auto"/>
                <w:sz w:val="24"/>
              </w:rPr>
            </w:pPr>
            <w:r>
              <w:rPr>
                <w:rFonts w:hint="eastAsia" w:ascii="Times New Roman" w:hAnsi="Times New Roman" w:cs="Times New Roman"/>
                <w:b/>
                <w:bCs w:val="0"/>
                <w:color w:val="auto"/>
                <w:sz w:val="24"/>
                <w:lang w:val="en-US" w:eastAsia="zh-CN"/>
              </w:rPr>
              <w:t>7</w:t>
            </w:r>
            <w:r>
              <w:rPr>
                <w:rFonts w:hint="default" w:ascii="Times New Roman" w:hAnsi="Times New Roman" w:cs="Times New Roman"/>
                <w:b/>
                <w:bCs w:val="0"/>
                <w:color w:val="auto"/>
                <w:sz w:val="24"/>
                <w:lang w:val="en-US" w:eastAsia="zh-CN"/>
              </w:rPr>
              <w:t>、</w:t>
            </w:r>
            <w:r>
              <w:rPr>
                <w:b/>
                <w:color w:val="auto"/>
                <w:sz w:val="24"/>
              </w:rPr>
              <w:t>公用工程</w:t>
            </w:r>
          </w:p>
          <w:p w14:paraId="45DE8298">
            <w:pPr>
              <w:keepNext w:val="0"/>
              <w:keepLines w:val="0"/>
              <w:pageBreakBefore w:val="0"/>
              <w:kinsoku/>
              <w:wordWrap/>
              <w:overflowPunct/>
              <w:topLinePunct w:val="0"/>
              <w:bidi w:val="0"/>
              <w:adjustRightInd/>
              <w:snapToGrid/>
              <w:spacing w:line="360" w:lineRule="auto"/>
              <w:ind w:left="0" w:firstLine="480" w:firstLineChars="200"/>
              <w:jc w:val="both"/>
              <w:textAlignment w:val="auto"/>
              <w:rPr>
                <w:color w:val="auto"/>
                <w:sz w:val="24"/>
              </w:rPr>
            </w:pPr>
            <w:r>
              <w:rPr>
                <w:rFonts w:hint="eastAsia"/>
                <w:color w:val="auto"/>
                <w:sz w:val="24"/>
                <w:lang w:eastAsia="zh-CN"/>
              </w:rPr>
              <w:t>（</w:t>
            </w:r>
            <w:r>
              <w:rPr>
                <w:color w:val="auto"/>
                <w:sz w:val="24"/>
              </w:rPr>
              <w:t>1）给水</w:t>
            </w:r>
          </w:p>
          <w:p w14:paraId="082F7177">
            <w:pPr>
              <w:keepNext w:val="0"/>
              <w:keepLines w:val="0"/>
              <w:pageBreakBefore w:val="0"/>
              <w:kinsoku/>
              <w:wordWrap/>
              <w:overflowPunct/>
              <w:topLinePunct w:val="0"/>
              <w:bidi w:val="0"/>
              <w:adjustRightInd/>
              <w:snapToGrid/>
              <w:spacing w:line="360" w:lineRule="auto"/>
              <w:ind w:left="0"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本项目用水主要为职工生活用水和冷却水。</w:t>
            </w:r>
          </w:p>
          <w:p w14:paraId="0495B637">
            <w:pPr>
              <w:keepNext w:val="0"/>
              <w:keepLines w:val="0"/>
              <w:pageBreakBefore w:val="0"/>
              <w:kinsoku/>
              <w:wordWrap/>
              <w:overflowPunct/>
              <w:topLinePunct w:val="0"/>
              <w:bidi w:val="0"/>
              <w:adjustRightInd/>
              <w:snapToGrid/>
              <w:spacing w:line="360" w:lineRule="auto"/>
              <w:ind w:left="0" w:firstLine="480" w:firstLineChars="200"/>
              <w:jc w:val="both"/>
              <w:textAlignment w:val="auto"/>
              <w:rPr>
                <w:color w:val="auto"/>
                <w:sz w:val="24"/>
              </w:rPr>
            </w:pPr>
            <w:r>
              <w:rPr>
                <w:rFonts w:hint="eastAsia"/>
                <w:color w:val="auto"/>
                <w:sz w:val="24"/>
                <w:lang w:eastAsia="zh-CN"/>
              </w:rPr>
              <w:t>（</w:t>
            </w:r>
            <w:r>
              <w:rPr>
                <w:rFonts w:hint="eastAsia"/>
                <w:color w:val="auto"/>
                <w:sz w:val="24"/>
                <w:lang w:val="en-US" w:eastAsia="zh-CN"/>
              </w:rPr>
              <w:t>2</w:t>
            </w:r>
            <w:r>
              <w:rPr>
                <w:color w:val="auto"/>
                <w:sz w:val="24"/>
              </w:rPr>
              <w:t>）排水</w:t>
            </w:r>
          </w:p>
          <w:p w14:paraId="49881E70">
            <w:pPr>
              <w:keepNext w:val="0"/>
              <w:keepLines w:val="0"/>
              <w:pageBreakBefore w:val="0"/>
              <w:kinsoku/>
              <w:wordWrap/>
              <w:overflowPunct/>
              <w:topLinePunct w:val="0"/>
              <w:bidi w:val="0"/>
              <w:adjustRightInd/>
              <w:snapToGrid/>
              <w:spacing w:line="360" w:lineRule="auto"/>
              <w:ind w:left="0" w:firstLine="480" w:firstLineChars="200"/>
              <w:jc w:val="both"/>
              <w:textAlignment w:val="auto"/>
              <w:rPr>
                <w:color w:val="auto"/>
                <w:sz w:val="24"/>
              </w:rPr>
            </w:pPr>
            <w:r>
              <w:rPr>
                <w:rFonts w:hint="eastAsia"/>
                <w:highlight w:val="none"/>
                <w:lang w:val="en-US" w:eastAsia="zh-CN"/>
              </w:rPr>
              <w:t>本项目</w:t>
            </w:r>
            <w:r>
              <w:rPr>
                <w:rFonts w:hint="eastAsia"/>
                <w:highlight w:val="none"/>
              </w:rPr>
              <w:t>冷却水循环使用，定期补充损耗</w:t>
            </w:r>
            <w:r>
              <w:rPr>
                <w:rFonts w:hint="eastAsia"/>
                <w:highlight w:val="none"/>
                <w:lang w:eastAsia="zh-CN"/>
              </w:rPr>
              <w:t>，</w:t>
            </w:r>
            <w:r>
              <w:rPr>
                <w:rFonts w:hint="eastAsia"/>
                <w:highlight w:val="none"/>
                <w:lang w:val="en-US" w:eastAsia="zh-CN"/>
              </w:rPr>
              <w:t>不外排</w:t>
            </w:r>
            <w:r>
              <w:rPr>
                <w:rFonts w:hint="eastAsia"/>
                <w:color w:val="auto"/>
                <w:sz w:val="24"/>
                <w:lang w:val="en-US" w:eastAsia="zh-CN"/>
              </w:rPr>
              <w:t>；</w:t>
            </w:r>
            <w:r>
              <w:rPr>
                <w:rFonts w:hint="eastAsia"/>
                <w:lang w:val="en-US" w:eastAsia="zh-CN"/>
              </w:rPr>
              <w:t>生活污水经“隔油池+化粪池”处理后定期清掏，用于周边肥田，不外排</w:t>
            </w:r>
            <w:r>
              <w:rPr>
                <w:rFonts w:hint="eastAsia"/>
                <w:color w:val="auto"/>
                <w:sz w:val="24"/>
                <w:lang w:val="en-US" w:eastAsia="zh-CN"/>
              </w:rPr>
              <w:t>。</w:t>
            </w:r>
          </w:p>
          <w:p w14:paraId="7CC05739">
            <w:pPr>
              <w:keepNext w:val="0"/>
              <w:keepLines w:val="0"/>
              <w:pageBreakBefore w:val="0"/>
              <w:kinsoku/>
              <w:wordWrap/>
              <w:overflowPunct/>
              <w:topLinePunct w:val="0"/>
              <w:bidi w:val="0"/>
              <w:adjustRightInd/>
              <w:snapToGrid/>
              <w:spacing w:line="360" w:lineRule="auto"/>
              <w:ind w:left="0" w:firstLine="480" w:firstLineChars="200"/>
              <w:jc w:val="both"/>
              <w:textAlignment w:val="auto"/>
              <w:rPr>
                <w:color w:val="auto"/>
                <w:sz w:val="24"/>
              </w:rPr>
            </w:pPr>
            <w:r>
              <w:rPr>
                <w:rFonts w:hint="eastAsia"/>
                <w:color w:val="auto"/>
                <w:sz w:val="24"/>
                <w:lang w:eastAsia="zh-CN"/>
              </w:rPr>
              <w:t>（</w:t>
            </w:r>
            <w:r>
              <w:rPr>
                <w:rFonts w:hint="eastAsia"/>
                <w:color w:val="auto"/>
                <w:sz w:val="24"/>
                <w:lang w:val="en-US" w:eastAsia="zh-CN"/>
              </w:rPr>
              <w:t>3</w:t>
            </w:r>
            <w:r>
              <w:rPr>
                <w:color w:val="auto"/>
                <w:sz w:val="24"/>
              </w:rPr>
              <w:t>）用水量估算</w:t>
            </w:r>
          </w:p>
          <w:p w14:paraId="12ADF2CA">
            <w:pPr>
              <w:keepNext w:val="0"/>
              <w:keepLines w:val="0"/>
              <w:pageBreakBefore w:val="0"/>
              <w:kinsoku/>
              <w:wordWrap/>
              <w:overflowPunct/>
              <w:topLinePunct w:val="0"/>
              <w:bidi w:val="0"/>
              <w:adjustRightInd/>
              <w:snapToGrid/>
              <w:spacing w:line="360" w:lineRule="auto"/>
              <w:ind w:left="0" w:firstLine="480" w:firstLineChars="200"/>
              <w:jc w:val="both"/>
              <w:textAlignment w:val="auto"/>
              <w:rPr>
                <w:color w:val="auto"/>
                <w:sz w:val="24"/>
              </w:rPr>
            </w:pPr>
            <w:r>
              <w:rPr>
                <w:color w:val="auto"/>
                <w:sz w:val="24"/>
              </w:rPr>
              <w:t>①生活用水</w:t>
            </w:r>
          </w:p>
          <w:p w14:paraId="3AC54B41">
            <w:pPr>
              <w:keepNext w:val="0"/>
              <w:keepLines w:val="0"/>
              <w:pageBreakBefore w:val="0"/>
              <w:kinsoku/>
              <w:wordWrap/>
              <w:overflowPunct/>
              <w:topLinePunct w:val="0"/>
              <w:bidi w:val="0"/>
              <w:adjustRightInd/>
              <w:snapToGrid/>
              <w:spacing w:line="360" w:lineRule="auto"/>
              <w:ind w:left="0" w:firstLine="480" w:firstLineChars="200"/>
              <w:jc w:val="both"/>
              <w:textAlignment w:val="auto"/>
              <w:rPr>
                <w:color w:val="auto"/>
                <w:sz w:val="24"/>
              </w:rPr>
            </w:pPr>
            <w:r>
              <w:rPr>
                <w:color w:val="auto"/>
                <w:sz w:val="24"/>
              </w:rPr>
              <w:t>本项目劳动</w:t>
            </w:r>
            <w:r>
              <w:rPr>
                <w:color w:val="auto"/>
                <w:kern w:val="0"/>
                <w:sz w:val="24"/>
                <w:szCs w:val="20"/>
              </w:rPr>
              <w:t>定员为</w:t>
            </w:r>
            <w:r>
              <w:rPr>
                <w:rFonts w:hint="eastAsia"/>
                <w:color w:val="auto"/>
                <w:kern w:val="0"/>
                <w:sz w:val="24"/>
                <w:szCs w:val="20"/>
                <w:lang w:val="en-US" w:eastAsia="zh-CN"/>
              </w:rPr>
              <w:t>20</w:t>
            </w:r>
            <w:r>
              <w:rPr>
                <w:color w:val="auto"/>
                <w:kern w:val="0"/>
                <w:sz w:val="24"/>
                <w:szCs w:val="20"/>
              </w:rPr>
              <w:t>人，</w:t>
            </w:r>
            <w:r>
              <w:rPr>
                <w:rFonts w:hint="eastAsia"/>
                <w:color w:val="auto"/>
                <w:kern w:val="0"/>
                <w:sz w:val="24"/>
                <w:szCs w:val="20"/>
                <w:lang w:val="en-US" w:eastAsia="zh-CN"/>
              </w:rPr>
              <w:t>在厂区内食宿，</w:t>
            </w:r>
            <w:r>
              <w:rPr>
                <w:color w:val="auto"/>
                <w:sz w:val="24"/>
              </w:rPr>
              <w:t>年生产天数为300天。</w:t>
            </w:r>
            <w:r>
              <w:rPr>
                <w:rFonts w:cs="Times New Roman"/>
                <w:color w:val="auto"/>
                <w:sz w:val="24"/>
              </w:rPr>
              <w:t>根据《</w:t>
            </w:r>
            <w:r>
              <w:rPr>
                <w:rFonts w:hint="eastAsia" w:cs="Times New Roman"/>
                <w:color w:val="auto"/>
                <w:sz w:val="24"/>
              </w:rPr>
              <w:t>安徽省行业用水定额</w:t>
            </w:r>
            <w:r>
              <w:rPr>
                <w:rFonts w:cs="Times New Roman"/>
                <w:color w:val="auto"/>
                <w:sz w:val="24"/>
              </w:rPr>
              <w:t>（</w:t>
            </w:r>
            <w:r>
              <w:rPr>
                <w:rFonts w:hint="eastAsia" w:cs="Times New Roman"/>
                <w:color w:val="auto"/>
                <w:sz w:val="24"/>
                <w:lang w:val="en-US" w:eastAsia="zh-CN"/>
              </w:rPr>
              <w:t>DB34/T 679</w:t>
            </w:r>
            <w:r>
              <w:rPr>
                <w:rFonts w:cs="Times New Roman"/>
                <w:color w:val="auto"/>
                <w:sz w:val="24"/>
              </w:rPr>
              <w:t>-20</w:t>
            </w:r>
            <w:r>
              <w:rPr>
                <w:rFonts w:hint="eastAsia" w:cs="Times New Roman"/>
                <w:color w:val="auto"/>
                <w:sz w:val="24"/>
                <w:lang w:val="en-US" w:eastAsia="zh-CN"/>
              </w:rPr>
              <w:t>25</w:t>
            </w:r>
            <w:r>
              <w:rPr>
                <w:rFonts w:cs="Times New Roman"/>
                <w:color w:val="auto"/>
                <w:sz w:val="24"/>
              </w:rPr>
              <w:t>）》，</w:t>
            </w:r>
            <w:r>
              <w:rPr>
                <w:rFonts w:hint="eastAsia" w:cs="Times New Roman"/>
                <w:color w:val="auto"/>
                <w:sz w:val="24"/>
              </w:rPr>
              <w:t>企业的独立办公楼用水参照国家行政机构用水定额</w:t>
            </w:r>
            <w:r>
              <w:rPr>
                <w:rFonts w:hint="eastAsia" w:cs="Times New Roman"/>
                <w:color w:val="auto"/>
                <w:sz w:val="24"/>
                <w:lang w:eastAsia="zh-CN"/>
              </w:rPr>
              <w:t>，</w:t>
            </w:r>
            <w:r>
              <w:rPr>
                <w:rFonts w:hint="eastAsia" w:cs="Times New Roman"/>
                <w:color w:val="auto"/>
                <w:sz w:val="24"/>
                <w:lang w:val="en-US" w:eastAsia="zh-CN"/>
              </w:rPr>
              <w:t>即</w:t>
            </w:r>
            <w:r>
              <w:rPr>
                <w:rFonts w:hint="eastAsia"/>
                <w:color w:val="auto"/>
                <w:sz w:val="24"/>
                <w:lang w:val="en-US" w:eastAsia="zh-CN"/>
              </w:rPr>
              <w:t>10</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eastAsia"/>
                <w:color w:val="auto"/>
                <w:sz w:val="24"/>
              </w:rPr>
              <w:t>/（人·</w:t>
            </w:r>
            <w:r>
              <w:rPr>
                <w:rFonts w:hint="eastAsia"/>
                <w:color w:val="auto"/>
                <w:sz w:val="24"/>
                <w:lang w:val="en-US" w:eastAsia="zh-CN"/>
              </w:rPr>
              <w:t>a</w:t>
            </w:r>
            <w:r>
              <w:rPr>
                <w:rFonts w:hint="eastAsia"/>
                <w:color w:val="auto"/>
                <w:sz w:val="24"/>
              </w:rPr>
              <w:t>）计</w:t>
            </w:r>
            <w:r>
              <w:rPr>
                <w:rFonts w:cs="Times New Roman"/>
                <w:color w:val="auto"/>
                <w:sz w:val="24"/>
              </w:rPr>
              <w:t>，则</w:t>
            </w:r>
            <w:r>
              <w:rPr>
                <w:rFonts w:hint="eastAsia" w:cs="Times New Roman"/>
                <w:color w:val="auto"/>
                <w:sz w:val="24"/>
              </w:rPr>
              <w:t>本项目生活用水</w:t>
            </w:r>
            <w:r>
              <w:rPr>
                <w:rFonts w:cs="Times New Roman"/>
                <w:color w:val="auto"/>
                <w:sz w:val="24"/>
              </w:rPr>
              <w:t>年</w:t>
            </w:r>
            <w:r>
              <w:rPr>
                <w:rFonts w:hint="eastAsia" w:cs="Times New Roman"/>
                <w:color w:val="auto"/>
                <w:sz w:val="24"/>
              </w:rPr>
              <w:t>用量为</w:t>
            </w:r>
            <w:r>
              <w:rPr>
                <w:rFonts w:hint="eastAsia" w:cs="Times New Roman"/>
                <w:color w:val="auto"/>
                <w:sz w:val="24"/>
                <w:lang w:val="en-US" w:eastAsia="zh-CN"/>
              </w:rPr>
              <w:t>300</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cs="Times New Roman"/>
                <w:color w:val="auto"/>
                <w:sz w:val="24"/>
              </w:rPr>
              <w:t>/a</w:t>
            </w:r>
            <w:r>
              <w:rPr>
                <w:rFonts w:hint="eastAsia" w:cs="Times New Roman"/>
                <w:color w:val="auto"/>
                <w:sz w:val="24"/>
                <w:lang w:eastAsia="zh-CN"/>
              </w:rPr>
              <w:t>，</w:t>
            </w:r>
            <w:r>
              <w:rPr>
                <w:rFonts w:hint="eastAsia" w:cs="Times New Roman"/>
                <w:color w:val="auto"/>
                <w:sz w:val="24"/>
              </w:rPr>
              <w:t>项目年工作</w:t>
            </w:r>
            <w:r>
              <w:rPr>
                <w:rFonts w:hint="eastAsia" w:cs="Times New Roman"/>
                <w:color w:val="auto"/>
                <w:sz w:val="24"/>
                <w:lang w:val="en-US" w:eastAsia="zh-CN"/>
              </w:rPr>
              <w:t>300</w:t>
            </w:r>
            <w:r>
              <w:rPr>
                <w:rFonts w:hint="eastAsia" w:cs="Times New Roman"/>
                <w:color w:val="auto"/>
                <w:sz w:val="24"/>
              </w:rPr>
              <w:t>天，则</w:t>
            </w:r>
            <w:r>
              <w:rPr>
                <w:rFonts w:cs="Times New Roman"/>
                <w:color w:val="auto"/>
                <w:sz w:val="24"/>
              </w:rPr>
              <w:t>生活用水量</w:t>
            </w:r>
            <w:r>
              <w:rPr>
                <w:rFonts w:hint="eastAsia" w:cs="Times New Roman"/>
                <w:color w:val="auto"/>
                <w:sz w:val="24"/>
                <w:lang w:val="en-US" w:eastAsia="zh-CN"/>
              </w:rPr>
              <w:t>每天</w:t>
            </w:r>
            <w:r>
              <w:rPr>
                <w:rFonts w:cs="Times New Roman"/>
                <w:color w:val="auto"/>
                <w:sz w:val="24"/>
              </w:rPr>
              <w:t>为</w:t>
            </w:r>
            <w:r>
              <w:rPr>
                <w:rFonts w:hint="eastAsia" w:cs="Times New Roman"/>
                <w:color w:val="auto"/>
                <w:sz w:val="24"/>
                <w:lang w:val="en-US" w:eastAsia="zh-CN"/>
              </w:rPr>
              <w:t>1.0</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cs="Times New Roman"/>
                <w:color w:val="auto"/>
                <w:sz w:val="24"/>
              </w:rPr>
              <w:t>/d</w:t>
            </w:r>
            <w:r>
              <w:rPr>
                <w:rFonts w:hint="eastAsia" w:cs="Times New Roman"/>
                <w:color w:val="auto"/>
                <w:sz w:val="24"/>
              </w:rPr>
              <w:t>，排污系数按0.8计，则本项目生活污水</w:t>
            </w:r>
            <w:r>
              <w:rPr>
                <w:rFonts w:hint="eastAsia" w:cs="Times New Roman"/>
                <w:color w:val="auto"/>
                <w:sz w:val="24"/>
                <w:lang w:eastAsia="zh-CN"/>
              </w:rPr>
              <w:t>日</w:t>
            </w:r>
            <w:r>
              <w:rPr>
                <w:rFonts w:hint="eastAsia" w:cs="Times New Roman"/>
                <w:color w:val="auto"/>
                <w:sz w:val="24"/>
              </w:rPr>
              <w:t>排放量为</w:t>
            </w:r>
            <w:r>
              <w:rPr>
                <w:rFonts w:hint="eastAsia" w:cs="Times New Roman"/>
                <w:color w:val="auto"/>
                <w:sz w:val="24"/>
                <w:lang w:val="en-US" w:eastAsia="zh-CN"/>
              </w:rPr>
              <w:t>240</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eastAsia" w:cs="Times New Roman"/>
                <w:color w:val="auto"/>
                <w:sz w:val="24"/>
              </w:rPr>
              <w:t>/a（</w:t>
            </w:r>
            <w:r>
              <w:rPr>
                <w:rFonts w:hint="eastAsia"/>
                <w:color w:val="auto"/>
                <w:sz w:val="24"/>
              </w:rPr>
              <w:t>计为</w:t>
            </w:r>
            <w:r>
              <w:rPr>
                <w:rFonts w:hint="eastAsia"/>
                <w:color w:val="auto"/>
                <w:sz w:val="24"/>
                <w:lang w:val="en-US" w:eastAsia="zh-CN"/>
              </w:rPr>
              <w:t>0.8</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eastAsia"/>
                <w:color w:val="auto"/>
                <w:sz w:val="24"/>
              </w:rPr>
              <w:t>/d</w:t>
            </w:r>
            <w:r>
              <w:rPr>
                <w:rFonts w:hint="eastAsia" w:cs="Times New Roman"/>
                <w:color w:val="auto"/>
                <w:sz w:val="24"/>
              </w:rPr>
              <w:t>）</w:t>
            </w:r>
            <w:r>
              <w:rPr>
                <w:color w:val="auto"/>
                <w:sz w:val="24"/>
              </w:rPr>
              <w:t>。</w:t>
            </w:r>
          </w:p>
          <w:p w14:paraId="79AAFDC8">
            <w:pPr>
              <w:keepNext w:val="0"/>
              <w:keepLines w:val="0"/>
              <w:pageBreakBefore w:val="0"/>
              <w:kinsoku/>
              <w:wordWrap/>
              <w:overflowPunct/>
              <w:topLinePunct w:val="0"/>
              <w:bidi w:val="0"/>
              <w:adjustRightInd/>
              <w:snapToGrid/>
              <w:spacing w:line="360" w:lineRule="auto"/>
              <w:ind w:left="0" w:firstLine="480" w:firstLineChars="200"/>
              <w:jc w:val="both"/>
              <w:textAlignment w:val="auto"/>
              <w:rPr>
                <w:color w:val="auto"/>
                <w:sz w:val="24"/>
              </w:rPr>
            </w:pPr>
            <w:r>
              <w:rPr>
                <w:color w:val="auto"/>
                <w:sz w:val="24"/>
              </w:rPr>
              <w:t>②</w:t>
            </w:r>
            <w:r>
              <w:rPr>
                <w:rFonts w:hint="eastAsia"/>
                <w:color w:val="auto"/>
                <w:sz w:val="24"/>
                <w:lang w:val="en-US" w:eastAsia="zh-CN"/>
              </w:rPr>
              <w:t>循环</w:t>
            </w:r>
            <w:r>
              <w:rPr>
                <w:color w:val="auto"/>
                <w:sz w:val="24"/>
              </w:rPr>
              <w:t>冷却补充用水</w:t>
            </w:r>
          </w:p>
          <w:p w14:paraId="10CD73F8">
            <w:pPr>
              <w:keepNext w:val="0"/>
              <w:keepLines w:val="0"/>
              <w:pageBreakBefore w:val="0"/>
              <w:kinsoku/>
              <w:wordWrap/>
              <w:overflowPunct/>
              <w:topLinePunct w:val="0"/>
              <w:bidi w:val="0"/>
              <w:adjustRightInd/>
              <w:snapToGrid/>
              <w:spacing w:line="360" w:lineRule="auto"/>
              <w:ind w:left="0" w:firstLine="480" w:firstLineChars="200"/>
              <w:jc w:val="both"/>
              <w:textAlignment w:val="auto"/>
              <w:rPr>
                <w:color w:val="auto"/>
                <w:sz w:val="24"/>
                <w:szCs w:val="32"/>
                <w:highlight w:val="none"/>
              </w:rPr>
            </w:pPr>
            <w:r>
              <w:rPr>
                <w:rFonts w:hint="default" w:ascii="Times New Roman" w:hAnsi="Times New Roman" w:eastAsia="宋体" w:cs="Times New Roman"/>
                <w:color w:val="auto"/>
                <w:sz w:val="24"/>
                <w:szCs w:val="24"/>
              </w:rPr>
              <w:t>本项目</w:t>
            </w:r>
            <w:r>
              <w:rPr>
                <w:rFonts w:hint="eastAsia" w:cs="Times New Roman"/>
                <w:color w:val="auto"/>
                <w:sz w:val="24"/>
                <w:szCs w:val="24"/>
                <w:lang w:val="en-US" w:eastAsia="zh-CN"/>
              </w:rPr>
              <w:t>注塑、挤塑</w:t>
            </w:r>
            <w:r>
              <w:rPr>
                <w:rFonts w:hint="default" w:ascii="Times New Roman" w:hAnsi="Times New Roman" w:eastAsia="宋体" w:cs="Times New Roman"/>
                <w:color w:val="auto"/>
                <w:sz w:val="24"/>
                <w:szCs w:val="24"/>
              </w:rPr>
              <w:t>运行过程</w:t>
            </w:r>
            <w:r>
              <w:rPr>
                <w:rFonts w:hint="default" w:ascii="Times New Roman" w:hAnsi="Times New Roman" w:eastAsia="宋体" w:cs="Times New Roman"/>
                <w:color w:val="auto"/>
                <w:sz w:val="24"/>
                <w:szCs w:val="24"/>
                <w:lang w:eastAsia="zh-CN"/>
              </w:rPr>
              <w:t>采</w:t>
            </w:r>
            <w:r>
              <w:rPr>
                <w:rFonts w:hint="default" w:ascii="Times New Roman" w:hAnsi="Times New Roman" w:eastAsia="宋体" w:cs="Times New Roman"/>
                <w:color w:val="auto"/>
                <w:sz w:val="24"/>
                <w:szCs w:val="24"/>
              </w:rPr>
              <w:t>用水冷却，在挤出</w:t>
            </w:r>
            <w:r>
              <w:rPr>
                <w:rFonts w:hint="eastAsia" w:cs="Times New Roman"/>
                <w:color w:val="auto"/>
                <w:sz w:val="24"/>
                <w:szCs w:val="24"/>
                <w:lang w:eastAsia="zh-CN"/>
              </w:rPr>
              <w:t>、</w:t>
            </w:r>
            <w:r>
              <w:rPr>
                <w:rFonts w:hint="eastAsia" w:cs="Times New Roman"/>
                <w:color w:val="auto"/>
                <w:sz w:val="24"/>
                <w:szCs w:val="24"/>
                <w:lang w:val="en-US" w:eastAsia="zh-CN"/>
              </w:rPr>
              <w:t>注塑</w:t>
            </w:r>
            <w:r>
              <w:rPr>
                <w:rFonts w:hint="default" w:ascii="Times New Roman" w:hAnsi="Times New Roman" w:eastAsia="宋体" w:cs="Times New Roman"/>
                <w:color w:val="auto"/>
                <w:sz w:val="24"/>
                <w:szCs w:val="24"/>
              </w:rPr>
              <w:t>成型过程中，熔融的塑料从模具挤出后，需要快速冷却定型。冷却水通过冷却水箱，在管材或板材外部形成水膜或水环进行冷却，水与塑料制品不直接接触，而是通过热交换带走热量。这种间接冷却方式可以避免冷却水直接接触塑料表面造成污染，同时保证冷却均匀，防止产品变形、产生内应力等质量问题。冷却水经过循环系统冷却后重复使用，实现节能降耗。</w:t>
            </w:r>
            <w:r>
              <w:rPr>
                <w:rFonts w:hint="eastAsia" w:cs="Times New Roman"/>
                <w:color w:val="auto"/>
                <w:sz w:val="24"/>
                <w:szCs w:val="24"/>
                <w:lang w:val="en-US" w:eastAsia="zh-CN"/>
              </w:rPr>
              <w:t>本项目采用</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套</w:t>
            </w:r>
            <w:r>
              <w:rPr>
                <w:rFonts w:hint="eastAsia" w:ascii="Times New Roman" w:hAnsi="Times New Roman" w:eastAsia="宋体" w:cs="Times New Roman"/>
                <w:color w:val="auto"/>
                <w:sz w:val="24"/>
                <w:szCs w:val="24"/>
                <w:lang w:eastAsia="zh-CN"/>
              </w:rPr>
              <w:t>水</w:t>
            </w:r>
            <w:r>
              <w:rPr>
                <w:rFonts w:hint="default" w:ascii="Times New Roman" w:hAnsi="Times New Roman" w:eastAsia="宋体" w:cs="Times New Roman"/>
                <w:color w:val="auto"/>
                <w:sz w:val="24"/>
                <w:szCs w:val="24"/>
              </w:rPr>
              <w:t>循环系统，</w:t>
            </w:r>
            <w:r>
              <w:rPr>
                <w:rFonts w:hint="default" w:ascii="Times New Roman" w:hAnsi="Times New Roman" w:eastAsia="宋体" w:cs="Times New Roman"/>
                <w:color w:val="auto"/>
                <w:sz w:val="24"/>
                <w:szCs w:val="24"/>
                <w:lang w:eastAsia="zh-CN"/>
              </w:rPr>
              <w:t>在车间</w:t>
            </w:r>
            <w:r>
              <w:rPr>
                <w:rFonts w:hint="eastAsia" w:cs="Times New Roman"/>
                <w:color w:val="auto"/>
                <w:sz w:val="24"/>
                <w:szCs w:val="24"/>
                <w:lang w:val="en-US" w:eastAsia="zh-CN"/>
              </w:rPr>
              <w:t>外</w:t>
            </w:r>
            <w:r>
              <w:rPr>
                <w:rFonts w:hint="default" w:ascii="Times New Roman" w:hAnsi="Times New Roman" w:eastAsia="宋体" w:cs="Times New Roman"/>
                <w:color w:val="auto"/>
                <w:sz w:val="24"/>
                <w:szCs w:val="24"/>
                <w:lang w:eastAsia="zh-CN"/>
              </w:rPr>
              <w:t>设</w:t>
            </w:r>
            <w:r>
              <w:rPr>
                <w:rFonts w:hint="eastAsia" w:cs="Times New Roman"/>
                <w:color w:val="auto"/>
                <w:sz w:val="24"/>
                <w:szCs w:val="24"/>
                <w:lang w:val="en-US" w:eastAsia="zh-CN"/>
              </w:rPr>
              <w:t>1个冷却水池</w:t>
            </w:r>
            <w:r>
              <w:rPr>
                <w:rFonts w:hint="default" w:ascii="Times New Roman" w:hAnsi="Times New Roman" w:eastAsia="宋体" w:cs="Times New Roman"/>
                <w:color w:val="auto"/>
                <w:sz w:val="24"/>
                <w:szCs w:val="24"/>
                <w:lang w:eastAsia="zh-CN"/>
              </w:rPr>
              <w:t>，水池通过循环泵将冷却水送到</w:t>
            </w:r>
            <w:r>
              <w:rPr>
                <w:rFonts w:hint="eastAsia" w:ascii="Times New Roman" w:hAnsi="Times New Roman" w:eastAsia="宋体" w:cs="Times New Roman"/>
                <w:color w:val="auto"/>
                <w:sz w:val="24"/>
                <w:szCs w:val="24"/>
                <w:lang w:val="en-US" w:eastAsia="zh-CN"/>
              </w:rPr>
              <w:t>挤塑</w:t>
            </w:r>
            <w:r>
              <w:rPr>
                <w:rFonts w:hint="default" w:ascii="Times New Roman" w:hAnsi="Times New Roman" w:eastAsia="宋体" w:cs="Times New Roman"/>
                <w:color w:val="auto"/>
                <w:sz w:val="24"/>
                <w:szCs w:val="24"/>
                <w:lang w:eastAsia="zh-CN"/>
              </w:rPr>
              <w:t>机</w:t>
            </w:r>
            <w:r>
              <w:rPr>
                <w:rFonts w:hint="eastAsia" w:cs="Times New Roman"/>
                <w:color w:val="auto"/>
                <w:sz w:val="24"/>
                <w:szCs w:val="24"/>
                <w:lang w:eastAsia="zh-CN"/>
              </w:rPr>
              <w:t>、</w:t>
            </w:r>
            <w:r>
              <w:rPr>
                <w:rFonts w:hint="eastAsia" w:cs="Times New Roman"/>
                <w:color w:val="auto"/>
                <w:sz w:val="24"/>
                <w:szCs w:val="24"/>
                <w:lang w:val="en-US" w:eastAsia="zh-CN"/>
              </w:rPr>
              <w:t>注塑机</w:t>
            </w:r>
            <w:r>
              <w:rPr>
                <w:rFonts w:hint="default" w:ascii="Times New Roman" w:hAnsi="Times New Roman" w:eastAsia="宋体" w:cs="Times New Roman"/>
                <w:color w:val="auto"/>
                <w:sz w:val="24"/>
                <w:szCs w:val="24"/>
                <w:lang w:eastAsia="zh-CN"/>
              </w:rPr>
              <w:t>的生产线上</w:t>
            </w:r>
            <w:r>
              <w:rPr>
                <w:rFonts w:hint="eastAsia" w:cs="Times New Roman"/>
                <w:color w:val="auto"/>
                <w:sz w:val="24"/>
                <w:szCs w:val="24"/>
                <w:lang w:val="en-US" w:eastAsia="zh-CN"/>
              </w:rPr>
              <w:t>的冷却水箱</w:t>
            </w:r>
            <w:r>
              <w:rPr>
                <w:rFonts w:hint="default" w:ascii="Times New Roman" w:hAnsi="Times New Roman" w:eastAsia="宋体" w:cs="Times New Roman"/>
                <w:color w:val="auto"/>
                <w:sz w:val="24"/>
                <w:szCs w:val="24"/>
                <w:lang w:eastAsia="zh-CN"/>
              </w:rPr>
              <w:t>进行冷却，冷却完成后的水再通过管道回</w:t>
            </w:r>
            <w:r>
              <w:rPr>
                <w:rFonts w:hint="eastAsia" w:ascii="Times New Roman" w:hAnsi="Times New Roman" w:eastAsia="宋体" w:cs="Times New Roman"/>
                <w:color w:val="auto"/>
                <w:sz w:val="24"/>
                <w:szCs w:val="24"/>
                <w:lang w:eastAsia="zh-CN"/>
              </w:rPr>
              <w:t>流到</w:t>
            </w:r>
            <w:r>
              <w:rPr>
                <w:rFonts w:hint="default" w:ascii="Times New Roman" w:hAnsi="Times New Roman" w:eastAsia="宋体" w:cs="Times New Roman"/>
                <w:color w:val="auto"/>
                <w:sz w:val="24"/>
                <w:szCs w:val="24"/>
                <w:lang w:eastAsia="zh-CN"/>
              </w:rPr>
              <w:t>水池自然冷却。</w:t>
            </w:r>
            <w:r>
              <w:rPr>
                <w:rFonts w:hint="default" w:ascii="Times New Roman" w:hAnsi="Times New Roman" w:eastAsia="宋体" w:cs="Times New Roman"/>
                <w:color w:val="auto"/>
                <w:sz w:val="24"/>
                <w:szCs w:val="24"/>
              </w:rPr>
              <w:t>循环水池</w:t>
            </w:r>
            <w:r>
              <w:rPr>
                <w:rFonts w:hint="eastAsia" w:ascii="Times New Roman" w:hAnsi="Times New Roman" w:eastAsia="宋体" w:cs="Times New Roman"/>
                <w:color w:val="auto"/>
                <w:sz w:val="24"/>
                <w:szCs w:val="24"/>
                <w:lang w:eastAsia="zh-CN"/>
              </w:rPr>
              <w:t>有效</w:t>
            </w:r>
            <w:r>
              <w:rPr>
                <w:rFonts w:hint="default" w:ascii="Times New Roman" w:hAnsi="Times New Roman" w:eastAsia="宋体" w:cs="Times New Roman"/>
                <w:color w:val="auto"/>
                <w:sz w:val="24"/>
                <w:szCs w:val="24"/>
                <w:lang w:eastAsia="zh-CN"/>
              </w:rPr>
              <w:t>容积</w:t>
            </w:r>
            <w:r>
              <w:rPr>
                <w:rFonts w:hint="eastAsia" w:ascii="Times New Roman" w:hAnsi="Times New Roman" w:eastAsia="宋体" w:cs="Times New Roman"/>
                <w:color w:val="auto"/>
                <w:sz w:val="24"/>
                <w:szCs w:val="24"/>
                <w:lang w:eastAsia="zh-CN"/>
              </w:rPr>
              <w:t>约</w:t>
            </w:r>
            <w:r>
              <w:rPr>
                <w:rFonts w:hint="default" w:ascii="Times New Roman" w:hAnsi="Times New Roman" w:eastAsia="宋体" w:cs="Times New Roman"/>
                <w:color w:val="auto"/>
                <w:sz w:val="24"/>
                <w:szCs w:val="24"/>
                <w:lang w:eastAsia="zh-CN"/>
              </w:rPr>
              <w:t>为</w:t>
            </w:r>
            <w:r>
              <w:rPr>
                <w:rFonts w:hint="eastAsia" w:cs="Times New Roman"/>
                <w:color w:val="auto"/>
                <w:sz w:val="24"/>
                <w:szCs w:val="24"/>
                <w:lang w:val="en-US" w:eastAsia="zh-CN"/>
              </w:rPr>
              <w:t>2</w:t>
            </w:r>
            <w:r>
              <w:rPr>
                <w:rFonts w:hint="eastAsia" w:ascii="Times New Roman" w:hAnsi="Times New Roman" w:eastAsia="宋体" w:cs="Times New Roman"/>
                <w:color w:val="auto"/>
                <w:sz w:val="24"/>
                <w:szCs w:val="24"/>
                <w:lang w:val="en-US" w:eastAsia="zh-CN"/>
              </w:rPr>
              <w:t>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冷却水箱</w:t>
            </w:r>
            <w:r>
              <w:rPr>
                <w:rFonts w:hint="default" w:ascii="Times New Roman" w:hAnsi="Times New Roman" w:eastAsia="宋体" w:cs="Times New Roman"/>
                <w:kern w:val="2"/>
                <w:sz w:val="24"/>
                <w:szCs w:val="24"/>
                <w:lang w:val="en-US" w:eastAsia="zh-CN" w:bidi="ar"/>
              </w:rPr>
              <w:t>每小时用水量为</w:t>
            </w:r>
            <w:r>
              <w:rPr>
                <w:rFonts w:hint="eastAsia" w:cs="Times New Roman"/>
                <w:kern w:val="2"/>
                <w:sz w:val="24"/>
                <w:szCs w:val="24"/>
                <w:lang w:val="en-US" w:eastAsia="zh-CN" w:bidi="ar"/>
              </w:rPr>
              <w:t>0.2</w:t>
            </w:r>
            <w:r>
              <w:rPr>
                <w:rFonts w:hint="default" w:ascii="Times New Roman" w:hAnsi="Times New Roman" w:eastAsia="宋体" w:cs="Times New Roman"/>
                <w:kern w:val="2"/>
                <w:sz w:val="24"/>
                <w:szCs w:val="24"/>
                <w:lang w:val="en-US" w:eastAsia="zh-CN" w:bidi="ar"/>
              </w:rPr>
              <w:t>m</w:t>
            </w:r>
            <w:r>
              <w:rPr>
                <w:rFonts w:hint="default" w:ascii="Times New Roman" w:hAnsi="Times New Roman" w:eastAsia="宋体" w:cs="Times New Roman"/>
                <w:kern w:val="2"/>
                <w:sz w:val="24"/>
                <w:szCs w:val="24"/>
                <w:vertAlign w:val="superscript"/>
                <w:lang w:val="en-US" w:eastAsia="zh-CN" w:bidi="ar"/>
              </w:rPr>
              <w:t>3</w:t>
            </w:r>
            <w:r>
              <w:rPr>
                <w:rFonts w:hint="default" w:ascii="Times New Roman" w:hAnsi="Times New Roman" w:eastAsia="宋体" w:cs="Times New Roman"/>
                <w:kern w:val="2"/>
                <w:sz w:val="24"/>
                <w:szCs w:val="24"/>
                <w:lang w:val="en-US" w:eastAsia="zh-CN" w:bidi="ar"/>
              </w:rPr>
              <w:t>/h</w:t>
            </w:r>
            <w:r>
              <w:rPr>
                <w:rFonts w:hint="eastAsia" w:ascii="Times New Roman" w:hAnsi="Times New Roman" w:eastAsia="宋体" w:cs="Times New Roman"/>
                <w:kern w:val="2"/>
                <w:sz w:val="24"/>
                <w:szCs w:val="24"/>
                <w:lang w:val="en-US" w:eastAsia="zh-CN" w:bidi="ar"/>
              </w:rPr>
              <w:t>，项目设有</w:t>
            </w:r>
            <w:r>
              <w:rPr>
                <w:rFonts w:hint="eastAsia" w:cs="Times New Roman"/>
                <w:kern w:val="2"/>
                <w:sz w:val="24"/>
                <w:szCs w:val="24"/>
                <w:lang w:val="en-US" w:eastAsia="zh-CN" w:bidi="ar"/>
              </w:rPr>
              <w:t>10</w:t>
            </w:r>
            <w:r>
              <w:rPr>
                <w:rFonts w:hint="eastAsia" w:ascii="Times New Roman" w:hAnsi="Times New Roman" w:eastAsia="宋体" w:cs="Times New Roman"/>
                <w:kern w:val="2"/>
                <w:sz w:val="24"/>
                <w:szCs w:val="24"/>
                <w:lang w:val="en-US" w:eastAsia="zh-CN" w:bidi="ar"/>
              </w:rPr>
              <w:t>个冷却水箱，则冷却水箱用水量为</w:t>
            </w:r>
            <w:r>
              <w:rPr>
                <w:rFonts w:hint="eastAsia" w:cs="Times New Roman"/>
                <w:kern w:val="2"/>
                <w:sz w:val="24"/>
                <w:szCs w:val="24"/>
                <w:lang w:val="en-US" w:eastAsia="zh-CN" w:bidi="ar"/>
              </w:rPr>
              <w:t>20</w:t>
            </w:r>
            <w:r>
              <w:rPr>
                <w:rFonts w:hint="default" w:ascii="Times New Roman" w:hAnsi="Times New Roman" w:eastAsia="宋体" w:cs="Times New Roman"/>
                <w:kern w:val="2"/>
                <w:sz w:val="24"/>
                <w:szCs w:val="24"/>
                <w:lang w:val="en-US" w:eastAsia="zh-CN" w:bidi="ar"/>
              </w:rPr>
              <w:t>m</w:t>
            </w:r>
            <w:r>
              <w:rPr>
                <w:rFonts w:hint="default" w:ascii="Times New Roman" w:hAnsi="Times New Roman" w:eastAsia="宋体" w:cs="Times New Roman"/>
                <w:kern w:val="2"/>
                <w:sz w:val="24"/>
                <w:szCs w:val="24"/>
                <w:vertAlign w:val="superscript"/>
                <w:lang w:val="en-US" w:eastAsia="zh-CN" w:bidi="ar"/>
              </w:rPr>
              <w:t>3</w:t>
            </w:r>
            <w:r>
              <w:rPr>
                <w:rFonts w:hint="default" w:ascii="Times New Roman" w:hAnsi="Times New Roman" w:eastAsia="宋体" w:cs="Times New Roman"/>
                <w:kern w:val="2"/>
                <w:sz w:val="24"/>
                <w:szCs w:val="24"/>
                <w:lang w:val="en-US" w:eastAsia="zh-CN" w:bidi="ar"/>
              </w:rPr>
              <w:t>/</w:t>
            </w:r>
            <w:r>
              <w:rPr>
                <w:rFonts w:hint="eastAsia" w:ascii="Times New Roman" w:hAnsi="Times New Roman" w:eastAsia="宋体" w:cs="Times New Roman"/>
                <w:kern w:val="2"/>
                <w:sz w:val="24"/>
                <w:szCs w:val="24"/>
                <w:lang w:val="en-US" w:eastAsia="zh-CN" w:bidi="ar"/>
              </w:rPr>
              <w:t>d</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其</w:t>
            </w:r>
            <w:r>
              <w:rPr>
                <w:rFonts w:hint="default" w:ascii="Times New Roman" w:hAnsi="Times New Roman" w:eastAsia="宋体" w:cs="Times New Roman"/>
                <w:color w:val="auto"/>
                <w:sz w:val="24"/>
                <w:szCs w:val="24"/>
              </w:rPr>
              <w:t>蒸发损耗水定期补充</w:t>
            </w:r>
            <w:r>
              <w:rPr>
                <w:rFonts w:hint="eastAsia" w:ascii="Times New Roman" w:hAnsi="Times New Roman" w:eastAsia="宋体" w:cs="Times New Roman"/>
                <w:color w:val="auto"/>
                <w:sz w:val="24"/>
                <w:szCs w:val="24"/>
                <w:lang w:eastAsia="zh-CN"/>
              </w:rPr>
              <w:t>，</w:t>
            </w:r>
            <w:r>
              <w:rPr>
                <w:rFonts w:hint="eastAsia" w:cs="Times New Roman"/>
                <w:kern w:val="2"/>
                <w:sz w:val="24"/>
                <w:szCs w:val="24"/>
                <w:lang w:val="en-US" w:eastAsia="zh-CN" w:bidi="ar"/>
              </w:rPr>
              <w:t>损耗水量约为用水量的10%</w:t>
            </w:r>
            <w:r>
              <w:rPr>
                <w:rFonts w:hint="default" w:ascii="Times New Roman" w:hAnsi="Times New Roman" w:eastAsia="宋体" w:cs="Times New Roman"/>
                <w:color w:val="auto"/>
                <w:sz w:val="24"/>
                <w:szCs w:val="24"/>
              </w:rPr>
              <w:t>。本项目日工作</w:t>
            </w:r>
            <w:r>
              <w:rPr>
                <w:rFonts w:hint="eastAsia" w:cs="Times New Roman"/>
                <w:color w:val="auto"/>
                <w:sz w:val="24"/>
                <w:szCs w:val="24"/>
                <w:lang w:val="en-US" w:eastAsia="zh-CN"/>
              </w:rPr>
              <w:t>10</w:t>
            </w:r>
            <w:r>
              <w:rPr>
                <w:rFonts w:hint="default" w:ascii="Times New Roman" w:hAnsi="Times New Roman" w:eastAsia="宋体" w:cs="Times New Roman"/>
                <w:color w:val="auto"/>
                <w:sz w:val="24"/>
                <w:szCs w:val="24"/>
              </w:rPr>
              <w:t>小时，年工作300天，所以本项目补水量为</w:t>
            </w:r>
            <w:r>
              <w:rPr>
                <w:rFonts w:hint="eastAsia" w:cs="Times New Roman"/>
                <w:color w:val="auto"/>
                <w:sz w:val="24"/>
                <w:szCs w:val="24"/>
                <w:lang w:val="en-US" w:eastAsia="zh-CN"/>
              </w:rPr>
              <w:t>2</w:t>
            </w:r>
            <w:r>
              <w:rPr>
                <w:rFonts w:hint="eastAsia" w:ascii="Times New Roman" w:hAnsi="Times New Roman" w:eastAsia="宋体" w:cs="Times New Roman"/>
                <w:color w:val="auto"/>
                <w:sz w:val="24"/>
                <w:szCs w:val="24"/>
                <w:lang w:val="en-US" w:eastAsia="zh-CN"/>
              </w:rPr>
              <w:t>m</w:t>
            </w:r>
            <w:r>
              <w:rPr>
                <w:rFonts w:hint="eastAsia" w:ascii="Times New Roman" w:hAnsi="Times New Roman" w:eastAsia="宋体" w:cs="Times New Roman"/>
                <w:color w:val="auto"/>
                <w:sz w:val="24"/>
                <w:szCs w:val="24"/>
                <w:vertAlign w:val="superscript"/>
                <w:lang w:eastAsia="zh-CN"/>
              </w:rPr>
              <w:t>3</w:t>
            </w:r>
            <w:r>
              <w:rPr>
                <w:rFonts w:hint="default" w:ascii="Times New Roman" w:hAnsi="Times New Roman" w:eastAsia="宋体" w:cs="Times New Roman"/>
                <w:color w:val="auto"/>
                <w:sz w:val="24"/>
                <w:szCs w:val="24"/>
              </w:rPr>
              <w:t>/d</w:t>
            </w:r>
            <w:r>
              <w:rPr>
                <w:rFonts w:hint="eastAsia" w:ascii="Times New Roman" w:hAnsi="Times New Roman" w:eastAsia="宋体" w:cs="Times New Roman"/>
                <w:color w:val="auto"/>
                <w:sz w:val="24"/>
                <w:szCs w:val="24"/>
                <w:lang w:eastAsia="zh-CN"/>
              </w:rPr>
              <w:t>（</w:t>
            </w:r>
            <w:r>
              <w:rPr>
                <w:rFonts w:hint="eastAsia" w:cs="Times New Roman"/>
                <w:color w:val="auto"/>
                <w:sz w:val="24"/>
                <w:szCs w:val="24"/>
                <w:lang w:val="en-US" w:eastAsia="zh-CN"/>
              </w:rPr>
              <w:t>600</w:t>
            </w:r>
            <w:r>
              <w:rPr>
                <w:rFonts w:hint="eastAsia" w:ascii="Times New Roman" w:hAnsi="Times New Roman" w:eastAsia="宋体" w:cs="Times New Roman"/>
                <w:color w:val="auto"/>
                <w:sz w:val="24"/>
                <w:szCs w:val="24"/>
                <w:lang w:val="en-US" w:eastAsia="zh-CN"/>
              </w:rPr>
              <w:t>m</w:t>
            </w:r>
            <w:r>
              <w:rPr>
                <w:rFonts w:hint="eastAsia" w:ascii="Times New Roman" w:hAnsi="Times New Roman" w:eastAsia="宋体" w:cs="Times New Roman"/>
                <w:color w:val="auto"/>
                <w:sz w:val="24"/>
                <w:szCs w:val="24"/>
                <w:vertAlign w:val="superscript"/>
                <w:lang w:eastAsia="zh-CN"/>
              </w:rPr>
              <w:t>3</w:t>
            </w:r>
            <w:r>
              <w:rPr>
                <w:rFonts w:hint="default" w:ascii="Times New Roman" w:hAnsi="Times New Roman" w:eastAsia="宋体" w:cs="Times New Roman"/>
                <w:color w:val="auto"/>
                <w:sz w:val="24"/>
                <w:szCs w:val="24"/>
              </w:rPr>
              <w:t>/a</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w:t>
            </w:r>
          </w:p>
          <w:p w14:paraId="4B2C0E0C">
            <w:pPr>
              <w:spacing w:line="360" w:lineRule="auto"/>
              <w:jc w:val="center"/>
              <w:rPr>
                <w:rFonts w:hint="eastAsia" w:ascii="Times New Roman" w:hAnsi="Times New Roman" w:cs="Times New Roman"/>
                <w:b/>
                <w:bCs/>
                <w:color w:val="auto"/>
                <w:sz w:val="24"/>
                <w:szCs w:val="24"/>
                <w:lang w:eastAsia="zh-CN"/>
              </w:rPr>
            </w:pPr>
            <w:bookmarkStart w:id="7" w:name="OLE_LINK19"/>
            <w:r>
              <w:rPr>
                <w:rFonts w:hint="default" w:ascii="Times New Roman" w:hAnsi="Times New Roman" w:cs="Times New Roman"/>
                <w:b/>
                <w:bCs/>
                <w:color w:val="auto"/>
                <w:sz w:val="24"/>
                <w:szCs w:val="24"/>
                <w:lang w:eastAsia="zh-CN"/>
              </w:rPr>
              <w:t>表</w:t>
            </w:r>
            <w:r>
              <w:rPr>
                <w:rFonts w:hint="eastAsia" w:cs="Times New Roman"/>
                <w:b/>
                <w:bCs/>
                <w:color w:val="auto"/>
                <w:sz w:val="24"/>
                <w:szCs w:val="24"/>
                <w:lang w:val="en-US" w:eastAsia="zh-CN"/>
              </w:rPr>
              <w:t xml:space="preserve">2-8  </w:t>
            </w:r>
            <w:r>
              <w:rPr>
                <w:rFonts w:hint="default" w:ascii="Times New Roman" w:hAnsi="Times New Roman" w:cs="Times New Roman"/>
                <w:b/>
                <w:bCs/>
                <w:color w:val="auto"/>
                <w:sz w:val="24"/>
                <w:szCs w:val="24"/>
                <w:lang w:eastAsia="zh-CN"/>
              </w:rPr>
              <w:t>项目用</w:t>
            </w:r>
            <w:r>
              <w:rPr>
                <w:rFonts w:hint="eastAsia" w:ascii="Times New Roman" w:hAnsi="Times New Roman" w:cs="Times New Roman"/>
                <w:b/>
                <w:bCs/>
                <w:color w:val="auto"/>
                <w:sz w:val="24"/>
                <w:szCs w:val="24"/>
                <w:lang w:eastAsia="zh-CN"/>
              </w:rPr>
              <w:t>排水情况表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63"/>
              <w:gridCol w:w="1107"/>
              <w:gridCol w:w="1337"/>
              <w:gridCol w:w="1582"/>
              <w:gridCol w:w="1105"/>
              <w:gridCol w:w="1509"/>
            </w:tblGrid>
            <w:tr w14:paraId="52B77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141" w:type="pct"/>
                  <w:tcBorders>
                    <w:tl2br w:val="nil"/>
                    <w:tr2bl w:val="nil"/>
                  </w:tcBorders>
                  <w:noWrap w:val="0"/>
                  <w:vAlign w:val="center"/>
                </w:tcPr>
                <w:p w14:paraId="15BB4865">
                  <w:pPr>
                    <w:keepNext w:val="0"/>
                    <w:keepLines w:val="0"/>
                    <w:pageBreakBefore w:val="0"/>
                    <w:kinsoku/>
                    <w:wordWrap/>
                    <w:overflowPunct/>
                    <w:topLinePunct w:val="0"/>
                    <w:autoSpaceDE/>
                    <w:autoSpaceDN/>
                    <w:bidi w:val="0"/>
                    <w:adjustRightInd/>
                    <w:snapToGrid/>
                    <w:jc w:val="center"/>
                    <w:rPr>
                      <w:rFonts w:hint="default"/>
                      <w:b w:val="0"/>
                      <w:bCs w:val="0"/>
                      <w:sz w:val="21"/>
                      <w:szCs w:val="21"/>
                    </w:rPr>
                  </w:pPr>
                  <w:r>
                    <w:rPr>
                      <w:rFonts w:hint="default"/>
                      <w:b w:val="0"/>
                      <w:bCs w:val="0"/>
                      <w:sz w:val="21"/>
                      <w:szCs w:val="21"/>
                    </w:rPr>
                    <w:t>用水类别</w:t>
                  </w:r>
                </w:p>
              </w:tc>
              <w:tc>
                <w:tcPr>
                  <w:tcW w:w="643" w:type="pct"/>
                  <w:tcBorders>
                    <w:tl2br w:val="nil"/>
                    <w:tr2bl w:val="nil"/>
                  </w:tcBorders>
                  <w:noWrap w:val="0"/>
                  <w:vAlign w:val="center"/>
                </w:tcPr>
                <w:p w14:paraId="7A51570F">
                  <w:pPr>
                    <w:keepNext w:val="0"/>
                    <w:keepLines w:val="0"/>
                    <w:pageBreakBefore w:val="0"/>
                    <w:kinsoku/>
                    <w:wordWrap/>
                    <w:overflowPunct/>
                    <w:topLinePunct w:val="0"/>
                    <w:autoSpaceDE/>
                    <w:autoSpaceDN/>
                    <w:bidi w:val="0"/>
                    <w:adjustRightInd/>
                    <w:snapToGrid/>
                    <w:jc w:val="center"/>
                    <w:rPr>
                      <w:rFonts w:hint="default"/>
                      <w:b w:val="0"/>
                      <w:bCs w:val="0"/>
                      <w:sz w:val="21"/>
                      <w:szCs w:val="21"/>
                    </w:rPr>
                  </w:pPr>
                  <w:r>
                    <w:rPr>
                      <w:rFonts w:hint="default"/>
                      <w:b w:val="0"/>
                      <w:bCs w:val="0"/>
                      <w:sz w:val="21"/>
                      <w:szCs w:val="21"/>
                    </w:rPr>
                    <w:t>用水规模</w:t>
                  </w:r>
                </w:p>
              </w:tc>
              <w:tc>
                <w:tcPr>
                  <w:tcW w:w="775" w:type="pct"/>
                  <w:tcBorders>
                    <w:tl2br w:val="nil"/>
                    <w:tr2bl w:val="nil"/>
                  </w:tcBorders>
                  <w:noWrap w:val="0"/>
                  <w:vAlign w:val="center"/>
                </w:tcPr>
                <w:p w14:paraId="191C2268">
                  <w:pPr>
                    <w:keepNext w:val="0"/>
                    <w:keepLines w:val="0"/>
                    <w:pageBreakBefore w:val="0"/>
                    <w:kinsoku/>
                    <w:wordWrap/>
                    <w:overflowPunct/>
                    <w:topLinePunct w:val="0"/>
                    <w:autoSpaceDE/>
                    <w:autoSpaceDN/>
                    <w:bidi w:val="0"/>
                    <w:adjustRightInd/>
                    <w:snapToGrid/>
                    <w:jc w:val="center"/>
                    <w:rPr>
                      <w:rFonts w:hint="default"/>
                      <w:b w:val="0"/>
                      <w:bCs w:val="0"/>
                      <w:sz w:val="21"/>
                      <w:szCs w:val="21"/>
                    </w:rPr>
                  </w:pPr>
                  <w:r>
                    <w:rPr>
                      <w:rFonts w:hint="default"/>
                      <w:b w:val="0"/>
                      <w:bCs w:val="0"/>
                      <w:sz w:val="21"/>
                      <w:szCs w:val="21"/>
                    </w:rPr>
                    <w:t>用水量定额</w:t>
                  </w:r>
                </w:p>
              </w:tc>
              <w:tc>
                <w:tcPr>
                  <w:tcW w:w="919" w:type="pct"/>
                  <w:tcBorders>
                    <w:tl2br w:val="nil"/>
                    <w:tr2bl w:val="nil"/>
                  </w:tcBorders>
                  <w:noWrap w:val="0"/>
                  <w:vAlign w:val="center"/>
                </w:tcPr>
                <w:p w14:paraId="25FDF95F">
                  <w:pPr>
                    <w:keepNext w:val="0"/>
                    <w:keepLines w:val="0"/>
                    <w:pageBreakBefore w:val="0"/>
                    <w:kinsoku/>
                    <w:wordWrap/>
                    <w:overflowPunct/>
                    <w:topLinePunct w:val="0"/>
                    <w:autoSpaceDE/>
                    <w:autoSpaceDN/>
                    <w:bidi w:val="0"/>
                    <w:adjustRightInd/>
                    <w:snapToGrid/>
                    <w:jc w:val="center"/>
                    <w:rPr>
                      <w:rFonts w:hint="default"/>
                      <w:b w:val="0"/>
                      <w:bCs w:val="0"/>
                      <w:sz w:val="21"/>
                      <w:szCs w:val="21"/>
                    </w:rPr>
                  </w:pPr>
                  <w:r>
                    <w:rPr>
                      <w:rFonts w:hint="default"/>
                      <w:b w:val="0"/>
                      <w:bCs w:val="0"/>
                      <w:sz w:val="21"/>
                      <w:szCs w:val="21"/>
                    </w:rPr>
                    <w:t>用水量（</w:t>
                  </w:r>
                  <w:r>
                    <w:rPr>
                      <w:rFonts w:hint="eastAsia" w:ascii="Times New Roman" w:hAnsi="Times New Roman" w:eastAsia="宋体" w:cs="Times New Roman"/>
                      <w:b w:val="0"/>
                      <w:bCs w:val="0"/>
                      <w:sz w:val="21"/>
                      <w:szCs w:val="21"/>
                      <w:lang w:val="en-US" w:eastAsia="zh-CN"/>
                    </w:rPr>
                    <w:t>m</w:t>
                  </w:r>
                  <w:r>
                    <w:rPr>
                      <w:rFonts w:hint="eastAsia" w:ascii="Times New Roman" w:hAnsi="Times New Roman" w:eastAsia="宋体" w:cs="Times New Roman"/>
                      <w:b w:val="0"/>
                      <w:bCs w:val="0"/>
                      <w:color w:val="auto"/>
                      <w:sz w:val="21"/>
                      <w:szCs w:val="21"/>
                      <w:vertAlign w:val="superscript"/>
                      <w:lang w:val="en-US" w:eastAsia="zh-CN"/>
                    </w:rPr>
                    <w:t>3</w:t>
                  </w:r>
                  <w:r>
                    <w:rPr>
                      <w:rFonts w:hint="default"/>
                      <w:b w:val="0"/>
                      <w:bCs w:val="0"/>
                      <w:sz w:val="21"/>
                      <w:szCs w:val="21"/>
                    </w:rPr>
                    <w:t>/d）</w:t>
                  </w:r>
                </w:p>
              </w:tc>
              <w:tc>
                <w:tcPr>
                  <w:tcW w:w="642" w:type="pct"/>
                  <w:tcBorders>
                    <w:tl2br w:val="nil"/>
                    <w:tr2bl w:val="nil"/>
                  </w:tcBorders>
                  <w:noWrap w:val="0"/>
                  <w:vAlign w:val="center"/>
                </w:tcPr>
                <w:p w14:paraId="12894AAD">
                  <w:pPr>
                    <w:keepNext w:val="0"/>
                    <w:keepLines w:val="0"/>
                    <w:pageBreakBefore w:val="0"/>
                    <w:kinsoku/>
                    <w:wordWrap/>
                    <w:overflowPunct/>
                    <w:topLinePunct w:val="0"/>
                    <w:autoSpaceDE/>
                    <w:autoSpaceDN/>
                    <w:bidi w:val="0"/>
                    <w:adjustRightInd/>
                    <w:snapToGrid/>
                    <w:jc w:val="center"/>
                    <w:rPr>
                      <w:rFonts w:hint="default"/>
                      <w:b w:val="0"/>
                      <w:bCs w:val="0"/>
                      <w:sz w:val="21"/>
                      <w:szCs w:val="21"/>
                      <w:lang w:eastAsia="zh-CN"/>
                    </w:rPr>
                  </w:pPr>
                  <w:r>
                    <w:rPr>
                      <w:rFonts w:hint="default"/>
                      <w:b w:val="0"/>
                      <w:bCs w:val="0"/>
                      <w:sz w:val="21"/>
                      <w:szCs w:val="21"/>
                      <w:lang w:eastAsia="zh-CN"/>
                    </w:rPr>
                    <w:t>排水系数</w:t>
                  </w:r>
                </w:p>
              </w:tc>
              <w:tc>
                <w:tcPr>
                  <w:tcW w:w="877" w:type="pct"/>
                  <w:tcBorders>
                    <w:tl2br w:val="nil"/>
                    <w:tr2bl w:val="nil"/>
                  </w:tcBorders>
                  <w:noWrap w:val="0"/>
                  <w:vAlign w:val="center"/>
                </w:tcPr>
                <w:p w14:paraId="1308E045">
                  <w:pPr>
                    <w:keepNext w:val="0"/>
                    <w:keepLines w:val="0"/>
                    <w:pageBreakBefore w:val="0"/>
                    <w:kinsoku/>
                    <w:wordWrap/>
                    <w:overflowPunct/>
                    <w:topLinePunct w:val="0"/>
                    <w:autoSpaceDE/>
                    <w:autoSpaceDN/>
                    <w:bidi w:val="0"/>
                    <w:adjustRightInd/>
                    <w:snapToGrid/>
                    <w:jc w:val="center"/>
                    <w:rPr>
                      <w:rFonts w:hint="default"/>
                      <w:b w:val="0"/>
                      <w:bCs w:val="0"/>
                      <w:sz w:val="21"/>
                      <w:szCs w:val="21"/>
                    </w:rPr>
                  </w:pPr>
                  <w:r>
                    <w:rPr>
                      <w:rFonts w:hint="default"/>
                      <w:b w:val="0"/>
                      <w:bCs w:val="0"/>
                      <w:sz w:val="21"/>
                      <w:szCs w:val="21"/>
                    </w:rPr>
                    <w:t>排水量（</w:t>
                  </w:r>
                  <w:r>
                    <w:rPr>
                      <w:rFonts w:hint="eastAsia" w:ascii="Times New Roman" w:hAnsi="Times New Roman" w:eastAsia="宋体" w:cs="Times New Roman"/>
                      <w:b w:val="0"/>
                      <w:bCs w:val="0"/>
                      <w:sz w:val="21"/>
                      <w:szCs w:val="21"/>
                      <w:lang w:val="en-US" w:eastAsia="zh-CN"/>
                    </w:rPr>
                    <w:t>m</w:t>
                  </w:r>
                  <w:r>
                    <w:rPr>
                      <w:rFonts w:hint="eastAsia" w:ascii="Times New Roman" w:hAnsi="Times New Roman" w:eastAsia="宋体" w:cs="Times New Roman"/>
                      <w:b w:val="0"/>
                      <w:bCs w:val="0"/>
                      <w:color w:val="auto"/>
                      <w:sz w:val="21"/>
                      <w:szCs w:val="21"/>
                      <w:vertAlign w:val="superscript"/>
                      <w:lang w:val="en-US" w:eastAsia="zh-CN"/>
                    </w:rPr>
                    <w:t>3</w:t>
                  </w:r>
                  <w:r>
                    <w:rPr>
                      <w:rFonts w:hint="default"/>
                      <w:b w:val="0"/>
                      <w:bCs w:val="0"/>
                      <w:sz w:val="21"/>
                      <w:szCs w:val="21"/>
                    </w:rPr>
                    <w:t>/d）</w:t>
                  </w:r>
                </w:p>
              </w:tc>
            </w:tr>
            <w:tr w14:paraId="5219B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141" w:type="pct"/>
                  <w:tcBorders>
                    <w:tl2br w:val="nil"/>
                    <w:tr2bl w:val="nil"/>
                  </w:tcBorders>
                  <w:noWrap w:val="0"/>
                  <w:vAlign w:val="center"/>
                </w:tcPr>
                <w:p w14:paraId="6A6FDDB0">
                  <w:pPr>
                    <w:keepNext w:val="0"/>
                    <w:keepLines w:val="0"/>
                    <w:pageBreakBefore w:val="0"/>
                    <w:kinsoku/>
                    <w:wordWrap/>
                    <w:overflowPunct/>
                    <w:topLinePunct w:val="0"/>
                    <w:autoSpaceDE/>
                    <w:autoSpaceDN/>
                    <w:bidi w:val="0"/>
                    <w:adjustRightInd/>
                    <w:snapToGrid/>
                    <w:jc w:val="center"/>
                    <w:rPr>
                      <w:rFonts w:hint="default"/>
                      <w:b w:val="0"/>
                      <w:bCs w:val="0"/>
                      <w:sz w:val="21"/>
                      <w:szCs w:val="21"/>
                    </w:rPr>
                  </w:pPr>
                  <w:r>
                    <w:rPr>
                      <w:rFonts w:hint="eastAsia"/>
                      <w:b w:val="0"/>
                      <w:bCs w:val="0"/>
                      <w:sz w:val="21"/>
                      <w:szCs w:val="21"/>
                      <w:lang w:eastAsia="zh-CN"/>
                    </w:rPr>
                    <w:t>生活用水</w:t>
                  </w:r>
                </w:p>
              </w:tc>
              <w:tc>
                <w:tcPr>
                  <w:tcW w:w="643" w:type="pct"/>
                  <w:tcBorders>
                    <w:tl2br w:val="nil"/>
                    <w:tr2bl w:val="nil"/>
                  </w:tcBorders>
                  <w:noWrap w:val="0"/>
                  <w:vAlign w:val="center"/>
                </w:tcPr>
                <w:p w14:paraId="5D31A58A">
                  <w:pPr>
                    <w:keepNext w:val="0"/>
                    <w:keepLines w:val="0"/>
                    <w:pageBreakBefore w:val="0"/>
                    <w:kinsoku/>
                    <w:wordWrap/>
                    <w:overflowPunct/>
                    <w:topLinePunct w:val="0"/>
                    <w:autoSpaceDE/>
                    <w:autoSpaceDN/>
                    <w:bidi w:val="0"/>
                    <w:adjustRightInd/>
                    <w:snapToGrid/>
                    <w:jc w:val="center"/>
                    <w:rPr>
                      <w:rFonts w:hint="default"/>
                      <w:b w:val="0"/>
                      <w:bCs w:val="0"/>
                      <w:sz w:val="21"/>
                      <w:szCs w:val="21"/>
                    </w:rPr>
                  </w:pPr>
                  <w:r>
                    <w:rPr>
                      <w:rFonts w:hint="eastAsia"/>
                      <w:b w:val="0"/>
                      <w:bCs w:val="0"/>
                      <w:sz w:val="21"/>
                      <w:szCs w:val="21"/>
                      <w:lang w:val="en-US" w:eastAsia="zh-CN"/>
                    </w:rPr>
                    <w:t>20</w:t>
                  </w:r>
                  <w:r>
                    <w:rPr>
                      <w:rFonts w:hint="default"/>
                      <w:b w:val="0"/>
                      <w:bCs w:val="0"/>
                      <w:sz w:val="21"/>
                      <w:szCs w:val="21"/>
                    </w:rPr>
                    <w:t>人/d</w:t>
                  </w:r>
                </w:p>
              </w:tc>
              <w:tc>
                <w:tcPr>
                  <w:tcW w:w="775" w:type="pct"/>
                  <w:tcBorders>
                    <w:tl2br w:val="nil"/>
                    <w:tr2bl w:val="nil"/>
                  </w:tcBorders>
                  <w:noWrap w:val="0"/>
                  <w:vAlign w:val="center"/>
                </w:tcPr>
                <w:p w14:paraId="52CEAF97">
                  <w:pPr>
                    <w:keepNext w:val="0"/>
                    <w:keepLines w:val="0"/>
                    <w:pageBreakBefore w:val="0"/>
                    <w:kinsoku/>
                    <w:wordWrap/>
                    <w:overflowPunct/>
                    <w:topLinePunct w:val="0"/>
                    <w:autoSpaceDE/>
                    <w:autoSpaceDN/>
                    <w:bidi w:val="0"/>
                    <w:adjustRightInd/>
                    <w:snapToGrid/>
                    <w:jc w:val="center"/>
                    <w:rPr>
                      <w:rFonts w:hint="default"/>
                      <w:b w:val="0"/>
                      <w:bCs w:val="0"/>
                      <w:sz w:val="21"/>
                      <w:szCs w:val="21"/>
                    </w:rPr>
                  </w:pPr>
                  <w:r>
                    <w:rPr>
                      <w:rFonts w:hint="eastAsia"/>
                      <w:color w:val="auto"/>
                      <w:sz w:val="21"/>
                      <w:szCs w:val="21"/>
                      <w:lang w:val="en-US" w:eastAsia="zh-CN"/>
                    </w:rPr>
                    <w:t>10</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eastAsia"/>
                      <w:color w:val="auto"/>
                      <w:sz w:val="21"/>
                      <w:szCs w:val="21"/>
                    </w:rPr>
                    <w:t>/（人</w:t>
                  </w:r>
                  <w:r>
                    <w:rPr>
                      <w:rFonts w:hint="eastAsia" w:ascii="微软雅黑" w:hAnsi="微软雅黑" w:eastAsia="微软雅黑" w:cs="微软雅黑"/>
                      <w:color w:val="auto"/>
                      <w:sz w:val="21"/>
                      <w:szCs w:val="21"/>
                    </w:rPr>
                    <w:t>·</w:t>
                  </w:r>
                  <w:r>
                    <w:rPr>
                      <w:rFonts w:hint="eastAsia"/>
                      <w:color w:val="auto"/>
                      <w:sz w:val="21"/>
                      <w:szCs w:val="21"/>
                      <w:lang w:val="en-US" w:eastAsia="zh-CN"/>
                    </w:rPr>
                    <w:t>a</w:t>
                  </w:r>
                  <w:r>
                    <w:rPr>
                      <w:rFonts w:hint="eastAsia"/>
                      <w:color w:val="auto"/>
                      <w:sz w:val="21"/>
                      <w:szCs w:val="21"/>
                    </w:rPr>
                    <w:t>）</w:t>
                  </w:r>
                </w:p>
              </w:tc>
              <w:tc>
                <w:tcPr>
                  <w:tcW w:w="919" w:type="pct"/>
                  <w:tcBorders>
                    <w:tl2br w:val="nil"/>
                    <w:tr2bl w:val="nil"/>
                  </w:tcBorders>
                  <w:noWrap w:val="0"/>
                  <w:vAlign w:val="center"/>
                </w:tcPr>
                <w:p w14:paraId="6ACD637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b w:val="0"/>
                      <w:bCs w:val="0"/>
                      <w:sz w:val="21"/>
                      <w:szCs w:val="21"/>
                      <w:lang w:val="en-US" w:eastAsia="zh-CN"/>
                    </w:rPr>
                  </w:pPr>
                  <w:r>
                    <w:rPr>
                      <w:rFonts w:hint="eastAsia"/>
                      <w:b w:val="0"/>
                      <w:bCs w:val="0"/>
                      <w:sz w:val="21"/>
                      <w:szCs w:val="21"/>
                      <w:lang w:val="en-US" w:eastAsia="zh-CN"/>
                    </w:rPr>
                    <w:t>1.0</w:t>
                  </w:r>
                </w:p>
              </w:tc>
              <w:tc>
                <w:tcPr>
                  <w:tcW w:w="642" w:type="pct"/>
                  <w:tcBorders>
                    <w:tl2br w:val="nil"/>
                    <w:tr2bl w:val="nil"/>
                  </w:tcBorders>
                  <w:noWrap w:val="0"/>
                  <w:vAlign w:val="center"/>
                </w:tcPr>
                <w:p w14:paraId="6F598E05">
                  <w:pPr>
                    <w:keepNext w:val="0"/>
                    <w:keepLines w:val="0"/>
                    <w:pageBreakBefore w:val="0"/>
                    <w:kinsoku/>
                    <w:wordWrap/>
                    <w:overflowPunct/>
                    <w:topLinePunct w:val="0"/>
                    <w:autoSpaceDE/>
                    <w:autoSpaceDN/>
                    <w:bidi w:val="0"/>
                    <w:adjustRightInd/>
                    <w:snapToGrid/>
                    <w:jc w:val="center"/>
                    <w:rPr>
                      <w:rFonts w:hint="default"/>
                      <w:b w:val="0"/>
                      <w:bCs w:val="0"/>
                      <w:sz w:val="21"/>
                      <w:szCs w:val="21"/>
                      <w:lang w:val="en-US" w:eastAsia="zh-CN"/>
                    </w:rPr>
                  </w:pPr>
                  <w:r>
                    <w:rPr>
                      <w:rFonts w:hint="default"/>
                      <w:b w:val="0"/>
                      <w:bCs w:val="0"/>
                      <w:sz w:val="21"/>
                      <w:szCs w:val="21"/>
                      <w:lang w:val="en-US" w:eastAsia="zh-CN"/>
                    </w:rPr>
                    <w:t>0.8</w:t>
                  </w:r>
                </w:p>
              </w:tc>
              <w:tc>
                <w:tcPr>
                  <w:tcW w:w="877" w:type="pct"/>
                  <w:tcBorders>
                    <w:tl2br w:val="nil"/>
                    <w:tr2bl w:val="nil"/>
                  </w:tcBorders>
                  <w:noWrap w:val="0"/>
                  <w:vAlign w:val="center"/>
                </w:tcPr>
                <w:p w14:paraId="4C1BA2D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b w:val="0"/>
                      <w:bCs w:val="0"/>
                      <w:sz w:val="21"/>
                      <w:szCs w:val="21"/>
                      <w:lang w:val="en-US" w:eastAsia="zh-CN"/>
                    </w:rPr>
                  </w:pPr>
                  <w:r>
                    <w:rPr>
                      <w:rFonts w:hint="eastAsia"/>
                      <w:b w:val="0"/>
                      <w:bCs w:val="0"/>
                      <w:sz w:val="21"/>
                      <w:szCs w:val="21"/>
                      <w:lang w:val="en-US" w:eastAsia="zh-CN"/>
                    </w:rPr>
                    <w:t>0.8</w:t>
                  </w:r>
                </w:p>
              </w:tc>
            </w:tr>
            <w:tr w14:paraId="0A35F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141" w:type="pct"/>
                  <w:tcBorders>
                    <w:tl2br w:val="nil"/>
                    <w:tr2bl w:val="nil"/>
                  </w:tcBorders>
                  <w:noWrap w:val="0"/>
                  <w:vAlign w:val="center"/>
                </w:tcPr>
                <w:p w14:paraId="552D9B1F">
                  <w:pPr>
                    <w:keepNext w:val="0"/>
                    <w:keepLines w:val="0"/>
                    <w:pageBreakBefore w:val="0"/>
                    <w:kinsoku/>
                    <w:wordWrap/>
                    <w:overflowPunct/>
                    <w:topLinePunct w:val="0"/>
                    <w:autoSpaceDE/>
                    <w:autoSpaceDN/>
                    <w:bidi w:val="0"/>
                    <w:adjustRightInd/>
                    <w:snapToGrid/>
                    <w:jc w:val="center"/>
                    <w:rPr>
                      <w:rFonts w:hint="default"/>
                      <w:b w:val="0"/>
                      <w:bCs w:val="0"/>
                      <w:color w:val="auto"/>
                      <w:sz w:val="21"/>
                      <w:szCs w:val="21"/>
                      <w:lang w:val="en-US" w:eastAsia="zh-CN"/>
                    </w:rPr>
                  </w:pPr>
                  <w:r>
                    <w:rPr>
                      <w:rFonts w:hint="default"/>
                      <w:b w:val="0"/>
                      <w:bCs w:val="0"/>
                      <w:color w:val="auto"/>
                      <w:sz w:val="21"/>
                      <w:szCs w:val="21"/>
                      <w:lang w:val="en-US" w:eastAsia="zh-CN"/>
                    </w:rPr>
                    <w:t>循环冷却补充用水</w:t>
                  </w:r>
                </w:p>
              </w:tc>
              <w:tc>
                <w:tcPr>
                  <w:tcW w:w="643" w:type="pct"/>
                  <w:tcBorders>
                    <w:tl2br w:val="nil"/>
                    <w:tr2bl w:val="nil"/>
                  </w:tcBorders>
                  <w:noWrap w:val="0"/>
                  <w:vAlign w:val="center"/>
                </w:tcPr>
                <w:p w14:paraId="7CE4D602">
                  <w:pPr>
                    <w:keepNext w:val="0"/>
                    <w:keepLines w:val="0"/>
                    <w:pageBreakBefore w:val="0"/>
                    <w:kinsoku/>
                    <w:wordWrap/>
                    <w:overflowPunct/>
                    <w:topLinePunct w:val="0"/>
                    <w:autoSpaceDE/>
                    <w:autoSpaceDN/>
                    <w:bidi w:val="0"/>
                    <w:adjustRightInd/>
                    <w:snapToGrid/>
                    <w:jc w:val="center"/>
                    <w:rPr>
                      <w:rFonts w:hint="default"/>
                      <w:b w:val="0"/>
                      <w:bCs w:val="0"/>
                      <w:color w:val="auto"/>
                      <w:sz w:val="21"/>
                      <w:szCs w:val="21"/>
                      <w:lang w:val="en-US" w:eastAsia="zh-CN"/>
                    </w:rPr>
                  </w:pPr>
                  <w:r>
                    <w:rPr>
                      <w:rFonts w:hint="eastAsia"/>
                      <w:b w:val="0"/>
                      <w:bCs w:val="0"/>
                      <w:color w:val="auto"/>
                      <w:sz w:val="21"/>
                      <w:szCs w:val="21"/>
                      <w:lang w:val="en-US" w:eastAsia="zh-CN"/>
                    </w:rPr>
                    <w:t>/</w:t>
                  </w:r>
                </w:p>
              </w:tc>
              <w:tc>
                <w:tcPr>
                  <w:tcW w:w="775" w:type="pct"/>
                  <w:tcBorders>
                    <w:tl2br w:val="nil"/>
                    <w:tr2bl w:val="nil"/>
                  </w:tcBorders>
                  <w:noWrap w:val="0"/>
                  <w:vAlign w:val="center"/>
                </w:tcPr>
                <w:p w14:paraId="6794BC6C">
                  <w:pPr>
                    <w:keepNext w:val="0"/>
                    <w:keepLines w:val="0"/>
                    <w:pageBreakBefore w:val="0"/>
                    <w:kinsoku/>
                    <w:wordWrap/>
                    <w:overflowPunct/>
                    <w:topLinePunct w:val="0"/>
                    <w:autoSpaceDE/>
                    <w:autoSpaceDN/>
                    <w:bidi w:val="0"/>
                    <w:adjustRightInd/>
                    <w:snapToGrid/>
                    <w:jc w:val="center"/>
                    <w:rPr>
                      <w:rFonts w:hint="default"/>
                      <w:b w:val="0"/>
                      <w:bCs w:val="0"/>
                      <w:color w:val="auto"/>
                      <w:sz w:val="21"/>
                      <w:szCs w:val="21"/>
                      <w:lang w:val="en-US" w:eastAsia="zh-CN"/>
                    </w:rPr>
                  </w:pPr>
                  <w:r>
                    <w:rPr>
                      <w:rFonts w:hint="eastAsia"/>
                      <w:b w:val="0"/>
                      <w:bCs w:val="0"/>
                      <w:color w:val="auto"/>
                      <w:sz w:val="21"/>
                      <w:szCs w:val="21"/>
                      <w:lang w:val="en-US" w:eastAsia="zh-CN"/>
                    </w:rPr>
                    <w:t>/</w:t>
                  </w:r>
                </w:p>
              </w:tc>
              <w:tc>
                <w:tcPr>
                  <w:tcW w:w="919" w:type="pct"/>
                  <w:tcBorders>
                    <w:tl2br w:val="nil"/>
                    <w:tr2bl w:val="nil"/>
                  </w:tcBorders>
                  <w:noWrap w:val="0"/>
                  <w:vAlign w:val="center"/>
                </w:tcPr>
                <w:p w14:paraId="09D5BB2B">
                  <w:pPr>
                    <w:keepNext w:val="0"/>
                    <w:keepLines w:val="0"/>
                    <w:pageBreakBefore w:val="0"/>
                    <w:kinsoku/>
                    <w:wordWrap/>
                    <w:overflowPunct/>
                    <w:topLinePunct w:val="0"/>
                    <w:autoSpaceDE/>
                    <w:autoSpaceDN/>
                    <w:bidi w:val="0"/>
                    <w:adjustRightInd/>
                    <w:snapToGrid/>
                    <w:jc w:val="center"/>
                    <w:rPr>
                      <w:rFonts w:hint="default"/>
                      <w:b w:val="0"/>
                      <w:bCs w:val="0"/>
                      <w:color w:val="auto"/>
                      <w:sz w:val="21"/>
                      <w:szCs w:val="21"/>
                      <w:lang w:val="en-US" w:eastAsia="zh-CN"/>
                    </w:rPr>
                  </w:pPr>
                  <w:r>
                    <w:rPr>
                      <w:rFonts w:hint="eastAsia"/>
                      <w:b w:val="0"/>
                      <w:bCs w:val="0"/>
                      <w:color w:val="auto"/>
                      <w:sz w:val="21"/>
                      <w:szCs w:val="21"/>
                      <w:lang w:val="en-US" w:eastAsia="zh-CN"/>
                    </w:rPr>
                    <w:t>2.0</w:t>
                  </w:r>
                </w:p>
              </w:tc>
              <w:tc>
                <w:tcPr>
                  <w:tcW w:w="642" w:type="pct"/>
                  <w:tcBorders>
                    <w:tl2br w:val="nil"/>
                    <w:tr2bl w:val="nil"/>
                  </w:tcBorders>
                  <w:noWrap w:val="0"/>
                  <w:vAlign w:val="center"/>
                </w:tcPr>
                <w:p w14:paraId="2A114E60">
                  <w:pPr>
                    <w:keepNext w:val="0"/>
                    <w:keepLines w:val="0"/>
                    <w:pageBreakBefore w:val="0"/>
                    <w:kinsoku/>
                    <w:wordWrap/>
                    <w:overflowPunct/>
                    <w:topLinePunct w:val="0"/>
                    <w:autoSpaceDE/>
                    <w:autoSpaceDN/>
                    <w:bidi w:val="0"/>
                    <w:adjustRightInd/>
                    <w:snapToGrid/>
                    <w:jc w:val="center"/>
                    <w:rPr>
                      <w:rFonts w:hint="default"/>
                      <w:b w:val="0"/>
                      <w:bCs w:val="0"/>
                      <w:color w:val="auto"/>
                      <w:sz w:val="21"/>
                      <w:szCs w:val="21"/>
                      <w:lang w:val="en-US" w:eastAsia="zh-CN"/>
                    </w:rPr>
                  </w:pPr>
                  <w:r>
                    <w:rPr>
                      <w:rFonts w:hint="eastAsia"/>
                      <w:b w:val="0"/>
                      <w:bCs w:val="0"/>
                      <w:color w:val="auto"/>
                      <w:sz w:val="21"/>
                      <w:szCs w:val="21"/>
                      <w:lang w:val="en-US" w:eastAsia="zh-CN"/>
                    </w:rPr>
                    <w:t>/</w:t>
                  </w:r>
                </w:p>
              </w:tc>
              <w:tc>
                <w:tcPr>
                  <w:tcW w:w="877" w:type="pct"/>
                  <w:tcBorders>
                    <w:tl2br w:val="nil"/>
                    <w:tr2bl w:val="nil"/>
                  </w:tcBorders>
                  <w:noWrap w:val="0"/>
                  <w:vAlign w:val="center"/>
                </w:tcPr>
                <w:p w14:paraId="38F4F52A">
                  <w:pPr>
                    <w:keepNext w:val="0"/>
                    <w:keepLines w:val="0"/>
                    <w:pageBreakBefore w:val="0"/>
                    <w:kinsoku/>
                    <w:wordWrap/>
                    <w:overflowPunct/>
                    <w:topLinePunct w:val="0"/>
                    <w:autoSpaceDE/>
                    <w:autoSpaceDN/>
                    <w:bidi w:val="0"/>
                    <w:adjustRightInd/>
                    <w:snapToGrid/>
                    <w:jc w:val="center"/>
                    <w:rPr>
                      <w:rFonts w:hint="default"/>
                      <w:b w:val="0"/>
                      <w:bCs w:val="0"/>
                      <w:color w:val="auto"/>
                      <w:sz w:val="21"/>
                      <w:szCs w:val="21"/>
                      <w:lang w:val="en-US" w:eastAsia="zh-CN"/>
                    </w:rPr>
                  </w:pPr>
                  <w:r>
                    <w:rPr>
                      <w:rFonts w:hint="eastAsia"/>
                      <w:b w:val="0"/>
                      <w:bCs w:val="0"/>
                      <w:color w:val="auto"/>
                      <w:sz w:val="21"/>
                      <w:szCs w:val="21"/>
                      <w:lang w:val="en-US" w:eastAsia="zh-CN"/>
                    </w:rPr>
                    <w:t>/</w:t>
                  </w:r>
                </w:p>
              </w:tc>
            </w:tr>
            <w:tr w14:paraId="4AF28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2561" w:type="pct"/>
                  <w:gridSpan w:val="3"/>
                  <w:tcBorders>
                    <w:tl2br w:val="nil"/>
                    <w:tr2bl w:val="nil"/>
                  </w:tcBorders>
                  <w:noWrap w:val="0"/>
                  <w:vAlign w:val="center"/>
                </w:tcPr>
                <w:p w14:paraId="72B7905C">
                  <w:pPr>
                    <w:keepNext w:val="0"/>
                    <w:keepLines w:val="0"/>
                    <w:pageBreakBefore w:val="0"/>
                    <w:kinsoku/>
                    <w:wordWrap/>
                    <w:overflowPunct/>
                    <w:topLinePunct w:val="0"/>
                    <w:autoSpaceDE/>
                    <w:autoSpaceDN/>
                    <w:bidi w:val="0"/>
                    <w:adjustRightInd/>
                    <w:snapToGrid/>
                    <w:jc w:val="center"/>
                    <w:rPr>
                      <w:rFonts w:hint="default"/>
                      <w:b w:val="0"/>
                      <w:bCs w:val="0"/>
                      <w:sz w:val="21"/>
                      <w:szCs w:val="21"/>
                    </w:rPr>
                  </w:pPr>
                  <w:r>
                    <w:rPr>
                      <w:rFonts w:hint="default"/>
                      <w:b w:val="0"/>
                      <w:bCs w:val="0"/>
                      <w:sz w:val="21"/>
                      <w:szCs w:val="21"/>
                    </w:rPr>
                    <w:t>合计</w:t>
                  </w:r>
                </w:p>
              </w:tc>
              <w:tc>
                <w:tcPr>
                  <w:tcW w:w="919" w:type="pct"/>
                  <w:tcBorders>
                    <w:tl2br w:val="nil"/>
                    <w:tr2bl w:val="nil"/>
                  </w:tcBorders>
                  <w:noWrap w:val="0"/>
                  <w:vAlign w:val="center"/>
                </w:tcPr>
                <w:p w14:paraId="16E6922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b w:val="0"/>
                      <w:bCs w:val="0"/>
                      <w:sz w:val="21"/>
                      <w:szCs w:val="21"/>
                      <w:lang w:val="en-US" w:eastAsia="zh-CN"/>
                    </w:rPr>
                  </w:pPr>
                  <w:r>
                    <w:rPr>
                      <w:rFonts w:hint="eastAsia"/>
                      <w:b w:val="0"/>
                      <w:bCs w:val="0"/>
                      <w:sz w:val="21"/>
                      <w:szCs w:val="21"/>
                      <w:lang w:val="en-US" w:eastAsia="zh-CN"/>
                    </w:rPr>
                    <w:t>3.0</w:t>
                  </w:r>
                </w:p>
              </w:tc>
              <w:tc>
                <w:tcPr>
                  <w:tcW w:w="642" w:type="pct"/>
                  <w:tcBorders>
                    <w:tl2br w:val="nil"/>
                    <w:tr2bl w:val="nil"/>
                  </w:tcBorders>
                  <w:noWrap w:val="0"/>
                  <w:vAlign w:val="center"/>
                </w:tcPr>
                <w:p w14:paraId="63F45764">
                  <w:pPr>
                    <w:keepNext w:val="0"/>
                    <w:keepLines w:val="0"/>
                    <w:pageBreakBefore w:val="0"/>
                    <w:kinsoku/>
                    <w:wordWrap/>
                    <w:overflowPunct/>
                    <w:topLinePunct w:val="0"/>
                    <w:autoSpaceDE/>
                    <w:autoSpaceDN/>
                    <w:bidi w:val="0"/>
                    <w:adjustRightInd/>
                    <w:snapToGrid/>
                    <w:jc w:val="center"/>
                    <w:rPr>
                      <w:rFonts w:hint="default"/>
                      <w:b w:val="0"/>
                      <w:bCs w:val="0"/>
                      <w:sz w:val="21"/>
                      <w:szCs w:val="21"/>
                    </w:rPr>
                  </w:pPr>
                  <w:r>
                    <w:rPr>
                      <w:rFonts w:hint="default"/>
                      <w:b w:val="0"/>
                      <w:bCs w:val="0"/>
                      <w:sz w:val="21"/>
                      <w:szCs w:val="21"/>
                      <w:lang w:val="en-US" w:eastAsia="zh-CN"/>
                    </w:rPr>
                    <w:t>/</w:t>
                  </w:r>
                </w:p>
              </w:tc>
              <w:tc>
                <w:tcPr>
                  <w:tcW w:w="877" w:type="pct"/>
                  <w:tcBorders>
                    <w:tl2br w:val="nil"/>
                    <w:tr2bl w:val="nil"/>
                  </w:tcBorders>
                  <w:noWrap w:val="0"/>
                  <w:vAlign w:val="center"/>
                </w:tcPr>
                <w:p w14:paraId="4001411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b w:val="0"/>
                      <w:bCs w:val="0"/>
                      <w:sz w:val="21"/>
                      <w:szCs w:val="21"/>
                      <w:lang w:val="en-US" w:eastAsia="zh-CN"/>
                    </w:rPr>
                  </w:pPr>
                  <w:r>
                    <w:rPr>
                      <w:rFonts w:hint="eastAsia"/>
                      <w:b w:val="0"/>
                      <w:bCs w:val="0"/>
                      <w:sz w:val="21"/>
                      <w:szCs w:val="21"/>
                      <w:lang w:val="en-US" w:eastAsia="zh-CN"/>
                    </w:rPr>
                    <w:t>0.8</w:t>
                  </w:r>
                </w:p>
              </w:tc>
            </w:tr>
            <w:bookmarkEnd w:id="7"/>
          </w:tbl>
          <w:p w14:paraId="7191B867">
            <w:pPr>
              <w:tabs>
                <w:tab w:val="left" w:pos="540"/>
              </w:tabs>
              <w:autoSpaceDE w:val="0"/>
              <w:autoSpaceDN w:val="0"/>
              <w:spacing w:line="360" w:lineRule="auto"/>
              <w:ind w:firstLine="480" w:firstLineChars="200"/>
              <w:jc w:val="both"/>
              <w:rPr>
                <w:b/>
                <w:color w:val="000000"/>
                <w:kern w:val="0"/>
                <w:szCs w:val="21"/>
                <w:highlight w:val="none"/>
                <w:lang w:bidi="ar"/>
              </w:rPr>
            </w:pPr>
            <w:r>
              <w:rPr>
                <w:color w:val="auto"/>
                <w:sz w:val="24"/>
                <w:lang w:bidi="ar"/>
              </w:rPr>
              <w:t>项目水平衡详见下图。</w:t>
            </w:r>
          </w:p>
          <w:p w14:paraId="77EF031F">
            <w:pPr>
              <w:spacing w:line="360" w:lineRule="auto"/>
              <w:jc w:val="center"/>
              <w:rPr>
                <w:b/>
                <w:bCs w:val="0"/>
                <w:color w:val="auto"/>
                <w:sz w:val="24"/>
                <w:szCs w:val="24"/>
              </w:rPr>
            </w:pPr>
            <w:r>
              <w:rPr>
                <w:b/>
                <w:color w:val="000000"/>
                <w:kern w:val="0"/>
                <w:szCs w:val="21"/>
                <w:highlight w:val="none"/>
                <w:lang w:bidi="ar"/>
              </w:rPr>
              <w:object>
                <v:shape id="_x0000_i1026" o:spt="75" type="#_x0000_t75" style="height:213.7pt;width:431.05pt;" o:ole="t" filled="f" o:preferrelative="t" stroked="f" coordsize="21600,21600">
                  <v:path/>
                  <v:fill on="f" focussize="0,0"/>
                  <v:stroke on="f"/>
                  <v:imagedata r:id="rId18" o:title=""/>
                  <o:lock v:ext="edit" aspectratio="f"/>
                  <w10:wrap type="none"/>
                  <w10:anchorlock/>
                </v:shape>
                <o:OLEObject Type="Embed" ProgID="Visio.Drawing.15" ShapeID="_x0000_i1026" DrawAspect="Content" ObjectID="_1468075726" r:id="rId17">
                  <o:LockedField>false</o:LockedField>
                </o:OLEObject>
              </w:object>
            </w:r>
            <w:r>
              <w:rPr>
                <w:b/>
                <w:bCs w:val="0"/>
                <w:color w:val="auto"/>
                <w:kern w:val="0"/>
                <w:sz w:val="24"/>
                <w:szCs w:val="24"/>
                <w:lang w:bidi="ar"/>
              </w:rPr>
              <w:t>图2-</w:t>
            </w:r>
            <w:r>
              <w:rPr>
                <w:rFonts w:hint="eastAsia"/>
                <w:b/>
                <w:bCs w:val="0"/>
                <w:color w:val="auto"/>
                <w:kern w:val="0"/>
                <w:sz w:val="24"/>
                <w:szCs w:val="24"/>
                <w:lang w:val="en-US" w:eastAsia="zh-CN" w:bidi="ar"/>
              </w:rPr>
              <w:t>2</w:t>
            </w:r>
            <w:r>
              <w:rPr>
                <w:b/>
                <w:bCs w:val="0"/>
                <w:color w:val="auto"/>
                <w:kern w:val="0"/>
                <w:sz w:val="24"/>
                <w:szCs w:val="24"/>
                <w:lang w:bidi="ar"/>
              </w:rPr>
              <w:t xml:space="preserve"> </w:t>
            </w:r>
            <w:r>
              <w:rPr>
                <w:rFonts w:hint="eastAsia"/>
                <w:b/>
                <w:bCs w:val="0"/>
                <w:color w:val="auto"/>
                <w:kern w:val="0"/>
                <w:sz w:val="24"/>
                <w:szCs w:val="24"/>
                <w:lang w:bidi="ar"/>
              </w:rPr>
              <w:t xml:space="preserve"> </w:t>
            </w:r>
            <w:r>
              <w:rPr>
                <w:rFonts w:hint="eastAsia"/>
                <w:b/>
                <w:bCs w:val="0"/>
                <w:color w:val="auto"/>
                <w:sz w:val="24"/>
                <w:szCs w:val="24"/>
              </w:rPr>
              <w:t>项目</w:t>
            </w:r>
            <w:r>
              <w:rPr>
                <w:b/>
                <w:bCs w:val="0"/>
                <w:color w:val="auto"/>
                <w:sz w:val="24"/>
                <w:szCs w:val="24"/>
              </w:rPr>
              <w:t>营运期水平衡图</w:t>
            </w:r>
          </w:p>
          <w:p w14:paraId="280B1E56">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color w:val="auto"/>
                <w:sz w:val="24"/>
              </w:rPr>
            </w:pPr>
            <w:r>
              <w:rPr>
                <w:color w:val="auto"/>
                <w:sz w:val="24"/>
              </w:rPr>
              <w:t>（</w:t>
            </w:r>
            <w:r>
              <w:rPr>
                <w:rFonts w:hint="eastAsia"/>
                <w:color w:val="auto"/>
                <w:sz w:val="24"/>
                <w:lang w:val="en-US" w:eastAsia="zh-CN"/>
              </w:rPr>
              <w:t>4</w:t>
            </w:r>
            <w:r>
              <w:rPr>
                <w:color w:val="auto"/>
                <w:sz w:val="24"/>
              </w:rPr>
              <w:t>）供电</w:t>
            </w:r>
          </w:p>
          <w:p w14:paraId="02DEFAC0">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color w:val="auto"/>
                <w:sz w:val="24"/>
              </w:rPr>
            </w:pPr>
            <w:r>
              <w:rPr>
                <w:color w:val="auto"/>
                <w:sz w:val="24"/>
              </w:rPr>
              <w:t>由市政供电电网供电，用电量</w:t>
            </w:r>
            <w:r>
              <w:rPr>
                <w:rFonts w:hint="eastAsia"/>
                <w:color w:val="auto"/>
                <w:sz w:val="24"/>
                <w:lang w:val="en-US" w:eastAsia="zh-CN"/>
              </w:rPr>
              <w:t>30</w:t>
            </w:r>
            <w:r>
              <w:rPr>
                <w:color w:val="auto"/>
                <w:sz w:val="24"/>
              </w:rPr>
              <w:t>万</w:t>
            </w:r>
            <w:r>
              <w:rPr>
                <w:rFonts w:hint="eastAsia"/>
                <w:color w:val="auto"/>
                <w:sz w:val="24"/>
              </w:rPr>
              <w:t>k</w:t>
            </w:r>
            <w:r>
              <w:rPr>
                <w:color w:val="auto"/>
                <w:sz w:val="24"/>
              </w:rPr>
              <w:t>Wh。</w:t>
            </w:r>
          </w:p>
          <w:p w14:paraId="2891FDD8">
            <w:pPr>
              <w:keepNext w:val="0"/>
              <w:keepLines w:val="0"/>
              <w:pageBreakBefore w:val="0"/>
              <w:widowControl w:val="0"/>
              <w:kinsoku/>
              <w:wordWrap/>
              <w:overflowPunct/>
              <w:topLinePunct w:val="0"/>
              <w:autoSpaceDE/>
              <w:autoSpaceDN/>
              <w:bidi w:val="0"/>
              <w:spacing w:line="360" w:lineRule="auto"/>
              <w:ind w:firstLine="482" w:firstLineChars="200"/>
              <w:jc w:val="both"/>
              <w:textAlignment w:val="auto"/>
              <w:rPr>
                <w:b/>
                <w:color w:val="auto"/>
                <w:sz w:val="24"/>
              </w:rPr>
            </w:pPr>
            <w:r>
              <w:rPr>
                <w:b/>
                <w:color w:val="auto"/>
                <w:sz w:val="24"/>
              </w:rPr>
              <w:t>8、平面布置合理性分析</w:t>
            </w:r>
          </w:p>
          <w:p w14:paraId="32A7E93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color w:val="auto"/>
                <w:kern w:val="0"/>
                <w:sz w:val="24"/>
              </w:rPr>
            </w:pPr>
            <w:r>
              <w:rPr>
                <w:color w:val="auto"/>
                <w:sz w:val="24"/>
              </w:rPr>
              <w:t>本项目</w:t>
            </w:r>
            <w:r>
              <w:rPr>
                <w:rFonts w:hint="eastAsia"/>
                <w:color w:val="auto"/>
                <w:sz w:val="24"/>
                <w:lang w:val="en-US" w:eastAsia="zh-CN"/>
              </w:rPr>
              <w:t>办公综合楼位于厂区东北侧，生产车间位于厂区南侧，仓库位于厂区西北侧。</w:t>
            </w:r>
            <w:r>
              <w:rPr>
                <w:color w:val="auto"/>
                <w:sz w:val="24"/>
              </w:rPr>
              <w:t>生产</w:t>
            </w:r>
            <w:r>
              <w:rPr>
                <w:rFonts w:hint="eastAsia"/>
                <w:color w:val="auto"/>
                <w:sz w:val="24"/>
                <w:lang w:val="en-US" w:eastAsia="zh-CN"/>
              </w:rPr>
              <w:t>区</w:t>
            </w:r>
            <w:r>
              <w:rPr>
                <w:color w:val="auto"/>
                <w:sz w:val="24"/>
              </w:rPr>
              <w:t>和办公区分开布置，</w:t>
            </w:r>
            <w:r>
              <w:rPr>
                <w:rFonts w:hint="eastAsia"/>
                <w:color w:val="auto"/>
                <w:sz w:val="24"/>
                <w:lang w:val="en-US" w:eastAsia="zh-CN"/>
              </w:rPr>
              <w:t>大门布置在靠近牌李路一侧，厂区整个布置</w:t>
            </w:r>
            <w:r>
              <w:rPr>
                <w:color w:val="auto"/>
                <w:sz w:val="24"/>
              </w:rPr>
              <w:t>保证了项目生产工艺的连贯性。总体说来，项目总平面布置基本合理，功能分区明确，人流物流通畅，环保设施齐全，总平面布置基本能够满足企业生产组织的需要及环保要求。</w:t>
            </w:r>
          </w:p>
          <w:p w14:paraId="370B6A3F">
            <w:pPr>
              <w:keepNext w:val="0"/>
              <w:keepLines w:val="0"/>
              <w:pageBreakBefore w:val="0"/>
              <w:widowControl w:val="0"/>
              <w:kinsoku/>
              <w:wordWrap/>
              <w:overflowPunct/>
              <w:topLinePunct w:val="0"/>
              <w:autoSpaceDE/>
              <w:autoSpaceDN/>
              <w:bidi w:val="0"/>
              <w:spacing w:line="360" w:lineRule="auto"/>
              <w:ind w:firstLine="482" w:firstLineChars="200"/>
              <w:jc w:val="both"/>
              <w:textAlignment w:val="auto"/>
              <w:rPr>
                <w:b/>
                <w:color w:val="auto"/>
                <w:sz w:val="24"/>
              </w:rPr>
            </w:pPr>
            <w:r>
              <w:rPr>
                <w:b/>
                <w:color w:val="auto"/>
                <w:sz w:val="24"/>
              </w:rPr>
              <w:t>9、工作制度及劳动定员</w:t>
            </w:r>
          </w:p>
          <w:p w14:paraId="2CD26690">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本项目劳动定员为</w:t>
            </w:r>
            <w:r>
              <w:rPr>
                <w:rFonts w:hint="eastAsia" w:cs="Times New Roman"/>
                <w:color w:val="auto"/>
                <w:kern w:val="2"/>
                <w:sz w:val="24"/>
                <w:szCs w:val="24"/>
                <w:lang w:val="en-US" w:eastAsia="zh-CN" w:bidi="ar-SA"/>
              </w:rPr>
              <w:t>20</w:t>
            </w:r>
            <w:r>
              <w:rPr>
                <w:rFonts w:hint="eastAsia" w:ascii="Times New Roman" w:hAnsi="Times New Roman" w:eastAsia="宋体" w:cs="Times New Roman"/>
                <w:color w:val="auto"/>
                <w:kern w:val="2"/>
                <w:sz w:val="24"/>
                <w:szCs w:val="24"/>
                <w:lang w:val="en-US" w:eastAsia="zh-CN" w:bidi="ar-SA"/>
              </w:rPr>
              <w:t>人，单班制生产，每天工作</w:t>
            </w:r>
            <w:r>
              <w:rPr>
                <w:rFonts w:hint="eastAsia" w:cs="Times New Roman"/>
                <w:color w:val="auto"/>
                <w:kern w:val="2"/>
                <w:sz w:val="24"/>
                <w:szCs w:val="24"/>
                <w:lang w:val="en-US" w:eastAsia="zh-CN" w:bidi="ar-SA"/>
              </w:rPr>
              <w:t>10</w:t>
            </w:r>
            <w:r>
              <w:rPr>
                <w:rFonts w:hint="eastAsia" w:ascii="Times New Roman" w:hAnsi="Times New Roman" w:eastAsia="宋体" w:cs="Times New Roman"/>
                <w:color w:val="auto"/>
                <w:kern w:val="2"/>
                <w:sz w:val="24"/>
                <w:szCs w:val="24"/>
                <w:lang w:val="en-US" w:eastAsia="zh-CN" w:bidi="ar-SA"/>
              </w:rPr>
              <w:t>小时，年工作日300天。</w:t>
            </w:r>
          </w:p>
          <w:p w14:paraId="4ECC255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color w:val="auto"/>
                <w:sz w:val="24"/>
              </w:rPr>
            </w:pPr>
          </w:p>
          <w:p w14:paraId="1E265DB7">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cs="Times New Roman"/>
                <w:b w:val="0"/>
                <w:bCs/>
                <w:color w:val="0000FF"/>
                <w:sz w:val="24"/>
                <w:lang w:val="en-US" w:eastAsia="zh-CN"/>
              </w:rPr>
            </w:pPr>
          </w:p>
        </w:tc>
      </w:tr>
    </w:tbl>
    <w:p w14:paraId="4ED9D227">
      <w:pPr>
        <w:rPr>
          <w:rFonts w:hint="default" w:ascii="Times New Roman" w:hAnsi="Times New Roman" w:cs="Times New Roman"/>
          <w:color w:val="0000FF"/>
        </w:rPr>
        <w:sectPr>
          <w:footerReference r:id="rId5" w:type="default"/>
          <w:pgSz w:w="11906" w:h="16838"/>
          <w:pgMar w:top="1417" w:right="1417" w:bottom="1417" w:left="1417" w:header="851" w:footer="992" w:gutter="0"/>
          <w:pgNumType w:fmt="decimal"/>
          <w:cols w:space="720" w:num="1"/>
          <w:rtlGutter w:val="0"/>
          <w:docGrid w:type="lines" w:linePitch="312" w:charSpace="0"/>
        </w:sectPr>
      </w:pP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85" w:type="dxa"/>
          <w:left w:w="108" w:type="dxa"/>
          <w:bottom w:w="85" w:type="dxa"/>
          <w:right w:w="108" w:type="dxa"/>
        </w:tblCellMar>
      </w:tblPr>
      <w:tblGrid>
        <w:gridCol w:w="738"/>
        <w:gridCol w:w="8550"/>
      </w:tblGrid>
      <w:tr w14:paraId="241F1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trHeight w:val="90" w:hRule="atLeast"/>
          <w:jc w:val="center"/>
        </w:trPr>
        <w:tc>
          <w:tcPr>
            <w:tcW w:w="738" w:type="dxa"/>
            <w:noWrap w:val="0"/>
            <w:vAlign w:val="center"/>
          </w:tcPr>
          <w:p w14:paraId="184BE825">
            <w:pPr>
              <w:jc w:val="center"/>
              <w:rPr>
                <w:rFonts w:hint="default" w:ascii="Times New Roman" w:hAnsi="Times New Roman" w:cs="Times New Roman"/>
                <w:color w:val="0000FF"/>
                <w:sz w:val="24"/>
                <w:szCs w:val="22"/>
                <w:vertAlign w:val="baseline"/>
              </w:rPr>
            </w:pPr>
            <w:r>
              <w:rPr>
                <w:rFonts w:hint="default" w:ascii="Times New Roman" w:hAnsi="Times New Roman" w:cs="Times New Roman"/>
                <w:color w:val="auto"/>
                <w:sz w:val="24"/>
                <w:szCs w:val="22"/>
                <w:vertAlign w:val="baseline"/>
              </w:rPr>
              <w:t>工艺流程和产排污环节</w:t>
            </w:r>
          </w:p>
        </w:tc>
        <w:tc>
          <w:tcPr>
            <w:tcW w:w="8550" w:type="dxa"/>
            <w:noWrap w:val="0"/>
            <w:vAlign w:val="top"/>
          </w:tcPr>
          <w:p w14:paraId="6B83C5FE">
            <w:pPr>
              <w:spacing w:line="360" w:lineRule="auto"/>
              <w:ind w:firstLine="482" w:firstLineChars="200"/>
              <w:jc w:val="both"/>
              <w:rPr>
                <w:rFonts w:hint="default" w:ascii="Times New Roman" w:hAnsi="Times New Roman" w:cs="Times New Roman"/>
                <w:b/>
                <w:bCs w:val="0"/>
                <w:color w:val="auto"/>
                <w:sz w:val="24"/>
                <w:lang w:val="en-US" w:eastAsia="zh-CN"/>
              </w:rPr>
            </w:pPr>
            <w:r>
              <w:rPr>
                <w:rFonts w:hint="eastAsia" w:cs="Times New Roman"/>
                <w:b/>
                <w:bCs w:val="0"/>
                <w:color w:val="auto"/>
                <w:sz w:val="24"/>
                <w:lang w:val="en-US" w:eastAsia="zh-CN"/>
              </w:rPr>
              <w:t>一</w:t>
            </w:r>
            <w:r>
              <w:rPr>
                <w:rFonts w:hint="default" w:ascii="Times New Roman" w:hAnsi="Times New Roman" w:cs="Times New Roman"/>
                <w:b/>
                <w:bCs w:val="0"/>
                <w:color w:val="auto"/>
                <w:sz w:val="24"/>
                <w:lang w:val="en-US" w:eastAsia="zh-CN"/>
              </w:rPr>
              <w:t>、运营期生产工艺流程及产污节点</w:t>
            </w:r>
          </w:p>
          <w:p w14:paraId="3E5B34B1">
            <w:pPr>
              <w:pStyle w:val="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pPr>
            <w:r>
              <w:rPr>
                <w:rFonts w:hint="eastAsia" w:eastAsia="宋体" w:cs="Times New Roman"/>
                <w:b w:val="0"/>
                <w:bCs w:val="0"/>
                <w:sz w:val="24"/>
                <w:szCs w:val="24"/>
                <w:lang w:val="en-US" w:eastAsia="zh-CN"/>
              </w:rPr>
              <w:t>1、PP板材、管道以及缠绕桶生产工艺流程几乎相同，其主要工艺见下图。</w:t>
            </w:r>
          </w:p>
          <w:p w14:paraId="355B2E6C">
            <w:pPr>
              <w:pStyle w:val="75"/>
              <w:ind w:firstLine="0" w:firstLineChars="0"/>
              <w:jc w:val="center"/>
              <w:rPr>
                <w:rFonts w:hint="default"/>
                <w:lang w:eastAsia="zh-CN"/>
              </w:rPr>
            </w:pPr>
            <w:r>
              <w:rPr>
                <w:rFonts w:hint="default"/>
                <w:lang w:eastAsia="zh-CN"/>
              </w:rPr>
              <w:object>
                <v:shape id="_x0000_i1027" o:spt="75" type="#_x0000_t75" style="height:384.6pt;width:348.15pt;" o:ole="t" filled="f" o:preferrelative="t" stroked="f" coordsize="21600,21600">
                  <v:path/>
                  <v:fill on="f" focussize="0,0"/>
                  <v:stroke on="f"/>
                  <v:imagedata r:id="rId20" o:title=""/>
                  <o:lock v:ext="edit" aspectratio="t"/>
                  <w10:wrap type="none"/>
                  <w10:anchorlock/>
                </v:shape>
                <o:OLEObject Type="Embed" ProgID="Visio.Drawing.11" ShapeID="_x0000_i1027" DrawAspect="Content" ObjectID="_1468075727" r:id="rId19">
                  <o:LockedField>false</o:LockedField>
                </o:OLEObject>
              </w:object>
            </w:r>
          </w:p>
          <w:p w14:paraId="1DC63CB6">
            <w:pPr>
              <w:pStyle w:val="75"/>
              <w:ind w:firstLine="0" w:firstLineChars="0"/>
              <w:jc w:val="center"/>
              <w:rPr>
                <w:rFonts w:ascii="Times New Roman" w:hAnsi="Times New Roman" w:eastAsia="宋体" w:cs="Times New Roman"/>
                <w:b/>
                <w:bCs w:val="0"/>
                <w:color w:val="auto"/>
                <w:kern w:val="0"/>
                <w:sz w:val="24"/>
                <w:szCs w:val="24"/>
                <w:lang w:val="en-US" w:eastAsia="en-US" w:bidi="ar"/>
              </w:rPr>
            </w:pPr>
            <w:r>
              <w:rPr>
                <w:rFonts w:hint="eastAsia" w:ascii="Times New Roman" w:hAnsi="Times New Roman" w:eastAsia="宋体" w:cs="Times New Roman"/>
                <w:b/>
                <w:bCs w:val="0"/>
                <w:color w:val="auto"/>
                <w:kern w:val="0"/>
                <w:sz w:val="24"/>
                <w:szCs w:val="24"/>
                <w:lang w:val="en-US" w:eastAsia="en-US" w:bidi="ar"/>
              </w:rPr>
              <w:t>图</w:t>
            </w:r>
            <w:r>
              <w:rPr>
                <w:rFonts w:hint="eastAsia" w:ascii="Times New Roman" w:hAnsi="Times New Roman" w:eastAsia="宋体" w:cs="Times New Roman"/>
                <w:b/>
                <w:bCs w:val="0"/>
                <w:color w:val="auto"/>
                <w:kern w:val="0"/>
                <w:sz w:val="24"/>
                <w:szCs w:val="24"/>
                <w:lang w:val="en-US" w:eastAsia="zh-CN" w:bidi="ar"/>
              </w:rPr>
              <w:t>2-</w:t>
            </w:r>
            <w:r>
              <w:rPr>
                <w:rFonts w:hint="eastAsia" w:cs="Times New Roman"/>
                <w:b/>
                <w:bCs w:val="0"/>
                <w:color w:val="auto"/>
                <w:kern w:val="0"/>
                <w:sz w:val="24"/>
                <w:szCs w:val="24"/>
                <w:lang w:val="en-US" w:eastAsia="zh-CN" w:bidi="ar"/>
              </w:rPr>
              <w:t>3</w:t>
            </w:r>
            <w:r>
              <w:rPr>
                <w:rFonts w:ascii="Times New Roman" w:hAnsi="Times New Roman" w:eastAsia="宋体" w:cs="Times New Roman"/>
                <w:b/>
                <w:bCs w:val="0"/>
                <w:color w:val="auto"/>
                <w:kern w:val="0"/>
                <w:sz w:val="24"/>
                <w:szCs w:val="24"/>
                <w:lang w:val="en-US" w:eastAsia="en-US" w:bidi="ar"/>
              </w:rPr>
              <w:t xml:space="preserve">  </w:t>
            </w:r>
            <w:r>
              <w:rPr>
                <w:rFonts w:hint="eastAsia" w:ascii="Times New Roman" w:hAnsi="Times New Roman" w:eastAsia="宋体" w:cs="Times New Roman"/>
                <w:b/>
                <w:bCs w:val="0"/>
                <w:color w:val="auto"/>
                <w:kern w:val="0"/>
                <w:sz w:val="24"/>
                <w:szCs w:val="24"/>
                <w:lang w:val="en-US" w:eastAsia="en-US" w:bidi="ar"/>
              </w:rPr>
              <w:t>生产工艺及产污节点图</w:t>
            </w:r>
          </w:p>
          <w:p w14:paraId="629CD233">
            <w:pPr>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0" w:leftChars="0" w:firstLine="480" w:firstLineChars="200"/>
              <w:jc w:val="both"/>
              <w:textAlignment w:val="auto"/>
              <w:rPr>
                <w:rFonts w:hint="default" w:ascii="Times New Roman" w:hAnsi="宋体" w:eastAsia="宋体" w:cs="Times New Roman"/>
                <w:bCs/>
                <w:kern w:val="2"/>
                <w:sz w:val="24"/>
                <w:szCs w:val="24"/>
                <w:lang w:val="en-US" w:eastAsia="zh-CN" w:bidi="ar-SA"/>
              </w:rPr>
            </w:pPr>
            <w:bookmarkStart w:id="8" w:name="_Hlk12223362"/>
            <w:r>
              <w:rPr>
                <w:rFonts w:hint="default" w:ascii="Times New Roman" w:hAnsi="宋体" w:eastAsia="宋体" w:cs="Times New Roman"/>
                <w:bCs/>
                <w:kern w:val="2"/>
                <w:sz w:val="24"/>
                <w:szCs w:val="24"/>
                <w:lang w:val="en-US" w:eastAsia="zh-CN" w:bidi="ar-SA"/>
              </w:rPr>
              <w:t>主要工艺流程简述：</w:t>
            </w:r>
          </w:p>
          <w:p w14:paraId="70DD1D85">
            <w:pPr>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0" w:leftChars="0" w:firstLine="480" w:firstLineChars="200"/>
              <w:jc w:val="both"/>
              <w:textAlignment w:val="auto"/>
              <w:rPr>
                <w:rFonts w:ascii="Times New Roman" w:hAnsi="宋体" w:eastAsia="宋体" w:cs="Times New Roman"/>
                <w:bCs/>
                <w:sz w:val="24"/>
                <w:szCs w:val="24"/>
              </w:rPr>
            </w:pPr>
            <w:r>
              <w:rPr>
                <w:rFonts w:hint="default" w:ascii="Times New Roman" w:hAnsi="宋体" w:eastAsia="宋体" w:cs="Times New Roman"/>
                <w:bCs/>
                <w:kern w:val="2"/>
                <w:sz w:val="24"/>
                <w:szCs w:val="24"/>
                <w:lang w:val="en-US" w:eastAsia="zh-CN" w:bidi="ar-SA"/>
              </w:rPr>
              <w:t>（1）</w:t>
            </w:r>
            <w:r>
              <w:rPr>
                <w:rFonts w:hint="eastAsia" w:ascii="Times New Roman" w:hAnsi="宋体" w:eastAsia="宋体" w:cs="Times New Roman"/>
                <w:bCs/>
                <w:sz w:val="24"/>
                <w:szCs w:val="24"/>
                <w:lang w:eastAsia="zh-CN"/>
              </w:rPr>
              <w:t>混料、上料</w:t>
            </w:r>
            <w:r>
              <w:rPr>
                <w:rFonts w:hint="eastAsia" w:ascii="Times New Roman" w:hAnsi="宋体" w:eastAsia="宋体" w:cs="Times New Roman"/>
                <w:bCs/>
                <w:sz w:val="24"/>
                <w:szCs w:val="24"/>
              </w:rPr>
              <w:t>：将</w:t>
            </w:r>
            <w:r>
              <w:rPr>
                <w:rFonts w:hint="eastAsia" w:hAnsi="宋体" w:cs="Times New Roman"/>
                <w:bCs/>
                <w:sz w:val="24"/>
                <w:szCs w:val="24"/>
                <w:lang w:val="en-US" w:eastAsia="zh-CN"/>
              </w:rPr>
              <w:t>干燥机预热后的</w:t>
            </w:r>
            <w:r>
              <w:rPr>
                <w:rFonts w:hint="eastAsia" w:ascii="Times New Roman" w:hAnsi="宋体" w:eastAsia="宋体" w:cs="Times New Roman"/>
                <w:bCs/>
                <w:sz w:val="24"/>
                <w:szCs w:val="24"/>
              </w:rPr>
              <w:t>PP</w:t>
            </w:r>
            <w:r>
              <w:rPr>
                <w:rFonts w:hint="eastAsia" w:hAnsi="宋体" w:cs="Times New Roman"/>
                <w:bCs/>
                <w:sz w:val="24"/>
                <w:szCs w:val="24"/>
                <w:lang w:val="en-US" w:eastAsia="zh-CN"/>
              </w:rPr>
              <w:t>原料</w:t>
            </w:r>
            <w:r>
              <w:rPr>
                <w:rFonts w:hint="eastAsia" w:ascii="Times New Roman" w:hAnsi="宋体" w:eastAsia="宋体" w:cs="Times New Roman"/>
                <w:bCs/>
                <w:sz w:val="24"/>
                <w:szCs w:val="24"/>
              </w:rPr>
              <w:t>和色母粒投入</w:t>
            </w:r>
            <w:r>
              <w:rPr>
                <w:rFonts w:hint="eastAsia" w:ascii="Times New Roman" w:hAnsi="宋体" w:eastAsia="宋体" w:cs="Times New Roman"/>
                <w:bCs/>
                <w:sz w:val="24"/>
                <w:szCs w:val="24"/>
                <w:highlight w:val="none"/>
              </w:rPr>
              <w:t>混料机</w:t>
            </w:r>
            <w:r>
              <w:rPr>
                <w:rFonts w:hint="eastAsia" w:ascii="Times New Roman" w:hAnsi="宋体" w:eastAsia="宋体" w:cs="Times New Roman"/>
                <w:bCs/>
                <w:sz w:val="24"/>
                <w:szCs w:val="24"/>
              </w:rPr>
              <w:t>下方上料口，经螺杆输送至混料机内进行混合搅拌</w:t>
            </w:r>
            <w:r>
              <w:rPr>
                <w:rFonts w:hint="eastAsia" w:hAnsi="宋体" w:cs="Times New Roman"/>
                <w:bCs/>
                <w:sz w:val="24"/>
                <w:szCs w:val="24"/>
                <w:lang w:eastAsia="zh-CN"/>
              </w:rPr>
              <w:t>，</w:t>
            </w:r>
            <w:r>
              <w:rPr>
                <w:rFonts w:hint="eastAsia" w:hAnsi="宋体" w:cs="Times New Roman"/>
                <w:bCs/>
                <w:sz w:val="24"/>
                <w:szCs w:val="24"/>
                <w:lang w:val="en-US" w:eastAsia="zh-CN"/>
              </w:rPr>
              <w:t>预热温度控制在60-80℃。混料机密闭，</w:t>
            </w:r>
            <w:r>
              <w:rPr>
                <w:rFonts w:hint="eastAsia" w:ascii="Times New Roman" w:hAnsi="宋体" w:eastAsia="宋体" w:cs="Times New Roman"/>
                <w:bCs/>
                <w:sz w:val="24"/>
                <w:szCs w:val="24"/>
                <w:lang w:eastAsia="zh-CN"/>
              </w:rPr>
              <w:t>混合搅拌后，物</w:t>
            </w:r>
            <w:r>
              <w:rPr>
                <w:rFonts w:hint="eastAsia" w:ascii="Times New Roman" w:hAnsi="宋体" w:eastAsia="宋体" w:cs="Times New Roman"/>
                <w:bCs/>
                <w:sz w:val="24"/>
                <w:szCs w:val="24"/>
              </w:rPr>
              <w:t>料由混料机封闭料仓通过螺杆输送至</w:t>
            </w:r>
            <w:r>
              <w:rPr>
                <w:rFonts w:hint="eastAsia" w:ascii="Times New Roman" w:hAnsi="宋体" w:eastAsia="宋体" w:cs="Times New Roman"/>
                <w:bCs/>
                <w:sz w:val="24"/>
                <w:szCs w:val="24"/>
                <w:highlight w:val="none"/>
              </w:rPr>
              <w:t>挤出机</w:t>
            </w:r>
            <w:r>
              <w:rPr>
                <w:rFonts w:hint="eastAsia" w:ascii="Times New Roman" w:hAnsi="宋体" w:eastAsia="宋体" w:cs="Times New Roman"/>
                <w:bCs/>
                <w:sz w:val="24"/>
                <w:szCs w:val="24"/>
              </w:rPr>
              <w:t>料</w:t>
            </w:r>
            <w:r>
              <w:rPr>
                <w:rFonts w:hint="eastAsia" w:ascii="Times New Roman" w:hAnsi="宋体" w:eastAsia="宋体" w:cs="Times New Roman"/>
                <w:bCs/>
                <w:sz w:val="24"/>
                <w:szCs w:val="24"/>
                <w:lang w:eastAsia="zh-CN"/>
              </w:rPr>
              <w:t>筒</w:t>
            </w:r>
            <w:r>
              <w:rPr>
                <w:rFonts w:hint="eastAsia" w:ascii="Times New Roman" w:hAnsi="宋体" w:eastAsia="宋体" w:cs="Times New Roman"/>
                <w:bCs/>
                <w:sz w:val="24"/>
                <w:szCs w:val="24"/>
              </w:rPr>
              <w:t>内。项目PP和色母粒均为颗粒状，投料、混料等过程</w:t>
            </w:r>
            <w:r>
              <w:rPr>
                <w:rFonts w:hint="eastAsia" w:ascii="Times New Roman" w:hAnsi="宋体" w:eastAsia="宋体" w:cs="Times New Roman"/>
                <w:bCs/>
                <w:sz w:val="24"/>
                <w:szCs w:val="24"/>
                <w:lang w:eastAsia="zh-CN"/>
              </w:rPr>
              <w:t>密闭，</w:t>
            </w:r>
            <w:r>
              <w:rPr>
                <w:rFonts w:hint="eastAsia" w:ascii="Times New Roman" w:hAnsi="宋体" w:eastAsia="宋体" w:cs="Times New Roman"/>
                <w:bCs/>
                <w:sz w:val="24"/>
                <w:szCs w:val="24"/>
              </w:rPr>
              <w:t>产生</w:t>
            </w:r>
            <w:r>
              <w:rPr>
                <w:rFonts w:hint="eastAsia" w:hAnsi="宋体" w:cs="Times New Roman"/>
                <w:bCs/>
                <w:sz w:val="24"/>
                <w:szCs w:val="24"/>
                <w:lang w:eastAsia="zh-CN"/>
              </w:rPr>
              <w:t>的</w:t>
            </w:r>
            <w:r>
              <w:rPr>
                <w:rFonts w:hint="eastAsia" w:ascii="Times New Roman" w:hAnsi="宋体" w:eastAsia="宋体" w:cs="Times New Roman"/>
                <w:bCs/>
                <w:sz w:val="24"/>
                <w:szCs w:val="24"/>
              </w:rPr>
              <w:t>粉尘量极少，可忽略不计。此过程产生噪声</w:t>
            </w:r>
            <w:r>
              <w:rPr>
                <w:rFonts w:hint="eastAsia" w:ascii="Times New Roman" w:hAnsi="宋体" w:eastAsia="宋体" w:cs="Times New Roman"/>
                <w:bCs/>
                <w:sz w:val="24"/>
                <w:szCs w:val="24"/>
                <w:lang w:val="en-US" w:eastAsia="zh-CN"/>
              </w:rPr>
              <w:t>N</w:t>
            </w:r>
            <w:r>
              <w:rPr>
                <w:rFonts w:hint="eastAsia" w:ascii="Times New Roman" w:hAnsi="宋体" w:eastAsia="宋体" w:cs="Times New Roman"/>
                <w:bCs/>
                <w:sz w:val="24"/>
                <w:szCs w:val="24"/>
              </w:rPr>
              <w:t>。</w:t>
            </w:r>
          </w:p>
          <w:p w14:paraId="0C56BAA7">
            <w:pPr>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0" w:leftChars="0" w:firstLine="480" w:firstLineChars="200"/>
              <w:jc w:val="both"/>
              <w:textAlignment w:val="auto"/>
              <w:rPr>
                <w:rFonts w:hint="eastAsia" w:ascii="Times New Roman" w:hAnsi="宋体" w:eastAsia="宋体" w:cs="Times New Roman"/>
                <w:bCs/>
                <w:sz w:val="24"/>
                <w:szCs w:val="24"/>
                <w:lang w:eastAsia="zh-CN"/>
              </w:rPr>
            </w:pPr>
            <w:r>
              <w:rPr>
                <w:rFonts w:hint="default" w:ascii="Times New Roman" w:hAnsi="宋体" w:eastAsia="宋体" w:cs="Times New Roman"/>
                <w:bCs/>
                <w:kern w:val="2"/>
                <w:sz w:val="24"/>
                <w:szCs w:val="24"/>
                <w:lang w:val="en-US" w:eastAsia="zh-CN" w:bidi="ar-SA"/>
              </w:rPr>
              <w:t>（2）</w:t>
            </w:r>
            <w:r>
              <w:rPr>
                <w:rFonts w:hint="eastAsia" w:ascii="Times New Roman" w:hAnsi="宋体" w:eastAsia="宋体" w:cs="Times New Roman"/>
                <w:bCs/>
                <w:kern w:val="2"/>
                <w:sz w:val="24"/>
                <w:szCs w:val="24"/>
                <w:lang w:val="en-US" w:eastAsia="zh-CN" w:bidi="ar-SA"/>
              </w:rPr>
              <w:t>热熔挤出：</w:t>
            </w:r>
            <w:r>
              <w:rPr>
                <w:rFonts w:hint="eastAsia" w:ascii="Times New Roman" w:hAnsi="宋体" w:eastAsia="宋体" w:cs="Times New Roman"/>
                <w:bCs/>
                <w:sz w:val="24"/>
                <w:szCs w:val="24"/>
              </w:rPr>
              <w:t>吸入料筒中的物料经管道密闭输送至高螺杆热熔挤出机中进行热熔挤出加工，此过程中使用电加热，加热温度约为2</w:t>
            </w:r>
            <w:r>
              <w:rPr>
                <w:rFonts w:hint="default" w:ascii="Times New Roman" w:hAnsi="Times New Roman" w:eastAsia="宋体" w:cs="Times New Roman"/>
                <w:bCs/>
                <w:sz w:val="24"/>
                <w:szCs w:val="24"/>
                <w:lang w:val="en-US" w:eastAsia="zh-CN"/>
              </w:rPr>
              <w:t>3</w:t>
            </w:r>
            <w:r>
              <w:rPr>
                <w:rFonts w:hint="default" w:ascii="Times New Roman" w:hAnsi="Times New Roman" w:eastAsia="宋体" w:cs="Times New Roman"/>
                <w:bCs/>
                <w:sz w:val="24"/>
                <w:szCs w:val="24"/>
              </w:rPr>
              <w:t>0℃</w:t>
            </w:r>
            <w:r>
              <w:rPr>
                <w:rFonts w:hint="eastAsia" w:ascii="Times New Roman" w:hAnsi="宋体" w:eastAsia="宋体" w:cs="Times New Roman"/>
                <w:bCs/>
                <w:sz w:val="24"/>
                <w:szCs w:val="24"/>
              </w:rPr>
              <w:t>，加热时间根据不同产品要求有所不同，</w:t>
            </w:r>
            <w:r>
              <w:rPr>
                <w:rFonts w:hint="eastAsia" w:ascii="Times New Roman" w:hAnsi="宋体" w:eastAsia="宋体" w:cs="Times New Roman"/>
                <w:bCs/>
                <w:sz w:val="24"/>
                <w:szCs w:val="24"/>
                <w:lang w:eastAsia="zh-CN"/>
              </w:rPr>
              <w:t>使物料</w:t>
            </w:r>
            <w:r>
              <w:rPr>
                <w:rFonts w:hint="eastAsia" w:ascii="Times New Roman" w:hAnsi="宋体" w:eastAsia="宋体" w:cs="Times New Roman"/>
                <w:bCs/>
                <w:sz w:val="24"/>
                <w:szCs w:val="24"/>
              </w:rPr>
              <w:t>均匀挤出</w:t>
            </w:r>
            <w:r>
              <w:rPr>
                <w:rFonts w:hint="eastAsia" w:ascii="Times New Roman" w:hAnsi="宋体" w:eastAsia="宋体" w:cs="Times New Roman"/>
                <w:bCs/>
                <w:sz w:val="24"/>
                <w:szCs w:val="24"/>
                <w:lang w:eastAsia="zh-CN"/>
              </w:rPr>
              <w:t>。</w:t>
            </w:r>
            <w:r>
              <w:rPr>
                <w:rFonts w:hint="eastAsia" w:ascii="Times New Roman" w:hAnsi="宋体" w:eastAsia="宋体" w:cs="Times New Roman"/>
                <w:bCs/>
                <w:sz w:val="24"/>
                <w:szCs w:val="24"/>
              </w:rPr>
              <w:t>此过程产生挥发性有机废气</w:t>
            </w:r>
            <w:r>
              <w:rPr>
                <w:rFonts w:hint="eastAsia" w:ascii="Times New Roman" w:hAnsi="宋体" w:eastAsia="宋体" w:cs="Times New Roman"/>
                <w:bCs/>
                <w:sz w:val="24"/>
                <w:szCs w:val="24"/>
                <w:lang w:val="en-US" w:eastAsia="zh-CN"/>
              </w:rPr>
              <w:t>G</w:t>
            </w:r>
            <w:r>
              <w:rPr>
                <w:rFonts w:hint="eastAsia" w:ascii="Times New Roman" w:hAnsi="宋体" w:eastAsia="宋体" w:cs="Times New Roman"/>
                <w:bCs/>
                <w:sz w:val="24"/>
                <w:szCs w:val="24"/>
              </w:rPr>
              <w:t>（以非甲烷总烃计）、噪声</w:t>
            </w:r>
            <w:r>
              <w:rPr>
                <w:rFonts w:hint="eastAsia" w:ascii="Times New Roman" w:hAnsi="宋体" w:eastAsia="宋体" w:cs="Times New Roman"/>
                <w:bCs/>
                <w:sz w:val="24"/>
                <w:szCs w:val="24"/>
                <w:lang w:val="en-US" w:eastAsia="zh-CN"/>
              </w:rPr>
              <w:t>N。</w:t>
            </w:r>
          </w:p>
          <w:p w14:paraId="7720EE40">
            <w:pPr>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0" w:leftChars="0" w:firstLine="480" w:firstLineChars="200"/>
              <w:jc w:val="both"/>
              <w:textAlignment w:val="auto"/>
              <w:rPr>
                <w:rFonts w:ascii="Times New Roman" w:hAnsi="宋体" w:eastAsia="宋体" w:cs="Times New Roman"/>
                <w:bCs/>
                <w:sz w:val="24"/>
                <w:szCs w:val="24"/>
              </w:rPr>
            </w:pPr>
            <w:r>
              <w:rPr>
                <w:rFonts w:hint="eastAsia" w:ascii="Times New Roman" w:hAnsi="宋体" w:eastAsia="宋体" w:cs="Times New Roman"/>
                <w:bCs/>
                <w:sz w:val="24"/>
                <w:szCs w:val="24"/>
                <w:lang w:eastAsia="zh-CN"/>
              </w:rPr>
              <w:t>（</w:t>
            </w:r>
            <w:r>
              <w:rPr>
                <w:rFonts w:hint="eastAsia" w:ascii="Times New Roman" w:hAnsi="宋体" w:eastAsia="宋体" w:cs="Times New Roman"/>
                <w:bCs/>
                <w:sz w:val="24"/>
                <w:szCs w:val="24"/>
                <w:lang w:val="en-US" w:eastAsia="zh-CN"/>
              </w:rPr>
              <w:t>3</w:t>
            </w:r>
            <w:r>
              <w:rPr>
                <w:rFonts w:hint="eastAsia" w:ascii="Times New Roman" w:hAnsi="宋体" w:eastAsia="宋体" w:cs="Times New Roman"/>
                <w:bCs/>
                <w:sz w:val="24"/>
                <w:szCs w:val="24"/>
                <w:lang w:eastAsia="zh-CN"/>
              </w:rPr>
              <w:t>）三辊</w:t>
            </w:r>
            <w:r>
              <w:rPr>
                <w:rFonts w:hint="eastAsia" w:hAnsi="宋体" w:cs="Times New Roman"/>
                <w:bCs/>
                <w:sz w:val="24"/>
                <w:szCs w:val="24"/>
                <w:lang w:val="en-US" w:eastAsia="zh-CN"/>
              </w:rPr>
              <w:t>/模具</w:t>
            </w:r>
            <w:r>
              <w:rPr>
                <w:rFonts w:hint="eastAsia" w:ascii="Times New Roman" w:hAnsi="宋体" w:eastAsia="宋体" w:cs="Times New Roman"/>
                <w:bCs/>
                <w:sz w:val="24"/>
                <w:szCs w:val="24"/>
                <w:lang w:eastAsia="zh-CN"/>
              </w:rPr>
              <w:t>定型：</w:t>
            </w:r>
            <w:r>
              <w:rPr>
                <w:rFonts w:hint="eastAsia" w:hAnsi="宋体" w:cs="Times New Roman"/>
                <w:bCs/>
                <w:sz w:val="24"/>
                <w:szCs w:val="24"/>
                <w:lang w:val="en-US" w:eastAsia="zh-CN"/>
              </w:rPr>
              <w:t>PP板材</w:t>
            </w:r>
            <w:r>
              <w:rPr>
                <w:rFonts w:hint="eastAsia" w:ascii="Times New Roman" w:hAnsi="宋体" w:eastAsia="宋体" w:cs="Times New Roman"/>
                <w:bCs/>
                <w:sz w:val="24"/>
                <w:szCs w:val="24"/>
                <w:lang w:eastAsia="zh-CN"/>
              </w:rPr>
              <w:t>均匀挤出的物料</w:t>
            </w:r>
            <w:r>
              <w:rPr>
                <w:rFonts w:hint="eastAsia" w:ascii="Times New Roman" w:hAnsi="宋体" w:eastAsia="宋体" w:cs="Times New Roman"/>
                <w:bCs/>
                <w:sz w:val="24"/>
                <w:szCs w:val="24"/>
              </w:rPr>
              <w:t>经</w:t>
            </w:r>
            <w:r>
              <w:rPr>
                <w:rFonts w:hint="eastAsia" w:ascii="Times New Roman" w:hAnsi="宋体" w:eastAsia="宋体" w:cs="Times New Roman"/>
                <w:bCs/>
                <w:sz w:val="24"/>
                <w:szCs w:val="24"/>
                <w:lang w:eastAsia="zh-CN"/>
              </w:rPr>
              <w:t>拉板机</w:t>
            </w:r>
            <w:r>
              <w:rPr>
                <w:rFonts w:hint="eastAsia" w:ascii="Times New Roman" w:hAnsi="宋体" w:eastAsia="宋体" w:cs="Times New Roman"/>
                <w:bCs/>
                <w:sz w:val="24"/>
                <w:szCs w:val="24"/>
              </w:rPr>
              <w:t>定型后，形成预定的规格制品。</w:t>
            </w:r>
            <w:r>
              <w:rPr>
                <w:rFonts w:hint="eastAsia" w:hAnsi="宋体" w:cs="Times New Roman"/>
                <w:bCs/>
                <w:sz w:val="24"/>
                <w:szCs w:val="24"/>
                <w:lang w:val="en-US" w:eastAsia="zh-CN"/>
              </w:rPr>
              <w:t>PP管道以及缠绕桶是采用模具定型</w:t>
            </w:r>
            <w:r>
              <w:rPr>
                <w:rFonts w:hint="default" w:ascii="Times New Roman" w:hAnsi="宋体" w:eastAsia="宋体" w:cs="Times New Roman"/>
                <w:bCs/>
                <w:kern w:val="2"/>
                <w:sz w:val="24"/>
                <w:szCs w:val="24"/>
                <w:lang w:val="en-US" w:eastAsia="zh-CN" w:bidi="ar-SA"/>
              </w:rPr>
              <w:t>（备注：不同规格产品采用不同规格模具，缠绕设备是物料缠绕在模具表面，缠绕成产品）</w:t>
            </w:r>
            <w:r>
              <w:rPr>
                <w:rFonts w:hint="eastAsia" w:hAnsi="宋体" w:cs="Times New Roman"/>
                <w:bCs/>
                <w:sz w:val="24"/>
                <w:szCs w:val="24"/>
                <w:lang w:val="en-US" w:eastAsia="zh-CN"/>
              </w:rPr>
              <w:t>。</w:t>
            </w:r>
            <w:r>
              <w:rPr>
                <w:rFonts w:hint="eastAsia" w:ascii="Times New Roman" w:hAnsi="宋体" w:eastAsia="宋体" w:cs="Times New Roman"/>
                <w:bCs/>
                <w:sz w:val="24"/>
                <w:szCs w:val="24"/>
              </w:rPr>
              <w:t>此过程产生噪声</w:t>
            </w:r>
            <w:r>
              <w:rPr>
                <w:rFonts w:hint="eastAsia" w:ascii="Times New Roman" w:hAnsi="宋体" w:eastAsia="宋体" w:cs="Times New Roman"/>
                <w:bCs/>
                <w:sz w:val="24"/>
                <w:szCs w:val="24"/>
                <w:lang w:val="en-US" w:eastAsia="zh-CN"/>
              </w:rPr>
              <w:t>N</w:t>
            </w:r>
            <w:r>
              <w:rPr>
                <w:rFonts w:hint="eastAsia" w:ascii="Times New Roman" w:hAnsi="宋体" w:eastAsia="宋体" w:cs="Times New Roman"/>
                <w:bCs/>
                <w:sz w:val="24"/>
                <w:szCs w:val="24"/>
              </w:rPr>
              <w:t>；</w:t>
            </w:r>
          </w:p>
          <w:p w14:paraId="2197C8BC">
            <w:pPr>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0" w:leftChars="0" w:firstLine="480" w:firstLineChars="200"/>
              <w:jc w:val="both"/>
              <w:textAlignment w:val="auto"/>
              <w:rPr>
                <w:rFonts w:ascii="Times New Roman" w:hAnsi="宋体" w:eastAsia="宋体" w:cs="Times New Roman"/>
                <w:bCs/>
                <w:sz w:val="24"/>
                <w:szCs w:val="24"/>
              </w:rPr>
            </w:pPr>
            <w:r>
              <w:rPr>
                <w:rFonts w:hint="default" w:ascii="Times New Roman" w:hAnsi="宋体" w:eastAsia="宋体" w:cs="Times New Roman"/>
                <w:bCs/>
                <w:kern w:val="2"/>
                <w:sz w:val="24"/>
                <w:szCs w:val="24"/>
                <w:lang w:val="en-US" w:eastAsia="zh-CN" w:bidi="ar-SA"/>
              </w:rPr>
              <w:t>（</w:t>
            </w:r>
            <w:r>
              <w:rPr>
                <w:rFonts w:hint="eastAsia" w:ascii="Times New Roman" w:hAnsi="宋体" w:eastAsia="宋体" w:cs="Times New Roman"/>
                <w:bCs/>
                <w:kern w:val="2"/>
                <w:sz w:val="24"/>
                <w:szCs w:val="24"/>
                <w:lang w:val="en-US" w:eastAsia="zh-CN" w:bidi="ar-SA"/>
              </w:rPr>
              <w:t>4</w:t>
            </w:r>
            <w:r>
              <w:rPr>
                <w:rFonts w:hint="default" w:ascii="Times New Roman" w:hAnsi="宋体" w:eastAsia="宋体" w:cs="Times New Roman"/>
                <w:bCs/>
                <w:kern w:val="2"/>
                <w:sz w:val="24"/>
                <w:szCs w:val="24"/>
                <w:lang w:val="en-US" w:eastAsia="zh-CN" w:bidi="ar-SA"/>
              </w:rPr>
              <w:t>）</w:t>
            </w:r>
            <w:r>
              <w:rPr>
                <w:rFonts w:hint="eastAsia" w:ascii="Times New Roman" w:hAnsi="宋体" w:eastAsia="宋体" w:cs="Times New Roman"/>
                <w:bCs/>
                <w:sz w:val="24"/>
                <w:szCs w:val="24"/>
                <w:lang w:eastAsia="zh-CN"/>
              </w:rPr>
              <w:t>冷却定型</w:t>
            </w:r>
            <w:r>
              <w:rPr>
                <w:rFonts w:hint="eastAsia" w:ascii="Times New Roman" w:hAnsi="宋体" w:eastAsia="宋体" w:cs="Times New Roman"/>
                <w:bCs/>
                <w:sz w:val="24"/>
                <w:szCs w:val="24"/>
              </w:rPr>
              <w:t>：</w:t>
            </w:r>
            <w:r>
              <w:rPr>
                <w:rFonts w:hint="eastAsia" w:hAnsi="宋体" w:cs="Times New Roman"/>
                <w:bCs/>
                <w:sz w:val="24"/>
                <w:szCs w:val="24"/>
                <w:lang w:val="en-US" w:eastAsia="zh-CN"/>
              </w:rPr>
              <w:t>PP板材</w:t>
            </w:r>
            <w:r>
              <w:rPr>
                <w:rFonts w:hint="eastAsia" w:ascii="Times New Roman" w:hAnsi="宋体" w:eastAsia="宋体" w:cs="Times New Roman"/>
                <w:bCs/>
                <w:sz w:val="24"/>
                <w:szCs w:val="24"/>
                <w:lang w:val="en-US" w:eastAsia="zh-CN"/>
              </w:rPr>
              <w:t>冷却水从三辊内部循环，使产品达到冷却定型的目的，</w:t>
            </w:r>
            <w:r>
              <w:rPr>
                <w:rFonts w:hint="eastAsia" w:ascii="Times New Roman" w:hAnsi="宋体" w:eastAsia="宋体" w:cs="Times New Roman"/>
                <w:bCs/>
                <w:sz w:val="24"/>
                <w:szCs w:val="24"/>
              </w:rPr>
              <w:t>冷却水循环使用，不外排</w:t>
            </w:r>
            <w:r>
              <w:rPr>
                <w:rFonts w:hint="eastAsia" w:ascii="Times New Roman" w:hAnsi="宋体" w:eastAsia="宋体" w:cs="Times New Roman"/>
                <w:bCs/>
                <w:sz w:val="24"/>
                <w:szCs w:val="24"/>
                <w:lang w:eastAsia="zh-CN"/>
              </w:rPr>
              <w:t>。</w:t>
            </w:r>
            <w:r>
              <w:rPr>
                <w:rFonts w:hint="eastAsia" w:ascii="Times New Roman" w:hAnsi="宋体" w:eastAsia="宋体" w:cs="Times New Roman"/>
                <w:bCs/>
                <w:sz w:val="24"/>
                <w:szCs w:val="24"/>
                <w:lang w:val="en-US" w:eastAsia="zh-CN"/>
              </w:rPr>
              <w:t>PP管道和缠绕桶采用水进行冷却，</w:t>
            </w:r>
            <w:r>
              <w:rPr>
                <w:rFonts w:hint="default" w:ascii="Times New Roman" w:hAnsi="Times New Roman" w:eastAsia="宋体" w:cs="Times New Roman"/>
                <w:color w:val="auto"/>
                <w:sz w:val="24"/>
                <w:szCs w:val="24"/>
              </w:rPr>
              <w:t>在挤出成型过程中，熔融的塑料从模具挤出后，需要快速冷却定型。冷却水通过冷却水箱，在管材或板材外部形成水膜或水环进行冷却，水与塑料制品不直接接触，而是通过热交换带走热量。这种间接冷却方式可以避免冷却水直接接触塑料表面造成污染，同时保证冷却均匀，防止产品变形、产生内应力等质量问题。</w:t>
            </w:r>
            <w:r>
              <w:rPr>
                <w:rFonts w:hint="eastAsia" w:ascii="Times New Roman" w:hAnsi="Times New Roman" w:eastAsia="宋体" w:cs="Times New Roman"/>
                <w:color w:val="auto"/>
                <w:sz w:val="24"/>
                <w:szCs w:val="24"/>
                <w:lang w:val="en-US" w:eastAsia="zh-CN"/>
              </w:rPr>
              <w:t>间接</w:t>
            </w:r>
            <w:r>
              <w:rPr>
                <w:rFonts w:hint="default" w:ascii="Times New Roman" w:hAnsi="Times New Roman" w:eastAsia="宋体" w:cs="Times New Roman"/>
                <w:color w:val="auto"/>
                <w:sz w:val="24"/>
                <w:szCs w:val="24"/>
              </w:rPr>
              <w:t>冷却水经过循环系统冷却后重复使用，实现节能降耗。</w:t>
            </w:r>
            <w:r>
              <w:rPr>
                <w:rFonts w:hint="eastAsia" w:ascii="Times New Roman" w:hAnsi="宋体" w:eastAsia="宋体" w:cs="Times New Roman"/>
                <w:bCs/>
                <w:sz w:val="24"/>
                <w:szCs w:val="24"/>
              </w:rPr>
              <w:t>此过程产生噪声</w:t>
            </w:r>
            <w:r>
              <w:rPr>
                <w:rFonts w:hint="eastAsia" w:ascii="Times New Roman" w:hAnsi="宋体" w:eastAsia="宋体" w:cs="Times New Roman"/>
                <w:bCs/>
                <w:sz w:val="24"/>
                <w:szCs w:val="24"/>
                <w:lang w:val="en-US" w:eastAsia="zh-CN"/>
              </w:rPr>
              <w:t>N</w:t>
            </w:r>
            <w:r>
              <w:rPr>
                <w:rFonts w:hint="eastAsia" w:ascii="Times New Roman" w:hAnsi="宋体" w:eastAsia="宋体" w:cs="Times New Roman"/>
                <w:bCs/>
                <w:sz w:val="24"/>
                <w:szCs w:val="24"/>
              </w:rPr>
              <w:t>；</w:t>
            </w:r>
          </w:p>
          <w:p w14:paraId="7FAC32D7">
            <w:pPr>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0" w:leftChars="0" w:firstLine="480" w:firstLineChars="200"/>
              <w:jc w:val="both"/>
              <w:textAlignment w:val="auto"/>
              <w:rPr>
                <w:rFonts w:ascii="Times New Roman" w:hAnsi="宋体" w:eastAsia="宋体" w:cs="Times New Roman"/>
                <w:bCs/>
                <w:sz w:val="24"/>
                <w:szCs w:val="24"/>
              </w:rPr>
            </w:pPr>
            <w:r>
              <w:rPr>
                <w:rFonts w:hint="default" w:ascii="Times New Roman" w:hAnsi="宋体" w:eastAsia="宋体" w:cs="Times New Roman"/>
                <w:bCs/>
                <w:kern w:val="2"/>
                <w:sz w:val="24"/>
                <w:szCs w:val="24"/>
                <w:lang w:val="en-US" w:eastAsia="zh-CN" w:bidi="ar-SA"/>
              </w:rPr>
              <w:t>（</w:t>
            </w:r>
            <w:r>
              <w:rPr>
                <w:rFonts w:hint="eastAsia" w:ascii="Times New Roman" w:hAnsi="宋体" w:eastAsia="宋体" w:cs="Times New Roman"/>
                <w:bCs/>
                <w:kern w:val="2"/>
                <w:sz w:val="24"/>
                <w:szCs w:val="24"/>
                <w:lang w:val="en-US" w:eastAsia="zh-CN" w:bidi="ar-SA"/>
              </w:rPr>
              <w:t>5</w:t>
            </w:r>
            <w:r>
              <w:rPr>
                <w:rFonts w:hint="default" w:ascii="Times New Roman" w:hAnsi="宋体" w:eastAsia="宋体" w:cs="Times New Roman"/>
                <w:bCs/>
                <w:kern w:val="2"/>
                <w:sz w:val="24"/>
                <w:szCs w:val="24"/>
                <w:lang w:val="en-US" w:eastAsia="zh-CN" w:bidi="ar-SA"/>
              </w:rPr>
              <w:t>）</w:t>
            </w:r>
            <w:r>
              <w:rPr>
                <w:rFonts w:hint="eastAsia" w:ascii="Times New Roman" w:hAnsi="宋体" w:eastAsia="宋体" w:cs="Times New Roman"/>
                <w:bCs/>
                <w:sz w:val="24"/>
                <w:szCs w:val="24"/>
                <w:lang w:eastAsia="zh-CN"/>
              </w:rPr>
              <w:t>切割</w:t>
            </w:r>
            <w:r>
              <w:rPr>
                <w:rFonts w:ascii="Times New Roman" w:hAnsi="宋体" w:eastAsia="宋体" w:cs="Times New Roman"/>
                <w:bCs/>
                <w:sz w:val="24"/>
                <w:szCs w:val="24"/>
              </w:rPr>
              <w:t>：</w:t>
            </w:r>
            <w:r>
              <w:rPr>
                <w:rFonts w:ascii="宋体" w:hAnsi="宋体" w:eastAsia="宋体" w:cs="宋体"/>
                <w:sz w:val="24"/>
                <w:szCs w:val="24"/>
              </w:rPr>
              <w:t>根据客户的</w:t>
            </w:r>
            <w:r>
              <w:rPr>
                <w:rFonts w:hint="eastAsia" w:ascii="宋体" w:hAnsi="宋体" w:eastAsia="宋体" w:cs="宋体"/>
                <w:sz w:val="24"/>
                <w:szCs w:val="24"/>
                <w:lang w:eastAsia="zh-CN"/>
              </w:rPr>
              <w:t>需</w:t>
            </w:r>
            <w:r>
              <w:rPr>
                <w:rFonts w:ascii="宋体" w:hAnsi="宋体" w:eastAsia="宋体" w:cs="宋体"/>
                <w:sz w:val="24"/>
                <w:szCs w:val="24"/>
              </w:rPr>
              <w:t>求</w:t>
            </w:r>
            <w:r>
              <w:rPr>
                <w:rFonts w:hint="eastAsia" w:ascii="宋体" w:hAnsi="宋体" w:eastAsia="宋体" w:cs="宋体"/>
                <w:sz w:val="24"/>
                <w:szCs w:val="24"/>
                <w:lang w:eastAsia="zh-CN"/>
              </w:rPr>
              <w:t>，</w:t>
            </w:r>
            <w:r>
              <w:rPr>
                <w:rFonts w:hint="eastAsia" w:ascii="宋体" w:hAnsi="宋体" w:eastAsia="宋体" w:cs="宋体"/>
                <w:sz w:val="24"/>
                <w:szCs w:val="24"/>
              </w:rPr>
              <w:t>利用生产线自带的无屑切割机</w:t>
            </w:r>
            <w:r>
              <w:rPr>
                <w:rFonts w:hint="eastAsia" w:ascii="宋体" w:hAnsi="宋体" w:eastAsia="宋体" w:cs="宋体"/>
                <w:sz w:val="24"/>
                <w:szCs w:val="24"/>
                <w:lang w:eastAsia="zh-CN"/>
              </w:rPr>
              <w:t>进行切割、</w:t>
            </w:r>
            <w:r>
              <w:rPr>
                <w:rFonts w:ascii="宋体" w:hAnsi="宋体" w:eastAsia="宋体" w:cs="宋体"/>
                <w:sz w:val="24"/>
                <w:szCs w:val="24"/>
              </w:rPr>
              <w:t>裁切</w:t>
            </w:r>
            <w:r>
              <w:rPr>
                <w:rFonts w:hint="eastAsia" w:ascii="宋体" w:hAnsi="宋体" w:eastAsia="宋体" w:cs="宋体"/>
                <w:sz w:val="24"/>
                <w:szCs w:val="24"/>
                <w:lang w:eastAsia="zh-CN"/>
              </w:rPr>
              <w:t>。</w:t>
            </w:r>
            <w:r>
              <w:rPr>
                <w:rFonts w:hint="eastAsia" w:ascii="Times New Roman" w:hAnsi="宋体" w:eastAsia="宋体" w:cs="Times New Roman"/>
                <w:bCs/>
                <w:sz w:val="24"/>
                <w:szCs w:val="24"/>
              </w:rPr>
              <w:t>此过程</w:t>
            </w:r>
            <w:r>
              <w:rPr>
                <w:rFonts w:hint="eastAsia" w:ascii="Times New Roman" w:hAnsi="宋体" w:eastAsia="宋体" w:cs="Times New Roman"/>
                <w:bCs/>
                <w:sz w:val="24"/>
                <w:szCs w:val="24"/>
                <w:lang w:eastAsia="zh-CN"/>
              </w:rPr>
              <w:t>不产生粉尘，</w:t>
            </w:r>
            <w:r>
              <w:rPr>
                <w:rFonts w:hint="eastAsia" w:ascii="Times New Roman" w:hAnsi="宋体" w:eastAsia="宋体" w:cs="Times New Roman"/>
                <w:bCs/>
                <w:sz w:val="24"/>
                <w:szCs w:val="24"/>
              </w:rPr>
              <w:t>产</w:t>
            </w:r>
            <w:r>
              <w:rPr>
                <w:rFonts w:hint="default" w:ascii="Times New Roman" w:hAnsi="Times New Roman" w:eastAsia="宋体" w:cs="Times New Roman"/>
                <w:bCs/>
                <w:sz w:val="24"/>
                <w:szCs w:val="24"/>
              </w:rPr>
              <w:t>生噪声N</w:t>
            </w:r>
            <w:r>
              <w:rPr>
                <w:rFonts w:hint="default" w:ascii="Times New Roman" w:hAnsi="Times New Roman" w:eastAsia="宋体" w:cs="Times New Roman"/>
                <w:bCs/>
                <w:sz w:val="24"/>
                <w:szCs w:val="24"/>
                <w:lang w:eastAsia="zh-CN"/>
              </w:rPr>
              <w:t>及</w:t>
            </w:r>
            <w:r>
              <w:rPr>
                <w:rFonts w:hint="eastAsia" w:ascii="Times New Roman" w:hAnsi="宋体" w:eastAsia="宋体" w:cs="Times New Roman"/>
                <w:bCs/>
                <w:sz w:val="24"/>
                <w:szCs w:val="24"/>
                <w:lang w:eastAsia="zh-CN"/>
              </w:rPr>
              <w:t>边角料</w:t>
            </w:r>
            <w:r>
              <w:rPr>
                <w:rFonts w:hint="eastAsia" w:ascii="Times New Roman" w:hAnsi="宋体" w:eastAsia="宋体" w:cs="Times New Roman"/>
                <w:bCs/>
                <w:sz w:val="24"/>
                <w:szCs w:val="24"/>
                <w:lang w:val="en-US" w:eastAsia="zh-CN"/>
              </w:rPr>
              <w:t>S</w:t>
            </w:r>
            <w:r>
              <w:rPr>
                <w:rFonts w:ascii="Times New Roman" w:hAnsi="宋体" w:eastAsia="宋体" w:cs="Times New Roman"/>
                <w:bCs/>
                <w:sz w:val="24"/>
                <w:szCs w:val="24"/>
              </w:rPr>
              <w:t>；</w:t>
            </w:r>
          </w:p>
          <w:p w14:paraId="1521BA4C">
            <w:pPr>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0" w:leftChars="0" w:firstLine="480" w:firstLineChars="200"/>
              <w:jc w:val="both"/>
              <w:textAlignment w:val="auto"/>
              <w:rPr>
                <w:rFonts w:hint="eastAsia" w:ascii="Times New Roman" w:hAnsi="宋体" w:eastAsia="宋体" w:cs="Times New Roman"/>
                <w:bCs/>
                <w:sz w:val="24"/>
                <w:szCs w:val="24"/>
                <w:lang w:eastAsia="zh-CN"/>
              </w:rPr>
            </w:pPr>
            <w:r>
              <w:rPr>
                <w:rFonts w:hint="default" w:ascii="Times New Roman" w:hAnsi="宋体" w:eastAsia="宋体" w:cs="Times New Roman"/>
                <w:bCs/>
                <w:kern w:val="2"/>
                <w:sz w:val="24"/>
                <w:szCs w:val="24"/>
                <w:lang w:val="en-US" w:eastAsia="zh-CN" w:bidi="ar-SA"/>
              </w:rPr>
              <w:t>（</w:t>
            </w:r>
            <w:r>
              <w:rPr>
                <w:rFonts w:hint="eastAsia" w:ascii="Times New Roman" w:hAnsi="宋体" w:eastAsia="宋体" w:cs="Times New Roman"/>
                <w:bCs/>
                <w:kern w:val="2"/>
                <w:sz w:val="24"/>
                <w:szCs w:val="24"/>
                <w:lang w:val="en-US" w:eastAsia="zh-CN" w:bidi="ar-SA"/>
              </w:rPr>
              <w:t>6</w:t>
            </w:r>
            <w:r>
              <w:rPr>
                <w:rFonts w:hint="default" w:ascii="Times New Roman" w:hAnsi="宋体" w:eastAsia="宋体" w:cs="Times New Roman"/>
                <w:bCs/>
                <w:kern w:val="2"/>
                <w:sz w:val="24"/>
                <w:szCs w:val="24"/>
                <w:lang w:val="en-US" w:eastAsia="zh-CN" w:bidi="ar-SA"/>
              </w:rPr>
              <w:t>）</w:t>
            </w:r>
            <w:r>
              <w:rPr>
                <w:rFonts w:hint="eastAsia" w:ascii="Times New Roman" w:hAnsi="宋体" w:eastAsia="宋体" w:cs="Times New Roman"/>
                <w:bCs/>
                <w:sz w:val="24"/>
                <w:szCs w:val="24"/>
              </w:rPr>
              <w:t>检验</w:t>
            </w:r>
            <w:r>
              <w:rPr>
                <w:rFonts w:hint="eastAsia" w:ascii="Times New Roman" w:hAnsi="宋体" w:eastAsia="宋体" w:cs="Times New Roman"/>
                <w:bCs/>
                <w:sz w:val="24"/>
                <w:szCs w:val="24"/>
                <w:lang w:eastAsia="zh-CN"/>
              </w:rPr>
              <w:t>、入库：</w:t>
            </w:r>
            <w:r>
              <w:rPr>
                <w:rFonts w:hint="eastAsia" w:ascii="Times New Roman" w:hAnsi="宋体" w:eastAsia="宋体" w:cs="Times New Roman"/>
                <w:bCs/>
                <w:sz w:val="24"/>
                <w:szCs w:val="24"/>
              </w:rPr>
              <w:t>对成品进行人工检</w:t>
            </w:r>
            <w:r>
              <w:rPr>
                <w:rFonts w:hint="eastAsia" w:ascii="Times New Roman" w:hAnsi="宋体" w:eastAsia="宋体" w:cs="Times New Roman"/>
                <w:bCs/>
                <w:color w:val="auto"/>
                <w:sz w:val="24"/>
                <w:szCs w:val="24"/>
              </w:rPr>
              <w:t>查</w:t>
            </w:r>
            <w:r>
              <w:rPr>
                <w:rFonts w:hint="eastAsia" w:ascii="Times New Roman" w:hAnsi="宋体" w:eastAsia="宋体" w:cs="Times New Roman"/>
                <w:bCs/>
                <w:color w:val="auto"/>
                <w:sz w:val="24"/>
                <w:szCs w:val="24"/>
                <w:lang w:eastAsia="zh-CN"/>
              </w:rPr>
              <w:t>，合格品打包入库。对产品切割产生的边角料和检验产生的不合格品，经破碎机破碎成颗粒，作为原料回用于生产中。粉碎过程会产生破碎粉尘</w:t>
            </w:r>
            <w:r>
              <w:rPr>
                <w:rFonts w:hint="eastAsia" w:ascii="Times New Roman" w:hAnsi="宋体" w:eastAsia="宋体" w:cs="Times New Roman"/>
                <w:bCs/>
                <w:color w:val="auto"/>
                <w:sz w:val="24"/>
                <w:szCs w:val="24"/>
                <w:lang w:val="en-US" w:eastAsia="zh-CN"/>
              </w:rPr>
              <w:t>G</w:t>
            </w:r>
            <w:r>
              <w:rPr>
                <w:rFonts w:hint="eastAsia" w:ascii="Times New Roman" w:hAnsi="宋体" w:eastAsia="宋体" w:cs="Times New Roman"/>
                <w:bCs/>
                <w:color w:val="auto"/>
                <w:sz w:val="24"/>
                <w:szCs w:val="24"/>
                <w:lang w:eastAsia="zh-CN"/>
              </w:rPr>
              <w:t>和噪声</w:t>
            </w:r>
            <w:r>
              <w:rPr>
                <w:rFonts w:hint="eastAsia" w:ascii="Times New Roman" w:hAnsi="宋体" w:eastAsia="宋体" w:cs="Times New Roman"/>
                <w:bCs/>
                <w:color w:val="auto"/>
                <w:sz w:val="24"/>
                <w:szCs w:val="24"/>
                <w:lang w:val="en-US" w:eastAsia="zh-CN"/>
              </w:rPr>
              <w:t>N</w:t>
            </w:r>
            <w:r>
              <w:rPr>
                <w:rFonts w:hint="eastAsia" w:ascii="Times New Roman" w:hAnsi="宋体" w:eastAsia="宋体" w:cs="Times New Roman"/>
                <w:bCs/>
                <w:color w:val="auto"/>
                <w:sz w:val="24"/>
                <w:szCs w:val="24"/>
                <w:lang w:eastAsia="zh-CN"/>
              </w:rPr>
              <w:t>。</w:t>
            </w:r>
          </w:p>
          <w:p w14:paraId="78CD0EB1">
            <w:pPr>
              <w:pStyle w:val="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b w:val="0"/>
                <w:bCs w:val="0"/>
                <w:sz w:val="24"/>
                <w:szCs w:val="24"/>
                <w:lang w:val="en-US" w:eastAsia="zh-CN"/>
              </w:rPr>
            </w:pPr>
            <w:r>
              <w:rPr>
                <w:rFonts w:hint="eastAsia"/>
                <w:b w:val="0"/>
                <w:bCs w:val="0"/>
                <w:sz w:val="24"/>
                <w:szCs w:val="24"/>
                <w:lang w:val="en-US" w:eastAsia="zh-CN"/>
              </w:rPr>
              <w:t>2、</w:t>
            </w:r>
            <w:r>
              <w:rPr>
                <w:rFonts w:hint="eastAsia" w:eastAsia="宋体" w:cs="Times New Roman"/>
                <w:b w:val="0"/>
                <w:bCs w:val="0"/>
                <w:sz w:val="24"/>
                <w:szCs w:val="24"/>
                <w:lang w:val="en-US" w:eastAsia="zh-CN"/>
              </w:rPr>
              <w:t>PP</w:t>
            </w:r>
            <w:r>
              <w:rPr>
                <w:rFonts w:hint="eastAsia"/>
                <w:b w:val="0"/>
                <w:bCs w:val="0"/>
                <w:sz w:val="24"/>
                <w:szCs w:val="24"/>
                <w:lang w:val="en-US" w:eastAsia="zh-CN"/>
              </w:rPr>
              <w:t>配件、封头生产工艺流程</w:t>
            </w:r>
          </w:p>
          <w:p w14:paraId="0831A1A1">
            <w:pPr>
              <w:jc w:val="center"/>
            </w:pPr>
            <w:r>
              <w:rPr>
                <w:rFonts w:hint="default"/>
                <w:lang w:eastAsia="zh-CN"/>
              </w:rPr>
              <w:object>
                <v:shape id="_x0000_i1028" o:spt="75" type="#_x0000_t75" style="height:334.15pt;width:348.15pt;" o:ole="t" filled="f" o:preferrelative="t" stroked="f" coordsize="21600,21600">
                  <v:path/>
                  <v:fill on="f" focussize="0,0"/>
                  <v:stroke on="f"/>
                  <v:imagedata r:id="rId22" o:title=""/>
                  <o:lock v:ext="edit" aspectratio="t"/>
                  <w10:wrap type="none"/>
                  <w10:anchorlock/>
                </v:shape>
                <o:OLEObject Type="Embed" ProgID="Visio.Drawing.11" ShapeID="_x0000_i1028" DrawAspect="Content" ObjectID="_1468075728" r:id="rId21">
                  <o:LockedField>false</o:LockedField>
                </o:OLEObject>
              </w:object>
            </w:r>
          </w:p>
          <w:p w14:paraId="49B06D22">
            <w:pPr>
              <w:pStyle w:val="76"/>
              <w:keepNext w:val="0"/>
              <w:keepLines w:val="0"/>
              <w:pageBreakBefore w:val="0"/>
              <w:widowControl/>
              <w:kinsoku/>
              <w:wordWrap/>
              <w:overflowPunct/>
              <w:topLinePunct w:val="0"/>
              <w:autoSpaceDE/>
              <w:autoSpaceDN/>
              <w:bidi w:val="0"/>
              <w:adjustRightInd/>
              <w:snapToGrid/>
              <w:textAlignment w:val="auto"/>
              <w:rPr>
                <w:rFonts w:hint="default" w:ascii="Times New Roman" w:hAnsi="Times New Roman" w:eastAsia="宋体" w:cs="Times New Roman"/>
                <w:b/>
                <w:bCs w:val="0"/>
                <w:color w:val="auto"/>
                <w:kern w:val="0"/>
                <w:sz w:val="24"/>
                <w:szCs w:val="24"/>
                <w:lang w:val="en-US" w:eastAsia="zh-CN" w:bidi="ar"/>
              </w:rPr>
            </w:pPr>
            <w:r>
              <w:rPr>
                <w:rFonts w:hint="eastAsia" w:ascii="Times New Roman" w:hAnsi="Times New Roman" w:eastAsia="宋体" w:cs="Times New Roman"/>
                <w:b/>
                <w:bCs w:val="0"/>
                <w:color w:val="auto"/>
                <w:kern w:val="0"/>
                <w:sz w:val="24"/>
                <w:szCs w:val="24"/>
                <w:lang w:val="en-US" w:eastAsia="en-US" w:bidi="ar"/>
              </w:rPr>
              <w:t>图</w:t>
            </w:r>
            <w:r>
              <w:rPr>
                <w:rFonts w:hint="eastAsia" w:ascii="Times New Roman" w:hAnsi="Times New Roman" w:eastAsia="宋体" w:cs="Times New Roman"/>
                <w:b/>
                <w:bCs w:val="0"/>
                <w:color w:val="auto"/>
                <w:kern w:val="0"/>
                <w:sz w:val="24"/>
                <w:szCs w:val="24"/>
                <w:lang w:val="en-US" w:eastAsia="zh-CN" w:bidi="ar"/>
              </w:rPr>
              <w:t>2-</w:t>
            </w:r>
            <w:r>
              <w:rPr>
                <w:rFonts w:hint="eastAsia" w:cs="Times New Roman"/>
                <w:b/>
                <w:bCs w:val="0"/>
                <w:color w:val="auto"/>
                <w:kern w:val="0"/>
                <w:sz w:val="24"/>
                <w:szCs w:val="24"/>
                <w:lang w:val="en-US" w:eastAsia="zh-CN" w:bidi="ar"/>
              </w:rPr>
              <w:t>4</w:t>
            </w:r>
            <w:r>
              <w:rPr>
                <w:rFonts w:hint="eastAsia" w:ascii="Times New Roman" w:hAnsi="Times New Roman" w:eastAsia="宋体" w:cs="Times New Roman"/>
                <w:b/>
                <w:bCs w:val="0"/>
                <w:color w:val="auto"/>
                <w:kern w:val="0"/>
                <w:sz w:val="24"/>
                <w:szCs w:val="24"/>
                <w:lang w:val="en-US" w:eastAsia="en-US" w:bidi="ar"/>
              </w:rPr>
              <w:t xml:space="preserve"> 生产工艺及产污节点图</w:t>
            </w:r>
          </w:p>
          <w:p w14:paraId="68DA133D">
            <w:pPr>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0" w:leftChars="0" w:firstLine="480" w:firstLineChars="200"/>
              <w:jc w:val="both"/>
              <w:textAlignment w:val="auto"/>
              <w:rPr>
                <w:rFonts w:hint="default" w:ascii="Times New Roman" w:hAnsi="宋体" w:eastAsia="宋体" w:cs="Times New Roman"/>
                <w:bCs/>
                <w:kern w:val="2"/>
                <w:sz w:val="24"/>
                <w:szCs w:val="24"/>
                <w:lang w:val="en-US" w:eastAsia="zh-CN" w:bidi="ar-SA"/>
              </w:rPr>
            </w:pPr>
            <w:r>
              <w:rPr>
                <w:rFonts w:hint="eastAsia" w:hAnsi="宋体" w:cs="Times New Roman"/>
                <w:bCs/>
                <w:kern w:val="2"/>
                <w:sz w:val="24"/>
                <w:szCs w:val="24"/>
                <w:lang w:val="en-US" w:eastAsia="zh-CN" w:bidi="ar-SA"/>
              </w:rPr>
              <w:t>PP配件和封头生产工艺相同，其</w:t>
            </w:r>
            <w:r>
              <w:rPr>
                <w:rFonts w:hint="default" w:ascii="Times New Roman" w:hAnsi="宋体" w:eastAsia="宋体" w:cs="Times New Roman"/>
                <w:bCs/>
                <w:kern w:val="2"/>
                <w:sz w:val="24"/>
                <w:szCs w:val="24"/>
                <w:lang w:val="en-US" w:eastAsia="zh-CN" w:bidi="ar-SA"/>
              </w:rPr>
              <w:t>主要工艺流程简述</w:t>
            </w:r>
            <w:r>
              <w:rPr>
                <w:rFonts w:hint="eastAsia" w:hAnsi="宋体" w:cs="Times New Roman"/>
                <w:bCs/>
                <w:kern w:val="2"/>
                <w:sz w:val="24"/>
                <w:szCs w:val="24"/>
                <w:lang w:val="en-US" w:eastAsia="zh-CN" w:bidi="ar-SA"/>
              </w:rPr>
              <w:t>如下</w:t>
            </w:r>
            <w:r>
              <w:rPr>
                <w:rFonts w:hint="default" w:ascii="Times New Roman" w:hAnsi="宋体" w:eastAsia="宋体" w:cs="Times New Roman"/>
                <w:bCs/>
                <w:kern w:val="2"/>
                <w:sz w:val="24"/>
                <w:szCs w:val="24"/>
                <w:lang w:val="en-US" w:eastAsia="zh-CN" w:bidi="ar-SA"/>
              </w:rPr>
              <w:t>：</w:t>
            </w:r>
          </w:p>
          <w:p w14:paraId="5389C68E">
            <w:pPr>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0" w:leftChars="0" w:firstLine="480" w:firstLineChars="200"/>
              <w:jc w:val="both"/>
              <w:textAlignment w:val="auto"/>
              <w:rPr>
                <w:rFonts w:ascii="Times New Roman" w:hAnsi="宋体" w:eastAsia="宋体" w:cs="Times New Roman"/>
                <w:bCs/>
                <w:sz w:val="24"/>
                <w:szCs w:val="24"/>
              </w:rPr>
            </w:pPr>
            <w:r>
              <w:rPr>
                <w:rFonts w:hint="default" w:ascii="Times New Roman" w:hAnsi="宋体" w:eastAsia="宋体" w:cs="Times New Roman"/>
                <w:bCs/>
                <w:kern w:val="2"/>
                <w:sz w:val="24"/>
                <w:szCs w:val="24"/>
                <w:lang w:val="en-US" w:eastAsia="zh-CN" w:bidi="ar-SA"/>
              </w:rPr>
              <w:t>（1）</w:t>
            </w:r>
            <w:r>
              <w:rPr>
                <w:rFonts w:hint="eastAsia" w:ascii="Times New Roman" w:hAnsi="宋体" w:eastAsia="宋体" w:cs="Times New Roman"/>
                <w:bCs/>
                <w:sz w:val="24"/>
                <w:szCs w:val="24"/>
                <w:lang w:eastAsia="zh-CN"/>
              </w:rPr>
              <w:t>混料、上料</w:t>
            </w:r>
            <w:r>
              <w:rPr>
                <w:rFonts w:hint="eastAsia" w:ascii="Times New Roman" w:hAnsi="宋体" w:eastAsia="宋体" w:cs="Times New Roman"/>
                <w:bCs/>
                <w:sz w:val="24"/>
                <w:szCs w:val="24"/>
              </w:rPr>
              <w:t>：将</w:t>
            </w:r>
            <w:r>
              <w:rPr>
                <w:rFonts w:hint="eastAsia" w:hAnsi="宋体" w:cs="Times New Roman"/>
                <w:bCs/>
                <w:sz w:val="24"/>
                <w:szCs w:val="24"/>
                <w:lang w:val="en-US" w:eastAsia="zh-CN"/>
              </w:rPr>
              <w:t>干燥机预热后的</w:t>
            </w:r>
            <w:r>
              <w:rPr>
                <w:rFonts w:hint="eastAsia" w:ascii="Times New Roman" w:hAnsi="宋体" w:eastAsia="宋体" w:cs="Times New Roman"/>
                <w:bCs/>
                <w:sz w:val="24"/>
                <w:szCs w:val="24"/>
              </w:rPr>
              <w:t>PP</w:t>
            </w:r>
            <w:r>
              <w:rPr>
                <w:rFonts w:hint="eastAsia" w:hAnsi="宋体" w:cs="Times New Roman"/>
                <w:bCs/>
                <w:sz w:val="24"/>
                <w:szCs w:val="24"/>
                <w:lang w:val="en-US" w:eastAsia="zh-CN"/>
              </w:rPr>
              <w:t>原料</w:t>
            </w:r>
            <w:r>
              <w:rPr>
                <w:rFonts w:hint="eastAsia" w:ascii="Times New Roman" w:hAnsi="宋体" w:eastAsia="宋体" w:cs="Times New Roman"/>
                <w:bCs/>
                <w:sz w:val="24"/>
                <w:szCs w:val="24"/>
              </w:rPr>
              <w:t>和色母粒投入</w:t>
            </w:r>
            <w:r>
              <w:rPr>
                <w:rFonts w:hint="eastAsia" w:ascii="Times New Roman" w:hAnsi="宋体" w:eastAsia="宋体" w:cs="Times New Roman"/>
                <w:bCs/>
                <w:sz w:val="24"/>
                <w:szCs w:val="24"/>
                <w:highlight w:val="none"/>
              </w:rPr>
              <w:t>混料机</w:t>
            </w:r>
            <w:r>
              <w:rPr>
                <w:rFonts w:hint="eastAsia" w:ascii="Times New Roman" w:hAnsi="宋体" w:eastAsia="宋体" w:cs="Times New Roman"/>
                <w:bCs/>
                <w:sz w:val="24"/>
                <w:szCs w:val="24"/>
              </w:rPr>
              <w:t>下方上料口，经螺杆输送至混料机内进行混合搅拌</w:t>
            </w:r>
            <w:r>
              <w:rPr>
                <w:rFonts w:hint="eastAsia" w:hAnsi="宋体" w:cs="Times New Roman"/>
                <w:bCs/>
                <w:sz w:val="24"/>
                <w:szCs w:val="24"/>
                <w:lang w:eastAsia="zh-CN"/>
              </w:rPr>
              <w:t>，</w:t>
            </w:r>
            <w:r>
              <w:rPr>
                <w:rFonts w:hint="eastAsia" w:hAnsi="宋体" w:cs="Times New Roman"/>
                <w:bCs/>
                <w:sz w:val="24"/>
                <w:szCs w:val="24"/>
                <w:lang w:val="en-US" w:eastAsia="zh-CN"/>
              </w:rPr>
              <w:t>预热温度控制在60-80℃。</w:t>
            </w:r>
            <w:r>
              <w:rPr>
                <w:rFonts w:hint="eastAsia" w:ascii="Times New Roman" w:hAnsi="宋体" w:eastAsia="宋体" w:cs="Times New Roman"/>
                <w:bCs/>
                <w:sz w:val="24"/>
                <w:szCs w:val="24"/>
                <w:lang w:eastAsia="zh-CN"/>
              </w:rPr>
              <w:t>混合搅拌后，物</w:t>
            </w:r>
            <w:r>
              <w:rPr>
                <w:rFonts w:hint="eastAsia" w:ascii="Times New Roman" w:hAnsi="宋体" w:eastAsia="宋体" w:cs="Times New Roman"/>
                <w:bCs/>
                <w:sz w:val="24"/>
                <w:szCs w:val="24"/>
              </w:rPr>
              <w:t>料由混料机封闭料仓通过螺杆输送至</w:t>
            </w:r>
            <w:r>
              <w:rPr>
                <w:rFonts w:hint="eastAsia" w:ascii="Times New Roman" w:hAnsi="宋体" w:eastAsia="宋体" w:cs="Times New Roman"/>
                <w:bCs/>
                <w:sz w:val="24"/>
                <w:szCs w:val="24"/>
                <w:highlight w:val="none"/>
                <w:lang w:val="en-US" w:eastAsia="zh-CN"/>
              </w:rPr>
              <w:t>注塑机</w:t>
            </w:r>
            <w:r>
              <w:rPr>
                <w:rFonts w:hint="eastAsia" w:ascii="Times New Roman" w:hAnsi="宋体" w:eastAsia="宋体" w:cs="Times New Roman"/>
                <w:bCs/>
                <w:sz w:val="24"/>
                <w:szCs w:val="24"/>
              </w:rPr>
              <w:t>料</w:t>
            </w:r>
            <w:r>
              <w:rPr>
                <w:rFonts w:hint="eastAsia" w:ascii="Times New Roman" w:hAnsi="宋体" w:eastAsia="宋体" w:cs="Times New Roman"/>
                <w:bCs/>
                <w:sz w:val="24"/>
                <w:szCs w:val="24"/>
                <w:lang w:eastAsia="zh-CN"/>
              </w:rPr>
              <w:t>筒</w:t>
            </w:r>
            <w:r>
              <w:rPr>
                <w:rFonts w:hint="eastAsia" w:ascii="Times New Roman" w:hAnsi="宋体" w:eastAsia="宋体" w:cs="Times New Roman"/>
                <w:bCs/>
                <w:sz w:val="24"/>
                <w:szCs w:val="24"/>
              </w:rPr>
              <w:t>内。项目PP和色母粒均为颗粒状，投料、混料等过程</w:t>
            </w:r>
            <w:r>
              <w:rPr>
                <w:rFonts w:hint="eastAsia" w:ascii="Times New Roman" w:hAnsi="宋体" w:eastAsia="宋体" w:cs="Times New Roman"/>
                <w:bCs/>
                <w:sz w:val="24"/>
                <w:szCs w:val="24"/>
                <w:lang w:eastAsia="zh-CN"/>
              </w:rPr>
              <w:t>密闭，</w:t>
            </w:r>
            <w:r>
              <w:rPr>
                <w:rFonts w:hint="eastAsia" w:ascii="Times New Roman" w:hAnsi="宋体" w:eastAsia="宋体" w:cs="Times New Roman"/>
                <w:bCs/>
                <w:sz w:val="24"/>
                <w:szCs w:val="24"/>
              </w:rPr>
              <w:t>产生</w:t>
            </w:r>
            <w:r>
              <w:rPr>
                <w:rFonts w:hint="eastAsia" w:hAnsi="宋体" w:cs="Times New Roman"/>
                <w:bCs/>
                <w:sz w:val="24"/>
                <w:szCs w:val="24"/>
                <w:lang w:eastAsia="zh-CN"/>
              </w:rPr>
              <w:t>的</w:t>
            </w:r>
            <w:r>
              <w:rPr>
                <w:rFonts w:hint="eastAsia" w:ascii="Times New Roman" w:hAnsi="宋体" w:eastAsia="宋体" w:cs="Times New Roman"/>
                <w:bCs/>
                <w:sz w:val="24"/>
                <w:szCs w:val="24"/>
              </w:rPr>
              <w:t>粉尘量极少，可忽略不计。此过程产生噪声</w:t>
            </w:r>
            <w:r>
              <w:rPr>
                <w:rFonts w:hint="eastAsia" w:ascii="Times New Roman" w:hAnsi="宋体" w:eastAsia="宋体" w:cs="Times New Roman"/>
                <w:bCs/>
                <w:sz w:val="24"/>
                <w:szCs w:val="24"/>
                <w:lang w:val="en-US" w:eastAsia="zh-CN"/>
              </w:rPr>
              <w:t>N</w:t>
            </w:r>
            <w:r>
              <w:rPr>
                <w:rFonts w:hint="eastAsia" w:ascii="Times New Roman" w:hAnsi="宋体" w:eastAsia="宋体" w:cs="Times New Roman"/>
                <w:bCs/>
                <w:sz w:val="24"/>
                <w:szCs w:val="24"/>
              </w:rPr>
              <w:t>。</w:t>
            </w:r>
          </w:p>
          <w:p w14:paraId="647FE705">
            <w:pPr>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0" w:leftChars="0" w:firstLine="480" w:firstLineChars="200"/>
              <w:jc w:val="both"/>
              <w:textAlignment w:val="auto"/>
              <w:rPr>
                <w:rFonts w:hint="eastAsia" w:ascii="Times New Roman" w:hAnsi="宋体" w:eastAsia="宋体" w:cs="Times New Roman"/>
                <w:bCs/>
                <w:sz w:val="24"/>
                <w:szCs w:val="24"/>
                <w:lang w:eastAsia="zh-CN"/>
              </w:rPr>
            </w:pPr>
            <w:r>
              <w:rPr>
                <w:rFonts w:hint="default" w:ascii="Times New Roman" w:hAnsi="宋体" w:eastAsia="宋体" w:cs="Times New Roman"/>
                <w:bCs/>
                <w:kern w:val="2"/>
                <w:sz w:val="24"/>
                <w:szCs w:val="24"/>
                <w:lang w:val="en-US" w:eastAsia="zh-CN" w:bidi="ar-SA"/>
              </w:rPr>
              <w:t>（2）注塑成型：物料在注塑机进行注塑加工，原料熔融时，采用电加热的方式对注塑机内物料加热，加热温度约为230℃，加热时间根据不同产品要求有所不同，使注塑机内熔融区塑料颗粒成为熔融状态，然后在压力作用下挤入相应的模具中（备注：不同规格产品采用不同规格模具），注塑机配套水循环冷却系统，循环水给模具降温使塑料快速定型，定型后取出的即为半成品。此过程会产生有机废气G和噪声N</w:t>
            </w:r>
            <w:r>
              <w:rPr>
                <w:rFonts w:hint="eastAsia" w:ascii="Times New Roman" w:hAnsi="宋体" w:eastAsia="宋体" w:cs="Times New Roman"/>
                <w:bCs/>
                <w:sz w:val="24"/>
                <w:szCs w:val="24"/>
                <w:lang w:val="en-US" w:eastAsia="zh-CN"/>
              </w:rPr>
              <w:t>。</w:t>
            </w:r>
          </w:p>
          <w:p w14:paraId="5C5A187D">
            <w:pPr>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0" w:leftChars="0" w:firstLine="480" w:firstLineChars="200"/>
              <w:jc w:val="both"/>
              <w:textAlignment w:val="auto"/>
              <w:rPr>
                <w:rFonts w:hint="default" w:ascii="Times New Roman" w:hAnsi="宋体" w:eastAsia="宋体" w:cs="Times New Roman"/>
                <w:bCs/>
                <w:kern w:val="2"/>
                <w:sz w:val="24"/>
                <w:szCs w:val="24"/>
                <w:lang w:val="en-US" w:eastAsia="zh-CN" w:bidi="ar-SA"/>
              </w:rPr>
            </w:pPr>
            <w:r>
              <w:rPr>
                <w:rFonts w:hint="default" w:ascii="Times New Roman" w:hAnsi="宋体" w:eastAsia="宋体" w:cs="Times New Roman"/>
                <w:bCs/>
                <w:kern w:val="2"/>
                <w:sz w:val="24"/>
                <w:szCs w:val="24"/>
                <w:lang w:val="en-US" w:eastAsia="zh-CN" w:bidi="ar-SA"/>
              </w:rPr>
              <w:t>（</w:t>
            </w:r>
            <w:r>
              <w:rPr>
                <w:rFonts w:hint="eastAsia" w:ascii="Times New Roman" w:hAnsi="宋体" w:eastAsia="宋体" w:cs="Times New Roman"/>
                <w:bCs/>
                <w:kern w:val="2"/>
                <w:sz w:val="24"/>
                <w:szCs w:val="24"/>
                <w:lang w:val="en-US" w:eastAsia="zh-CN" w:bidi="ar-SA"/>
              </w:rPr>
              <w:t>3</w:t>
            </w:r>
            <w:r>
              <w:rPr>
                <w:rFonts w:hint="default" w:ascii="Times New Roman" w:hAnsi="宋体" w:eastAsia="宋体" w:cs="Times New Roman"/>
                <w:bCs/>
                <w:kern w:val="2"/>
                <w:sz w:val="24"/>
                <w:szCs w:val="24"/>
                <w:lang w:val="en-US" w:eastAsia="zh-CN" w:bidi="ar-SA"/>
              </w:rPr>
              <w:t>）</w:t>
            </w:r>
            <w:r>
              <w:rPr>
                <w:rFonts w:hint="eastAsia" w:ascii="Times New Roman" w:hAnsi="宋体" w:eastAsia="宋体" w:cs="Times New Roman"/>
                <w:bCs/>
                <w:sz w:val="24"/>
                <w:szCs w:val="24"/>
                <w:lang w:eastAsia="zh-CN"/>
              </w:rPr>
              <w:t>冷却定型</w:t>
            </w:r>
            <w:r>
              <w:rPr>
                <w:rFonts w:hint="eastAsia" w:ascii="Times New Roman" w:hAnsi="宋体" w:eastAsia="宋体" w:cs="Times New Roman"/>
                <w:bCs/>
                <w:sz w:val="24"/>
                <w:szCs w:val="24"/>
              </w:rPr>
              <w:t>：</w:t>
            </w:r>
            <w:r>
              <w:rPr>
                <w:rFonts w:hint="default" w:ascii="Times New Roman" w:hAnsi="Times New Roman" w:eastAsia="宋体" w:cs="Times New Roman"/>
                <w:color w:val="auto"/>
                <w:sz w:val="24"/>
                <w:szCs w:val="24"/>
              </w:rPr>
              <w:t>本项目</w:t>
            </w:r>
            <w:r>
              <w:rPr>
                <w:rFonts w:hint="eastAsia" w:cs="Times New Roman"/>
                <w:color w:val="auto"/>
                <w:sz w:val="24"/>
                <w:szCs w:val="24"/>
                <w:lang w:val="en-US" w:eastAsia="zh-CN"/>
              </w:rPr>
              <w:t>注塑</w:t>
            </w:r>
            <w:r>
              <w:rPr>
                <w:rFonts w:hint="default" w:ascii="Times New Roman" w:hAnsi="Times New Roman" w:eastAsia="宋体" w:cs="Times New Roman"/>
                <w:color w:val="auto"/>
                <w:sz w:val="24"/>
                <w:szCs w:val="24"/>
              </w:rPr>
              <w:t>运行过程</w:t>
            </w:r>
            <w:r>
              <w:rPr>
                <w:rFonts w:hint="default" w:ascii="Times New Roman" w:hAnsi="Times New Roman" w:eastAsia="宋体" w:cs="Times New Roman"/>
                <w:color w:val="auto"/>
                <w:sz w:val="24"/>
                <w:szCs w:val="24"/>
                <w:lang w:eastAsia="zh-CN"/>
              </w:rPr>
              <w:t>采</w:t>
            </w:r>
            <w:r>
              <w:rPr>
                <w:rFonts w:hint="default" w:ascii="Times New Roman" w:hAnsi="Times New Roman" w:eastAsia="宋体" w:cs="Times New Roman"/>
                <w:color w:val="auto"/>
                <w:sz w:val="24"/>
                <w:szCs w:val="24"/>
              </w:rPr>
              <w:t>用水冷却，在</w:t>
            </w:r>
            <w:r>
              <w:rPr>
                <w:rFonts w:hint="eastAsia" w:cs="Times New Roman"/>
                <w:color w:val="auto"/>
                <w:sz w:val="24"/>
                <w:szCs w:val="24"/>
                <w:lang w:val="en-US" w:eastAsia="zh-CN"/>
              </w:rPr>
              <w:t>注塑</w:t>
            </w:r>
            <w:r>
              <w:rPr>
                <w:rFonts w:hint="default" w:ascii="Times New Roman" w:hAnsi="Times New Roman" w:eastAsia="宋体" w:cs="Times New Roman"/>
                <w:color w:val="auto"/>
                <w:sz w:val="24"/>
                <w:szCs w:val="24"/>
              </w:rPr>
              <w:t>成型过程中，熔融的塑料从模具挤出后，需要快速冷却定型。冷却水通过冷却水箱，在</w:t>
            </w:r>
            <w:r>
              <w:rPr>
                <w:rFonts w:hint="eastAsia" w:ascii="Times New Roman" w:hAnsi="Times New Roman" w:eastAsia="宋体" w:cs="Times New Roman"/>
                <w:color w:val="auto"/>
                <w:sz w:val="24"/>
                <w:szCs w:val="24"/>
                <w:lang w:val="en-US" w:eastAsia="zh-CN"/>
              </w:rPr>
              <w:t>产品</w:t>
            </w:r>
            <w:r>
              <w:rPr>
                <w:rFonts w:hint="default" w:ascii="Times New Roman" w:hAnsi="Times New Roman" w:eastAsia="宋体" w:cs="Times New Roman"/>
                <w:color w:val="auto"/>
                <w:sz w:val="24"/>
                <w:szCs w:val="24"/>
              </w:rPr>
              <w:t>外部形成水膜或水环进行冷却，水与塑料制品不直接接触，而是通过热交换带走热量。这种间接冷却方式可以避免冷却水直接接触塑料表面造成污染，同时保证冷却均匀，防止产品变形、产生内应力等质量问题。冷却水经过循环系统冷却后重复使用，实现节能降耗。</w:t>
            </w:r>
          </w:p>
          <w:p w14:paraId="0F2CACBE">
            <w:pPr>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0" w:leftChars="0" w:firstLine="480" w:firstLineChars="200"/>
              <w:jc w:val="both"/>
              <w:textAlignment w:val="auto"/>
              <w:rPr>
                <w:rFonts w:ascii="Times New Roman" w:hAnsi="宋体" w:eastAsia="宋体" w:cs="Times New Roman"/>
                <w:bCs/>
                <w:sz w:val="24"/>
                <w:szCs w:val="24"/>
              </w:rPr>
            </w:pPr>
            <w:r>
              <w:rPr>
                <w:rFonts w:hint="default" w:ascii="Times New Roman" w:hAnsi="宋体" w:eastAsia="宋体" w:cs="Times New Roman"/>
                <w:bCs/>
                <w:kern w:val="2"/>
                <w:sz w:val="24"/>
                <w:szCs w:val="24"/>
                <w:lang w:val="en-US" w:eastAsia="zh-CN" w:bidi="ar-SA"/>
              </w:rPr>
              <w:t>（</w:t>
            </w:r>
            <w:r>
              <w:rPr>
                <w:rFonts w:hint="eastAsia" w:ascii="Times New Roman" w:hAnsi="宋体" w:eastAsia="宋体" w:cs="Times New Roman"/>
                <w:bCs/>
                <w:kern w:val="2"/>
                <w:sz w:val="24"/>
                <w:szCs w:val="24"/>
                <w:lang w:val="en-US" w:eastAsia="zh-CN" w:bidi="ar-SA"/>
              </w:rPr>
              <w:t>4</w:t>
            </w:r>
            <w:r>
              <w:rPr>
                <w:rFonts w:hint="default" w:ascii="Times New Roman" w:hAnsi="宋体" w:eastAsia="宋体" w:cs="Times New Roman"/>
                <w:bCs/>
                <w:kern w:val="2"/>
                <w:sz w:val="24"/>
                <w:szCs w:val="24"/>
                <w:lang w:val="en-US" w:eastAsia="zh-CN" w:bidi="ar-SA"/>
              </w:rPr>
              <w:t>）</w:t>
            </w:r>
            <w:r>
              <w:rPr>
                <w:rFonts w:hint="eastAsia" w:ascii="Times New Roman" w:hAnsi="宋体" w:eastAsia="宋体" w:cs="Times New Roman"/>
                <w:bCs/>
                <w:kern w:val="2"/>
                <w:sz w:val="24"/>
                <w:szCs w:val="24"/>
                <w:lang w:val="en-US" w:eastAsia="zh-CN" w:bidi="ar-SA"/>
              </w:rPr>
              <w:t>切割</w:t>
            </w:r>
            <w:r>
              <w:rPr>
                <w:rFonts w:hint="eastAsia" w:ascii="宋体" w:hAnsi="宋体" w:eastAsia="宋体" w:cs="宋体"/>
                <w:b w:val="0"/>
                <w:bCs w:val="0"/>
                <w:kern w:val="0"/>
                <w:sz w:val="24"/>
                <w:szCs w:val="24"/>
                <w:lang w:val="en-US" w:eastAsia="zh-CN" w:bidi="ar"/>
              </w:rPr>
              <w:t>：经注塑完成后的产品均带有料柄，需对其进行修整去除。此过程会边角料</w:t>
            </w:r>
            <w:r>
              <w:rPr>
                <w:rFonts w:ascii="Times New Roman" w:hAnsi="宋体" w:eastAsia="宋体" w:cs="Times New Roman"/>
                <w:bCs/>
                <w:sz w:val="24"/>
                <w:szCs w:val="24"/>
              </w:rPr>
              <w:t>；</w:t>
            </w:r>
          </w:p>
          <w:p w14:paraId="05104D23">
            <w:pPr>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0" w:leftChars="0" w:firstLine="480" w:firstLineChars="200"/>
              <w:jc w:val="both"/>
              <w:textAlignment w:val="auto"/>
              <w:rPr>
                <w:rFonts w:hint="eastAsia" w:ascii="Times New Roman" w:hAnsi="宋体" w:eastAsia="宋体" w:cs="Times New Roman"/>
                <w:bCs/>
                <w:sz w:val="24"/>
                <w:szCs w:val="24"/>
                <w:lang w:eastAsia="zh-CN"/>
              </w:rPr>
            </w:pPr>
            <w:r>
              <w:rPr>
                <w:rFonts w:hint="default" w:ascii="Times New Roman" w:hAnsi="宋体" w:eastAsia="宋体" w:cs="Times New Roman"/>
                <w:bCs/>
                <w:kern w:val="2"/>
                <w:sz w:val="24"/>
                <w:szCs w:val="24"/>
                <w:lang w:val="en-US" w:eastAsia="zh-CN" w:bidi="ar-SA"/>
              </w:rPr>
              <w:t>（</w:t>
            </w:r>
            <w:r>
              <w:rPr>
                <w:rFonts w:hint="eastAsia" w:ascii="Times New Roman" w:hAnsi="宋体" w:eastAsia="宋体" w:cs="Times New Roman"/>
                <w:bCs/>
                <w:kern w:val="2"/>
                <w:sz w:val="24"/>
                <w:szCs w:val="24"/>
                <w:lang w:val="en-US" w:eastAsia="zh-CN" w:bidi="ar-SA"/>
              </w:rPr>
              <w:t>5</w:t>
            </w:r>
            <w:r>
              <w:rPr>
                <w:rFonts w:hint="default" w:ascii="Times New Roman" w:hAnsi="宋体" w:eastAsia="宋体" w:cs="Times New Roman"/>
                <w:bCs/>
                <w:kern w:val="2"/>
                <w:sz w:val="24"/>
                <w:szCs w:val="24"/>
                <w:lang w:val="en-US" w:eastAsia="zh-CN" w:bidi="ar-SA"/>
              </w:rPr>
              <w:t>）</w:t>
            </w:r>
            <w:r>
              <w:rPr>
                <w:rFonts w:hint="eastAsia" w:ascii="Times New Roman" w:hAnsi="宋体" w:eastAsia="宋体" w:cs="Times New Roman"/>
                <w:bCs/>
                <w:sz w:val="24"/>
                <w:szCs w:val="24"/>
              </w:rPr>
              <w:t>检验</w:t>
            </w:r>
            <w:r>
              <w:rPr>
                <w:rFonts w:hint="eastAsia" w:ascii="Times New Roman" w:hAnsi="宋体" w:eastAsia="宋体" w:cs="Times New Roman"/>
                <w:bCs/>
                <w:sz w:val="24"/>
                <w:szCs w:val="24"/>
                <w:lang w:eastAsia="zh-CN"/>
              </w:rPr>
              <w:t>、入库：</w:t>
            </w:r>
            <w:r>
              <w:rPr>
                <w:rFonts w:hint="eastAsia" w:ascii="宋体" w:hAnsi="宋体" w:eastAsia="宋体" w:cs="宋体"/>
                <w:b w:val="0"/>
                <w:bCs w:val="0"/>
                <w:kern w:val="0"/>
                <w:sz w:val="24"/>
                <w:szCs w:val="24"/>
                <w:lang w:val="en-US" w:eastAsia="zh-CN" w:bidi="ar"/>
              </w:rPr>
              <w:t>对成</w:t>
            </w:r>
            <w:r>
              <w:rPr>
                <w:rFonts w:hint="default" w:ascii="Times New Roman" w:hAnsi="Times New Roman" w:eastAsia="宋体" w:cs="Times New Roman"/>
                <w:b w:val="0"/>
                <w:bCs w:val="0"/>
                <w:kern w:val="0"/>
                <w:sz w:val="24"/>
                <w:szCs w:val="24"/>
                <w:lang w:val="en-US" w:eastAsia="zh-CN" w:bidi="ar"/>
              </w:rPr>
              <w:t>品进行人工检</w:t>
            </w:r>
            <w:r>
              <w:rPr>
                <w:rFonts w:hint="default" w:ascii="Times New Roman" w:hAnsi="Times New Roman" w:eastAsia="宋体" w:cs="Times New Roman"/>
                <w:b w:val="0"/>
                <w:bCs w:val="0"/>
                <w:color w:val="auto"/>
                <w:kern w:val="0"/>
                <w:sz w:val="24"/>
                <w:szCs w:val="24"/>
                <w:lang w:val="en-US" w:eastAsia="zh-CN" w:bidi="ar"/>
              </w:rPr>
              <w:t>查，合格品打包入库。对产品</w:t>
            </w:r>
            <w:r>
              <w:rPr>
                <w:rFonts w:hint="default" w:ascii="Times New Roman" w:hAnsi="Times New Roman" w:cs="Times New Roman"/>
                <w:b w:val="0"/>
                <w:bCs w:val="0"/>
                <w:color w:val="auto"/>
                <w:kern w:val="0"/>
                <w:sz w:val="24"/>
                <w:szCs w:val="24"/>
                <w:lang w:val="en-US" w:eastAsia="zh-CN" w:bidi="ar"/>
              </w:rPr>
              <w:t>裁剪</w:t>
            </w:r>
            <w:r>
              <w:rPr>
                <w:rFonts w:hint="default" w:ascii="Times New Roman" w:hAnsi="Times New Roman" w:eastAsia="宋体" w:cs="Times New Roman"/>
                <w:b w:val="0"/>
                <w:bCs w:val="0"/>
                <w:color w:val="auto"/>
                <w:kern w:val="0"/>
                <w:sz w:val="24"/>
                <w:szCs w:val="24"/>
                <w:lang w:val="en-US" w:eastAsia="zh-CN" w:bidi="ar"/>
              </w:rPr>
              <w:t>产生的边角料和检验产生的不合格品，经破碎机破碎成颗粒，作为原料回用于生产中。粉碎过程会产生破碎粉尘G和噪声N</w:t>
            </w:r>
            <w:r>
              <w:rPr>
                <w:rFonts w:hint="default" w:ascii="Times New Roman" w:hAnsi="Times New Roman" w:eastAsia="宋体" w:cs="Times New Roman"/>
                <w:bCs/>
                <w:color w:val="auto"/>
                <w:sz w:val="24"/>
                <w:szCs w:val="24"/>
                <w:lang w:eastAsia="zh-CN"/>
              </w:rPr>
              <w:t>。</w:t>
            </w:r>
          </w:p>
          <w:p w14:paraId="42258E06">
            <w:pPr>
              <w:pStyle w:val="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eastAsia="宋体" w:cs="Times New Roman"/>
                <w:b w:val="0"/>
                <w:bCs w:val="0"/>
                <w:sz w:val="24"/>
                <w:szCs w:val="24"/>
                <w:lang w:val="en-US" w:eastAsia="zh-CN"/>
              </w:rPr>
            </w:pPr>
            <w:r>
              <w:rPr>
                <w:rFonts w:hint="eastAsia" w:eastAsia="宋体" w:cs="Times New Roman"/>
                <w:b w:val="0"/>
                <w:bCs w:val="0"/>
                <w:sz w:val="24"/>
                <w:szCs w:val="24"/>
                <w:lang w:val="en-US" w:eastAsia="zh-CN"/>
              </w:rPr>
              <w:t>3、环保设备工艺流程</w:t>
            </w:r>
          </w:p>
          <w:p w14:paraId="4DBE937B">
            <w:pPr>
              <w:jc w:val="center"/>
              <w:rPr>
                <w:rFonts w:hint="default"/>
                <w:lang w:val="en-US" w:eastAsia="zh-CN"/>
              </w:rPr>
            </w:pPr>
            <w:r>
              <w:drawing>
                <wp:inline distT="0" distB="0" distL="114300" distR="114300">
                  <wp:extent cx="4751070" cy="1506855"/>
                  <wp:effectExtent l="0" t="0" r="11430" b="1714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23"/>
                          <a:stretch>
                            <a:fillRect/>
                          </a:stretch>
                        </pic:blipFill>
                        <pic:spPr>
                          <a:xfrm>
                            <a:off x="0" y="0"/>
                            <a:ext cx="4751070" cy="1506855"/>
                          </a:xfrm>
                          <a:prstGeom prst="rect">
                            <a:avLst/>
                          </a:prstGeom>
                          <a:noFill/>
                          <a:ln>
                            <a:noFill/>
                          </a:ln>
                        </pic:spPr>
                      </pic:pic>
                    </a:graphicData>
                  </a:graphic>
                </wp:inline>
              </w:drawing>
            </w:r>
          </w:p>
          <w:bookmarkEnd w:id="8"/>
          <w:p w14:paraId="571E503A">
            <w:pPr>
              <w:pStyle w:val="76"/>
              <w:keepNext w:val="0"/>
              <w:keepLines w:val="0"/>
              <w:pageBreakBefore w:val="0"/>
              <w:widowControl/>
              <w:kinsoku/>
              <w:wordWrap/>
              <w:overflowPunct/>
              <w:topLinePunct w:val="0"/>
              <w:autoSpaceDE/>
              <w:autoSpaceDN/>
              <w:bidi w:val="0"/>
              <w:adjustRightInd/>
              <w:snapToGrid/>
              <w:textAlignment w:val="auto"/>
              <w:rPr>
                <w:rFonts w:hint="eastAsia" w:ascii="Times New Roman" w:hAnsi="Times New Roman" w:eastAsia="宋体" w:cs="Times New Roman"/>
                <w:b/>
                <w:bCs w:val="0"/>
                <w:color w:val="auto"/>
                <w:kern w:val="0"/>
                <w:sz w:val="24"/>
                <w:szCs w:val="24"/>
                <w:lang w:val="en-US" w:eastAsia="zh-CN" w:bidi="ar"/>
              </w:rPr>
            </w:pPr>
            <w:r>
              <w:rPr>
                <w:rFonts w:hint="eastAsia" w:ascii="Times New Roman" w:hAnsi="Times New Roman" w:eastAsia="宋体" w:cs="Times New Roman"/>
                <w:b/>
                <w:bCs w:val="0"/>
                <w:color w:val="auto"/>
                <w:kern w:val="0"/>
                <w:sz w:val="24"/>
                <w:szCs w:val="24"/>
                <w:lang w:val="en-US" w:eastAsia="en-US" w:bidi="ar"/>
              </w:rPr>
              <w:t>图</w:t>
            </w:r>
            <w:r>
              <w:rPr>
                <w:rFonts w:hint="eastAsia" w:ascii="Times New Roman" w:hAnsi="Times New Roman" w:eastAsia="宋体" w:cs="Times New Roman"/>
                <w:b/>
                <w:bCs w:val="0"/>
                <w:color w:val="auto"/>
                <w:kern w:val="0"/>
                <w:sz w:val="24"/>
                <w:szCs w:val="24"/>
                <w:lang w:val="en-US" w:eastAsia="zh-CN" w:bidi="ar"/>
              </w:rPr>
              <w:t>2-</w:t>
            </w:r>
            <w:r>
              <w:rPr>
                <w:rFonts w:hint="eastAsia" w:cs="Times New Roman"/>
                <w:b/>
                <w:bCs w:val="0"/>
                <w:color w:val="auto"/>
                <w:kern w:val="0"/>
                <w:sz w:val="24"/>
                <w:szCs w:val="24"/>
                <w:lang w:val="en-US" w:eastAsia="zh-CN" w:bidi="ar"/>
              </w:rPr>
              <w:t>5</w:t>
            </w:r>
            <w:r>
              <w:rPr>
                <w:rFonts w:hint="eastAsia" w:ascii="Times New Roman" w:hAnsi="Times New Roman" w:eastAsia="宋体" w:cs="Times New Roman"/>
                <w:b/>
                <w:bCs w:val="0"/>
                <w:color w:val="auto"/>
                <w:kern w:val="0"/>
                <w:sz w:val="24"/>
                <w:szCs w:val="24"/>
                <w:lang w:val="en-US" w:eastAsia="en-US" w:bidi="ar"/>
              </w:rPr>
              <w:t xml:space="preserve">  生产工艺及产污节点图</w:t>
            </w:r>
          </w:p>
          <w:p w14:paraId="6F7D32F0">
            <w:pPr>
              <w:pStyle w:val="75"/>
              <w:keepNext w:val="0"/>
              <w:keepLines w:val="0"/>
              <w:pageBreakBefore w:val="0"/>
              <w:widowControl/>
              <w:kinsoku/>
              <w:wordWrap/>
              <w:overflowPunct/>
              <w:topLinePunct w:val="0"/>
              <w:autoSpaceDE/>
              <w:autoSpaceDN/>
              <w:bidi w:val="0"/>
              <w:adjustRightInd/>
              <w:snapToGrid/>
              <w:ind w:firstLine="480" w:firstLineChars="200"/>
              <w:jc w:val="both"/>
              <w:textAlignment w:val="auto"/>
              <w:rPr>
                <w:rFonts w:hint="eastAsia"/>
                <w:b w:val="0"/>
                <w:bCs w:val="0"/>
                <w:lang w:val="en-US" w:eastAsia="zh-CN"/>
              </w:rPr>
            </w:pPr>
            <w:r>
              <w:rPr>
                <w:rFonts w:hint="eastAsia"/>
                <w:b w:val="0"/>
                <w:bCs w:val="0"/>
                <w:lang w:val="en-US" w:eastAsia="zh-CN"/>
              </w:rPr>
              <w:t>主要工艺流程简述：</w:t>
            </w:r>
          </w:p>
          <w:p w14:paraId="259BDDA4">
            <w:pPr>
              <w:pStyle w:val="75"/>
              <w:keepNext w:val="0"/>
              <w:keepLines w:val="0"/>
              <w:pageBreakBefore w:val="0"/>
              <w:widowControl/>
              <w:numPr>
                <w:ilvl w:val="0"/>
                <w:numId w:val="0"/>
              </w:numPr>
              <w:kinsoku/>
              <w:wordWrap/>
              <w:overflowPunct/>
              <w:topLinePunct w:val="0"/>
              <w:autoSpaceDE/>
              <w:autoSpaceDN/>
              <w:bidi w:val="0"/>
              <w:adjustRightInd/>
              <w:snapToGrid/>
              <w:ind w:firstLine="480" w:firstLineChars="200"/>
              <w:jc w:val="both"/>
              <w:textAlignment w:val="auto"/>
              <w:rPr>
                <w:rFonts w:hint="eastAsia"/>
                <w:b w:val="0"/>
                <w:bCs w:val="0"/>
                <w:lang w:val="en-US" w:eastAsia="zh-CN"/>
              </w:rPr>
            </w:pPr>
            <w:r>
              <w:rPr>
                <w:rFonts w:hint="eastAsia" w:ascii="Times New Roman" w:hAnsi="Times New Roman" w:eastAsia="宋体" w:cstheme="minorBidi"/>
                <w:b w:val="0"/>
                <w:bCs w:val="0"/>
                <w:snapToGrid w:val="0"/>
                <w:kern w:val="0"/>
                <w:sz w:val="24"/>
                <w:szCs w:val="21"/>
                <w:lang w:val="en-US" w:eastAsia="zh-CN" w:bidi="ar-SA"/>
              </w:rPr>
              <w:t>（1）</w:t>
            </w:r>
            <w:r>
              <w:rPr>
                <w:rFonts w:hint="eastAsia"/>
                <w:b w:val="0"/>
                <w:bCs w:val="0"/>
                <w:lang w:val="en-US" w:eastAsia="zh-CN"/>
              </w:rPr>
              <w:t>裁剪：前期生产的PP管材、板材及相关配件按照客户的需求进行裁剪。此过程不产生粉尘，产生边角料S和噪声N，边角料粉碎回用于生产。</w:t>
            </w:r>
          </w:p>
          <w:p w14:paraId="769E1591">
            <w:pPr>
              <w:pStyle w:val="75"/>
              <w:keepNext w:val="0"/>
              <w:keepLines w:val="0"/>
              <w:pageBreakBefore w:val="0"/>
              <w:widowControl/>
              <w:numPr>
                <w:ilvl w:val="0"/>
                <w:numId w:val="0"/>
              </w:numPr>
              <w:kinsoku/>
              <w:wordWrap/>
              <w:overflowPunct/>
              <w:topLinePunct w:val="0"/>
              <w:autoSpaceDE/>
              <w:autoSpaceDN/>
              <w:bidi w:val="0"/>
              <w:adjustRightInd/>
              <w:snapToGrid/>
              <w:ind w:firstLine="480" w:firstLineChars="200"/>
              <w:jc w:val="both"/>
              <w:textAlignment w:val="auto"/>
              <w:rPr>
                <w:rFonts w:hint="eastAsia"/>
                <w:color w:val="auto"/>
                <w:sz w:val="24"/>
                <w:lang w:val="en-US" w:eastAsia="zh-CN"/>
              </w:rPr>
            </w:pPr>
            <w:r>
              <w:rPr>
                <w:rFonts w:hint="eastAsia"/>
                <w:b w:val="0"/>
                <w:bCs w:val="0"/>
                <w:lang w:val="en-US" w:eastAsia="zh-CN"/>
              </w:rPr>
              <w:t>（2</w:t>
            </w:r>
            <w:r>
              <w:rPr>
                <w:rFonts w:hint="eastAsia"/>
                <w:b w:val="0"/>
                <w:bCs w:val="0"/>
                <w:color w:val="auto"/>
                <w:lang w:val="en-US" w:eastAsia="zh-CN"/>
              </w:rPr>
              <w:t>）</w:t>
            </w:r>
            <w:r>
              <w:rPr>
                <w:rFonts w:hint="eastAsia"/>
                <w:b w:val="0"/>
                <w:bCs w:val="0"/>
                <w:color w:val="auto"/>
                <w:highlight w:val="none"/>
                <w:lang w:val="en-US" w:eastAsia="zh-CN"/>
              </w:rPr>
              <w:t>热熔焊接：</w:t>
            </w:r>
            <w:r>
              <w:rPr>
                <w:rFonts w:hint="eastAsia"/>
                <w:color w:val="auto"/>
                <w:sz w:val="24"/>
                <w:highlight w:val="none"/>
                <w:lang w:eastAsia="zh-CN"/>
              </w:rPr>
              <w:t>裁剪好的</w:t>
            </w:r>
            <w:r>
              <w:rPr>
                <w:rFonts w:hint="eastAsia"/>
                <w:color w:val="auto"/>
                <w:sz w:val="24"/>
                <w:highlight w:val="none"/>
                <w:lang w:val="en-US" w:eastAsia="zh-CN"/>
              </w:rPr>
              <w:t>PP板材、PP管材再配以外购的成品原料泵、离心泵、搅拌杆等配件，根据客户需要焊接组装成PP环保设备，焊接温度在200°C到230°C之间。焊接过程产生有机废气G（以非甲烷总烃计）和噪声N。</w:t>
            </w:r>
          </w:p>
          <w:p w14:paraId="1EA7E76D">
            <w:pPr>
              <w:pStyle w:val="75"/>
              <w:keepNext w:val="0"/>
              <w:keepLines w:val="0"/>
              <w:pageBreakBefore w:val="0"/>
              <w:widowControl/>
              <w:numPr>
                <w:ilvl w:val="0"/>
                <w:numId w:val="0"/>
              </w:numPr>
              <w:kinsoku/>
              <w:wordWrap/>
              <w:overflowPunct/>
              <w:topLinePunct w:val="0"/>
              <w:autoSpaceDE/>
              <w:autoSpaceDN/>
              <w:bidi w:val="0"/>
              <w:adjustRightInd/>
              <w:snapToGrid/>
              <w:ind w:firstLine="480" w:firstLineChars="200"/>
              <w:jc w:val="both"/>
              <w:textAlignment w:val="auto"/>
              <w:rPr>
                <w:rFonts w:hint="default"/>
                <w:color w:val="auto"/>
                <w:sz w:val="24"/>
                <w:lang w:val="en-US" w:eastAsia="zh-CN"/>
              </w:rPr>
            </w:pPr>
            <w:r>
              <w:rPr>
                <w:rFonts w:hint="eastAsia"/>
                <w:color w:val="auto"/>
                <w:sz w:val="24"/>
                <w:lang w:val="en-US" w:eastAsia="zh-CN"/>
              </w:rPr>
              <w:t>（3）检验、入库：</w:t>
            </w:r>
            <w:r>
              <w:rPr>
                <w:rFonts w:hint="eastAsia" w:ascii="Times New Roman" w:hAnsi="宋体" w:eastAsia="宋体" w:cs="Times New Roman"/>
                <w:bCs/>
                <w:color w:val="auto"/>
                <w:sz w:val="24"/>
                <w:szCs w:val="24"/>
              </w:rPr>
              <w:t>对成品进行人工检查</w:t>
            </w:r>
            <w:r>
              <w:rPr>
                <w:rFonts w:hint="eastAsia" w:ascii="Times New Roman" w:hAnsi="宋体" w:eastAsia="宋体" w:cs="Times New Roman"/>
                <w:bCs/>
                <w:color w:val="auto"/>
                <w:sz w:val="24"/>
                <w:szCs w:val="24"/>
                <w:lang w:eastAsia="zh-CN"/>
              </w:rPr>
              <w:t>，合格品打包入库。不合格品将</w:t>
            </w:r>
            <w:r>
              <w:rPr>
                <w:rFonts w:hint="eastAsia" w:hAnsi="宋体" w:cs="Times New Roman"/>
                <w:bCs/>
                <w:color w:val="auto"/>
                <w:sz w:val="24"/>
                <w:szCs w:val="24"/>
                <w:lang w:val="en-US" w:eastAsia="zh-CN"/>
              </w:rPr>
              <w:t>破碎</w:t>
            </w:r>
            <w:r>
              <w:rPr>
                <w:rFonts w:hint="eastAsia" w:ascii="Times New Roman" w:hAnsi="宋体" w:eastAsia="宋体" w:cs="Times New Roman"/>
                <w:bCs/>
                <w:color w:val="auto"/>
                <w:sz w:val="24"/>
                <w:szCs w:val="24"/>
                <w:lang w:eastAsia="zh-CN"/>
              </w:rPr>
              <w:t>回用于板材、管材及配件</w:t>
            </w:r>
            <w:r>
              <w:rPr>
                <w:rFonts w:hint="eastAsia" w:hAnsi="宋体" w:cs="Times New Roman"/>
                <w:bCs/>
                <w:color w:val="auto"/>
                <w:sz w:val="24"/>
                <w:szCs w:val="24"/>
                <w:lang w:val="en-US" w:eastAsia="zh-CN"/>
              </w:rPr>
              <w:t>等</w:t>
            </w:r>
            <w:r>
              <w:rPr>
                <w:rFonts w:hint="eastAsia" w:ascii="Times New Roman" w:hAnsi="宋体" w:eastAsia="宋体" w:cs="Times New Roman"/>
                <w:bCs/>
                <w:color w:val="auto"/>
                <w:sz w:val="24"/>
                <w:szCs w:val="24"/>
                <w:lang w:eastAsia="zh-CN"/>
              </w:rPr>
              <w:t>生产。</w:t>
            </w:r>
          </w:p>
          <w:p w14:paraId="62EC421F">
            <w:pPr>
              <w:spacing w:line="360" w:lineRule="auto"/>
              <w:ind w:firstLine="482" w:firstLineChars="200"/>
              <w:jc w:val="both"/>
              <w:rPr>
                <w:rFonts w:hint="eastAsia" w:ascii="Times New Roman" w:hAnsi="Times New Roman" w:eastAsia="宋体" w:cs="Times New Roman"/>
                <w:b/>
                <w:bCs w:val="0"/>
                <w:color w:val="auto"/>
                <w:sz w:val="24"/>
                <w:lang w:val="en-US" w:eastAsia="zh-CN"/>
              </w:rPr>
            </w:pPr>
            <w:r>
              <w:rPr>
                <w:rFonts w:hint="eastAsia" w:ascii="Times New Roman" w:hAnsi="Times New Roman" w:eastAsia="宋体" w:cs="Times New Roman"/>
                <w:b/>
                <w:bCs w:val="0"/>
                <w:color w:val="auto"/>
                <w:sz w:val="24"/>
                <w:lang w:val="en-US" w:eastAsia="zh-CN"/>
              </w:rPr>
              <w:t>二、产污环节分析</w:t>
            </w:r>
          </w:p>
          <w:p w14:paraId="1117883E">
            <w:pPr>
              <w:pStyle w:val="75"/>
              <w:ind w:firstLine="480"/>
              <w:jc w:val="both"/>
              <w:rPr>
                <w:color w:val="auto"/>
              </w:rPr>
            </w:pPr>
            <w:r>
              <w:rPr>
                <w:rFonts w:hint="eastAsia"/>
              </w:rPr>
              <w:t>本项目污染物产生环节及拟采取的治理</w:t>
            </w:r>
            <w:r>
              <w:rPr>
                <w:rFonts w:hint="eastAsia"/>
                <w:color w:val="auto"/>
              </w:rPr>
              <w:t>措施如下表所示。</w:t>
            </w:r>
          </w:p>
          <w:p w14:paraId="2A358601">
            <w:pPr>
              <w:pStyle w:val="76"/>
              <w:keepNext w:val="0"/>
              <w:keepLines w:val="0"/>
              <w:pageBreakBefore w:val="0"/>
              <w:widowControl/>
              <w:kinsoku/>
              <w:wordWrap/>
              <w:overflowPunct/>
              <w:topLinePunct w:val="0"/>
              <w:autoSpaceDE/>
              <w:autoSpaceDN/>
              <w:bidi w:val="0"/>
              <w:adjustRightInd/>
              <w:snapToGrid/>
              <w:textAlignment w:val="auto"/>
              <w:rPr>
                <w:color w:val="auto"/>
                <w:highlight w:val="red"/>
              </w:rPr>
            </w:pPr>
            <w:r>
              <w:rPr>
                <w:rFonts w:hint="eastAsia"/>
                <w:color w:val="auto"/>
                <w:highlight w:val="none"/>
              </w:rPr>
              <w:t>表</w:t>
            </w:r>
            <w:r>
              <w:rPr>
                <w:rFonts w:hint="eastAsia"/>
                <w:color w:val="auto"/>
                <w:highlight w:val="none"/>
                <w:lang w:val="en-US" w:eastAsia="zh-CN"/>
              </w:rPr>
              <w:t>2-9</w:t>
            </w:r>
            <w:r>
              <w:rPr>
                <w:color w:val="auto"/>
                <w:highlight w:val="none"/>
              </w:rPr>
              <w:t xml:space="preserve">  产污环节一览表</w:t>
            </w:r>
          </w:p>
          <w:tbl>
            <w:tblPr>
              <w:tblStyle w:val="77"/>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7"/>
              <w:gridCol w:w="1426"/>
              <w:gridCol w:w="2682"/>
              <w:gridCol w:w="3321"/>
            </w:tblGrid>
            <w:tr w14:paraId="7E399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533" w:type="pct"/>
                  <w:vAlign w:val="center"/>
                </w:tcPr>
                <w:p w14:paraId="3B6B848E">
                  <w:pPr>
                    <w:adjustRightInd w:val="0"/>
                    <w:snapToGrid w:val="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污染物名称</w:t>
                  </w:r>
                </w:p>
              </w:tc>
              <w:tc>
                <w:tcPr>
                  <w:tcW w:w="857" w:type="pct"/>
                  <w:vAlign w:val="center"/>
                </w:tcPr>
                <w:p w14:paraId="590B189C">
                  <w:pPr>
                    <w:adjustRightInd w:val="0"/>
                    <w:snapToGrid w:val="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污染源</w:t>
                  </w:r>
                </w:p>
              </w:tc>
              <w:tc>
                <w:tcPr>
                  <w:tcW w:w="1612" w:type="pct"/>
                  <w:vAlign w:val="center"/>
                </w:tcPr>
                <w:p w14:paraId="797EA31B">
                  <w:pPr>
                    <w:adjustRightInd w:val="0"/>
                    <w:snapToGrid w:val="0"/>
                    <w:jc w:val="center"/>
                    <w:rPr>
                      <w:rFonts w:hint="eastAsia" w:ascii="Times New Roman" w:hAnsi="Times New Roman" w:eastAsia="宋体" w:cs="Times New Roman"/>
                      <w:kern w:val="0"/>
                      <w:sz w:val="21"/>
                      <w:szCs w:val="21"/>
                      <w:lang w:eastAsia="zh-CN"/>
                    </w:rPr>
                  </w:pPr>
                  <w:r>
                    <w:rPr>
                      <w:rFonts w:hint="eastAsia" w:ascii="Times New Roman" w:hAnsi="Times New Roman" w:eastAsia="宋体" w:cs="Times New Roman"/>
                      <w:kern w:val="0"/>
                      <w:sz w:val="21"/>
                      <w:szCs w:val="21"/>
                      <w:lang w:eastAsia="zh-CN"/>
                    </w:rPr>
                    <w:t>污染因子</w:t>
                  </w:r>
                </w:p>
              </w:tc>
              <w:tc>
                <w:tcPr>
                  <w:tcW w:w="1996" w:type="pct"/>
                  <w:vAlign w:val="center"/>
                </w:tcPr>
                <w:p w14:paraId="40F23D40">
                  <w:pPr>
                    <w:adjustRightInd w:val="0"/>
                    <w:snapToGrid w:val="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处理或</w:t>
                  </w:r>
                  <w:r>
                    <w:rPr>
                      <w:rFonts w:ascii="Times New Roman" w:hAnsi="Times New Roman" w:eastAsia="宋体" w:cs="Times New Roman"/>
                      <w:kern w:val="0"/>
                      <w:sz w:val="21"/>
                      <w:szCs w:val="21"/>
                    </w:rPr>
                    <w:t>处置方式</w:t>
                  </w:r>
                </w:p>
              </w:tc>
            </w:tr>
            <w:tr w14:paraId="349D0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533" w:type="pct"/>
                  <w:vAlign w:val="center"/>
                </w:tcPr>
                <w:p w14:paraId="6EE1ACB5">
                  <w:pPr>
                    <w:adjustRightInd w:val="0"/>
                    <w:snapToGrid w:val="0"/>
                    <w:jc w:val="center"/>
                    <w:rPr>
                      <w:rFonts w:ascii="Times New Roman" w:hAnsi="Times New Roman" w:eastAsia="宋体" w:cs="Times New Roman"/>
                      <w:kern w:val="0"/>
                      <w:sz w:val="21"/>
                      <w:szCs w:val="21"/>
                    </w:rPr>
                  </w:pPr>
                  <w:bookmarkStart w:id="9" w:name="_Hlk128491124"/>
                  <w:r>
                    <w:rPr>
                      <w:rFonts w:hint="eastAsia" w:ascii="Times New Roman" w:hAnsi="Times New Roman" w:eastAsia="宋体" w:cs="Times New Roman"/>
                      <w:kern w:val="0"/>
                      <w:sz w:val="21"/>
                      <w:szCs w:val="21"/>
                    </w:rPr>
                    <w:t>废水</w:t>
                  </w:r>
                </w:p>
              </w:tc>
              <w:tc>
                <w:tcPr>
                  <w:tcW w:w="857" w:type="pct"/>
                  <w:vAlign w:val="center"/>
                </w:tcPr>
                <w:p w14:paraId="591BE652">
                  <w:pPr>
                    <w:adjustRightInd w:val="0"/>
                    <w:snapToGrid w:val="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员工生活</w:t>
                  </w:r>
                </w:p>
              </w:tc>
              <w:tc>
                <w:tcPr>
                  <w:tcW w:w="1612" w:type="pct"/>
                  <w:vAlign w:val="center"/>
                </w:tcPr>
                <w:p w14:paraId="300B2F44">
                  <w:pPr>
                    <w:adjustRightInd w:val="0"/>
                    <w:snapToGrid w:val="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COD、BOD</w:t>
                  </w:r>
                  <w:r>
                    <w:rPr>
                      <w:rFonts w:ascii="Times New Roman" w:hAnsi="Times New Roman" w:eastAsia="宋体" w:cs="Times New Roman"/>
                      <w:kern w:val="0"/>
                      <w:sz w:val="21"/>
                      <w:szCs w:val="21"/>
                      <w:vertAlign w:val="subscript"/>
                    </w:rPr>
                    <w:t>5</w:t>
                  </w:r>
                  <w:r>
                    <w:rPr>
                      <w:rFonts w:ascii="Times New Roman" w:hAnsi="Times New Roman" w:eastAsia="宋体" w:cs="Times New Roman"/>
                      <w:kern w:val="0"/>
                      <w:sz w:val="21"/>
                      <w:szCs w:val="21"/>
                    </w:rPr>
                    <w:t>、SS</w:t>
                  </w:r>
                  <w:r>
                    <w:rPr>
                      <w:rFonts w:hint="eastAsia" w:ascii="Times New Roman" w:hAnsi="Times New Roman" w:eastAsia="宋体" w:cs="Times New Roman"/>
                      <w:kern w:val="0"/>
                      <w:sz w:val="21"/>
                      <w:szCs w:val="21"/>
                    </w:rPr>
                    <w:t>、</w:t>
                  </w:r>
                  <w:r>
                    <w:rPr>
                      <w:rFonts w:hint="eastAsia" w:ascii="Times New Roman" w:hAnsi="Times New Roman" w:eastAsia="宋体" w:cs="Times New Roman"/>
                      <w:kern w:val="0"/>
                      <w:sz w:val="21"/>
                      <w:szCs w:val="21"/>
                      <w:lang w:eastAsia="zh-CN"/>
                    </w:rPr>
                    <w:t>氨氮、</w:t>
                  </w:r>
                  <w:r>
                    <w:rPr>
                      <w:rFonts w:ascii="Times New Roman" w:hAnsi="Times New Roman" w:eastAsia="宋体" w:cs="Times New Roman"/>
                      <w:kern w:val="0"/>
                      <w:sz w:val="21"/>
                      <w:szCs w:val="21"/>
                    </w:rPr>
                    <w:t>动植物油</w:t>
                  </w:r>
                </w:p>
              </w:tc>
              <w:tc>
                <w:tcPr>
                  <w:tcW w:w="1996" w:type="pct"/>
                  <w:vAlign w:val="center"/>
                </w:tcPr>
                <w:p w14:paraId="4522C1DB">
                  <w:pPr>
                    <w:adjustRightInd w:val="0"/>
                    <w:snapToGrid w:val="0"/>
                    <w:jc w:val="center"/>
                    <w:rPr>
                      <w:rFonts w:hint="eastAsia" w:ascii="Times New Roman" w:hAnsi="Times New Roman" w:eastAsia="宋体" w:cs="Times New Roman"/>
                      <w:kern w:val="0"/>
                      <w:sz w:val="21"/>
                      <w:szCs w:val="21"/>
                      <w:lang w:eastAsia="zh-CN"/>
                    </w:rPr>
                  </w:pPr>
                  <w:r>
                    <w:rPr>
                      <w:rFonts w:hint="eastAsia" w:ascii="Times New Roman" w:hAnsi="Times New Roman" w:eastAsia="宋体" w:cs="Times New Roman"/>
                      <w:kern w:val="0"/>
                      <w:sz w:val="21"/>
                      <w:szCs w:val="21"/>
                      <w:highlight w:val="none"/>
                      <w:lang w:eastAsia="zh-CN"/>
                    </w:rPr>
                    <w:t>隔油池</w:t>
                  </w:r>
                  <w:r>
                    <w:rPr>
                      <w:rFonts w:hint="eastAsia" w:ascii="Times New Roman" w:hAnsi="Times New Roman" w:eastAsia="宋体" w:cs="Times New Roman"/>
                      <w:kern w:val="0"/>
                      <w:sz w:val="21"/>
                      <w:szCs w:val="21"/>
                      <w:highlight w:val="none"/>
                      <w:lang w:val="en-US" w:eastAsia="zh-CN"/>
                    </w:rPr>
                    <w:t>+</w:t>
                  </w:r>
                  <w:r>
                    <w:rPr>
                      <w:rFonts w:hint="eastAsia" w:ascii="Times New Roman" w:hAnsi="Times New Roman" w:eastAsia="宋体" w:cs="Times New Roman"/>
                      <w:kern w:val="0"/>
                      <w:sz w:val="21"/>
                      <w:szCs w:val="21"/>
                      <w:highlight w:val="none"/>
                      <w:lang w:eastAsia="zh-CN"/>
                    </w:rPr>
                    <w:t>化粪池预处理后，</w:t>
                  </w:r>
                  <w:r>
                    <w:rPr>
                      <w:rFonts w:hint="default" w:ascii="Times New Roman" w:hAnsi="Times New Roman" w:eastAsia="宋体" w:cs="Times New Roman"/>
                      <w:kern w:val="0"/>
                      <w:sz w:val="21"/>
                      <w:szCs w:val="21"/>
                      <w:highlight w:val="none"/>
                      <w:lang w:eastAsia="zh-CN"/>
                    </w:rPr>
                    <w:t>定期清掏，用于</w:t>
                  </w:r>
                  <w:r>
                    <w:rPr>
                      <w:rFonts w:hint="eastAsia" w:ascii="Times New Roman" w:hAnsi="Times New Roman" w:eastAsia="宋体" w:cs="Times New Roman"/>
                      <w:kern w:val="0"/>
                      <w:sz w:val="21"/>
                      <w:szCs w:val="21"/>
                      <w:highlight w:val="none"/>
                      <w:lang w:eastAsia="zh-CN"/>
                    </w:rPr>
                    <w:t>周边</w:t>
                  </w:r>
                  <w:r>
                    <w:rPr>
                      <w:rFonts w:hint="default" w:ascii="Times New Roman" w:hAnsi="Times New Roman" w:eastAsia="宋体" w:cs="Times New Roman"/>
                      <w:kern w:val="0"/>
                      <w:sz w:val="21"/>
                      <w:szCs w:val="21"/>
                      <w:highlight w:val="none"/>
                      <w:lang w:eastAsia="zh-CN"/>
                    </w:rPr>
                    <w:t>肥田，不外排</w:t>
                  </w:r>
                </w:p>
              </w:tc>
            </w:tr>
            <w:tr w14:paraId="34369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533" w:type="pct"/>
                  <w:vMerge w:val="restart"/>
                  <w:vAlign w:val="center"/>
                </w:tcPr>
                <w:p w14:paraId="33F27048">
                  <w:pPr>
                    <w:adjustRightInd w:val="0"/>
                    <w:snapToGrid w:val="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废气</w:t>
                  </w:r>
                </w:p>
              </w:tc>
              <w:tc>
                <w:tcPr>
                  <w:tcW w:w="857" w:type="pct"/>
                  <w:vAlign w:val="center"/>
                </w:tcPr>
                <w:p w14:paraId="31016CE7">
                  <w:pPr>
                    <w:adjustRightInd w:val="0"/>
                    <w:snapToGrid w:val="0"/>
                    <w:jc w:val="center"/>
                    <w:rPr>
                      <w:rFonts w:hint="eastAsia" w:ascii="Times New Roman" w:hAnsi="Times New Roman" w:eastAsia="宋体" w:cs="Times New Roman"/>
                      <w:kern w:val="0"/>
                      <w:sz w:val="21"/>
                      <w:szCs w:val="21"/>
                      <w:lang w:eastAsia="zh-CN"/>
                    </w:rPr>
                  </w:pPr>
                  <w:r>
                    <w:rPr>
                      <w:rFonts w:hint="eastAsia" w:ascii="Times New Roman" w:hAnsi="Times New Roman" w:eastAsia="宋体" w:cs="Times New Roman"/>
                      <w:kern w:val="0"/>
                      <w:sz w:val="21"/>
                      <w:szCs w:val="21"/>
                      <w:lang w:eastAsia="zh-CN"/>
                    </w:rPr>
                    <w:t>热熔挤出工序</w:t>
                  </w:r>
                </w:p>
              </w:tc>
              <w:tc>
                <w:tcPr>
                  <w:tcW w:w="1612" w:type="pct"/>
                  <w:vAlign w:val="center"/>
                </w:tcPr>
                <w:p w14:paraId="140B2803">
                  <w:pPr>
                    <w:adjustRightInd w:val="0"/>
                    <w:snapToGrid w:val="0"/>
                    <w:jc w:val="center"/>
                    <w:rPr>
                      <w:rFonts w:hint="eastAsia" w:ascii="Times New Roman" w:hAnsi="Times New Roman" w:eastAsia="宋体" w:cs="Times New Roman"/>
                      <w:kern w:val="0"/>
                      <w:sz w:val="21"/>
                      <w:szCs w:val="21"/>
                      <w:lang w:eastAsia="zh-CN"/>
                    </w:rPr>
                  </w:pPr>
                  <w:r>
                    <w:rPr>
                      <w:rFonts w:hint="eastAsia" w:cs="Times New Roman"/>
                      <w:kern w:val="0"/>
                      <w:sz w:val="21"/>
                      <w:szCs w:val="21"/>
                      <w:lang w:eastAsia="zh-CN"/>
                    </w:rPr>
                    <w:t>非甲烷总烃</w:t>
                  </w:r>
                </w:p>
              </w:tc>
              <w:tc>
                <w:tcPr>
                  <w:tcW w:w="1996" w:type="pct"/>
                  <w:vMerge w:val="restart"/>
                  <w:vAlign w:val="center"/>
                </w:tcPr>
                <w:p w14:paraId="7630F751">
                  <w:pPr>
                    <w:adjustRightInd w:val="0"/>
                    <w:snapToGrid w:val="0"/>
                    <w:jc w:val="center"/>
                    <w:rPr>
                      <w:rFonts w:hint="eastAsia"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highlight w:val="none"/>
                    </w:rPr>
                    <w:t>产生的废气经集气罩收集，通过</w:t>
                  </w:r>
                  <w:r>
                    <w:rPr>
                      <w:rFonts w:hint="eastAsia" w:cs="Times New Roman"/>
                      <w:kern w:val="0"/>
                      <w:sz w:val="21"/>
                      <w:szCs w:val="21"/>
                      <w:highlight w:val="none"/>
                      <w:lang w:val="en-US" w:eastAsia="zh-CN"/>
                    </w:rPr>
                    <w:t>一套</w:t>
                  </w:r>
                  <w:r>
                    <w:rPr>
                      <w:rFonts w:hint="default" w:ascii="Times New Roman" w:hAnsi="Times New Roman" w:eastAsia="宋体" w:cs="Times New Roman"/>
                      <w:kern w:val="0"/>
                      <w:sz w:val="21"/>
                      <w:szCs w:val="21"/>
                      <w:highlight w:val="none"/>
                    </w:rPr>
                    <w:t>二级活性炭吸附装置处理达标后由15m高排气筒</w:t>
                  </w:r>
                  <w:r>
                    <w:rPr>
                      <w:rFonts w:hint="eastAsia" w:cs="Times New Roman"/>
                      <w:kern w:val="0"/>
                      <w:sz w:val="21"/>
                      <w:szCs w:val="21"/>
                      <w:highlight w:val="none"/>
                      <w:lang w:val="en-US" w:eastAsia="zh-CN"/>
                    </w:rPr>
                    <w:t>DA001</w:t>
                  </w:r>
                  <w:r>
                    <w:rPr>
                      <w:rFonts w:hint="default" w:ascii="Times New Roman" w:hAnsi="Times New Roman" w:eastAsia="宋体" w:cs="Times New Roman"/>
                      <w:kern w:val="0"/>
                      <w:sz w:val="21"/>
                      <w:szCs w:val="21"/>
                      <w:highlight w:val="none"/>
                    </w:rPr>
                    <w:t>排放。</w:t>
                  </w:r>
                </w:p>
              </w:tc>
            </w:tr>
            <w:tr w14:paraId="05B30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533" w:type="pct"/>
                  <w:vMerge w:val="continue"/>
                  <w:vAlign w:val="center"/>
                </w:tcPr>
                <w:p w14:paraId="2D50C38F">
                  <w:pPr>
                    <w:adjustRightInd w:val="0"/>
                    <w:snapToGrid w:val="0"/>
                    <w:jc w:val="center"/>
                    <w:rPr>
                      <w:rFonts w:ascii="Times New Roman" w:hAnsi="Times New Roman" w:eastAsia="宋体" w:cs="Times New Roman"/>
                      <w:kern w:val="0"/>
                      <w:sz w:val="21"/>
                      <w:szCs w:val="21"/>
                    </w:rPr>
                  </w:pPr>
                </w:p>
              </w:tc>
              <w:tc>
                <w:tcPr>
                  <w:tcW w:w="857" w:type="pct"/>
                  <w:vAlign w:val="center"/>
                </w:tcPr>
                <w:p w14:paraId="6BAFE329">
                  <w:pPr>
                    <w:adjustRightInd w:val="0"/>
                    <w:snapToGrid w:val="0"/>
                    <w:jc w:val="center"/>
                    <w:rPr>
                      <w:rFonts w:hint="eastAsia" w:ascii="Times New Roman" w:hAnsi="Times New Roman" w:eastAsia="宋体" w:cs="Times New Roman"/>
                      <w:kern w:val="0"/>
                      <w:sz w:val="21"/>
                      <w:szCs w:val="21"/>
                      <w:lang w:eastAsia="zh-CN"/>
                    </w:rPr>
                  </w:pPr>
                  <w:r>
                    <w:rPr>
                      <w:rFonts w:hint="eastAsia" w:ascii="Times New Roman" w:hAnsi="Times New Roman" w:eastAsia="宋体" w:cs="Times New Roman"/>
                      <w:kern w:val="0"/>
                      <w:sz w:val="21"/>
                      <w:szCs w:val="21"/>
                      <w:lang w:val="en-US" w:eastAsia="zh-CN"/>
                    </w:rPr>
                    <w:t>热熔焊接</w:t>
                  </w:r>
                </w:p>
              </w:tc>
              <w:tc>
                <w:tcPr>
                  <w:tcW w:w="1612" w:type="pct"/>
                  <w:vAlign w:val="center"/>
                </w:tcPr>
                <w:p w14:paraId="14E854CA">
                  <w:pPr>
                    <w:adjustRightInd w:val="0"/>
                    <w:snapToGrid w:val="0"/>
                    <w:jc w:val="center"/>
                    <w:rPr>
                      <w:rFonts w:hint="eastAsia" w:ascii="Times New Roman" w:hAnsi="Times New Roman" w:eastAsia="宋体" w:cs="Times New Roman"/>
                      <w:kern w:val="0"/>
                      <w:sz w:val="21"/>
                      <w:szCs w:val="21"/>
                      <w:lang w:eastAsia="zh-CN"/>
                    </w:rPr>
                  </w:pPr>
                  <w:r>
                    <w:rPr>
                      <w:rFonts w:hint="eastAsia" w:cs="Times New Roman"/>
                      <w:kern w:val="0"/>
                      <w:sz w:val="21"/>
                      <w:szCs w:val="21"/>
                      <w:lang w:eastAsia="zh-CN"/>
                    </w:rPr>
                    <w:t>非甲烷总烃</w:t>
                  </w:r>
                </w:p>
              </w:tc>
              <w:tc>
                <w:tcPr>
                  <w:tcW w:w="1996" w:type="pct"/>
                  <w:vMerge w:val="continue"/>
                  <w:vAlign w:val="center"/>
                </w:tcPr>
                <w:p w14:paraId="2FCD2FB2">
                  <w:pPr>
                    <w:adjustRightInd w:val="0"/>
                    <w:snapToGrid w:val="0"/>
                    <w:jc w:val="center"/>
                    <w:rPr>
                      <w:rFonts w:hint="default" w:ascii="Times New Roman" w:hAnsi="Times New Roman" w:eastAsia="宋体" w:cs="Times New Roman"/>
                      <w:kern w:val="0"/>
                      <w:sz w:val="21"/>
                      <w:szCs w:val="21"/>
                      <w:highlight w:val="none"/>
                    </w:rPr>
                  </w:pPr>
                </w:p>
              </w:tc>
            </w:tr>
            <w:tr w14:paraId="1AF97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533" w:type="pct"/>
                  <w:vMerge w:val="continue"/>
                  <w:vAlign w:val="center"/>
                </w:tcPr>
                <w:p w14:paraId="28F76B84">
                  <w:pPr>
                    <w:adjustRightInd w:val="0"/>
                    <w:snapToGrid w:val="0"/>
                    <w:jc w:val="center"/>
                    <w:rPr>
                      <w:rFonts w:ascii="Times New Roman" w:hAnsi="Times New Roman" w:eastAsia="宋体" w:cs="Times New Roman"/>
                      <w:kern w:val="0"/>
                      <w:sz w:val="21"/>
                      <w:szCs w:val="21"/>
                    </w:rPr>
                  </w:pPr>
                </w:p>
              </w:tc>
              <w:tc>
                <w:tcPr>
                  <w:tcW w:w="857" w:type="pct"/>
                  <w:vAlign w:val="center"/>
                </w:tcPr>
                <w:p w14:paraId="1DAC1E67">
                  <w:pPr>
                    <w:adjustRightInd w:val="0"/>
                    <w:snapToGrid w:val="0"/>
                    <w:jc w:val="center"/>
                    <w:rPr>
                      <w:rFonts w:hint="eastAsia" w:ascii="Times New Roman" w:hAnsi="Times New Roman" w:eastAsia="宋体" w:cs="Times New Roman"/>
                      <w:kern w:val="0"/>
                      <w:sz w:val="21"/>
                      <w:szCs w:val="21"/>
                      <w:lang w:eastAsia="zh-CN"/>
                    </w:rPr>
                  </w:pPr>
                  <w:r>
                    <w:rPr>
                      <w:rFonts w:hint="eastAsia" w:ascii="Times New Roman" w:hAnsi="Times New Roman" w:eastAsia="宋体" w:cs="Times New Roman"/>
                      <w:kern w:val="0"/>
                      <w:sz w:val="21"/>
                      <w:szCs w:val="21"/>
                      <w:lang w:eastAsia="zh-CN"/>
                    </w:rPr>
                    <w:t>注塑工序</w:t>
                  </w:r>
                </w:p>
              </w:tc>
              <w:tc>
                <w:tcPr>
                  <w:tcW w:w="1612" w:type="pct"/>
                  <w:vAlign w:val="center"/>
                </w:tcPr>
                <w:p w14:paraId="5B3F9178">
                  <w:pPr>
                    <w:adjustRightInd w:val="0"/>
                    <w:snapToGrid w:val="0"/>
                    <w:jc w:val="center"/>
                    <w:rPr>
                      <w:rFonts w:hint="eastAsia" w:ascii="Times New Roman" w:hAnsi="Times New Roman" w:eastAsia="宋体" w:cs="Times New Roman"/>
                      <w:kern w:val="0"/>
                      <w:sz w:val="21"/>
                      <w:szCs w:val="21"/>
                      <w:lang w:eastAsia="zh-CN"/>
                    </w:rPr>
                  </w:pPr>
                  <w:r>
                    <w:rPr>
                      <w:rFonts w:hint="eastAsia" w:cs="Times New Roman"/>
                      <w:kern w:val="0"/>
                      <w:sz w:val="21"/>
                      <w:szCs w:val="21"/>
                      <w:lang w:eastAsia="zh-CN"/>
                    </w:rPr>
                    <w:t>非甲烷总烃</w:t>
                  </w:r>
                </w:p>
              </w:tc>
              <w:tc>
                <w:tcPr>
                  <w:tcW w:w="1996" w:type="pct"/>
                  <w:vMerge w:val="continue"/>
                  <w:vAlign w:val="center"/>
                </w:tcPr>
                <w:p w14:paraId="5032A0EE">
                  <w:pPr>
                    <w:adjustRightInd w:val="0"/>
                    <w:snapToGrid w:val="0"/>
                    <w:jc w:val="center"/>
                    <w:rPr>
                      <w:rFonts w:hint="eastAsia" w:ascii="Times New Roman" w:hAnsi="Times New Roman" w:eastAsia="宋体" w:cs="Times New Roman"/>
                      <w:kern w:val="0"/>
                      <w:sz w:val="21"/>
                      <w:szCs w:val="21"/>
                      <w:highlight w:val="yellow"/>
                    </w:rPr>
                  </w:pPr>
                </w:p>
              </w:tc>
            </w:tr>
            <w:tr w14:paraId="7CDBA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533" w:type="pct"/>
                  <w:vMerge w:val="continue"/>
                  <w:vAlign w:val="center"/>
                </w:tcPr>
                <w:p w14:paraId="55D51082">
                  <w:pPr>
                    <w:adjustRightInd w:val="0"/>
                    <w:snapToGrid w:val="0"/>
                    <w:jc w:val="center"/>
                    <w:rPr>
                      <w:rFonts w:ascii="Times New Roman" w:hAnsi="Times New Roman" w:eastAsia="宋体" w:cs="Times New Roman"/>
                      <w:kern w:val="0"/>
                      <w:sz w:val="21"/>
                      <w:szCs w:val="21"/>
                    </w:rPr>
                  </w:pPr>
                </w:p>
              </w:tc>
              <w:tc>
                <w:tcPr>
                  <w:tcW w:w="857" w:type="pct"/>
                  <w:vAlign w:val="center"/>
                </w:tcPr>
                <w:p w14:paraId="41B27D2F">
                  <w:pPr>
                    <w:adjustRightInd w:val="0"/>
                    <w:snapToGrid w:val="0"/>
                    <w:jc w:val="center"/>
                    <w:rPr>
                      <w:rFonts w:hint="eastAsia" w:ascii="Times New Roman" w:hAnsi="Times New Roman" w:eastAsia="宋体" w:cs="Times New Roman"/>
                      <w:kern w:val="0"/>
                      <w:sz w:val="21"/>
                      <w:szCs w:val="21"/>
                      <w:lang w:eastAsia="zh-CN"/>
                    </w:rPr>
                  </w:pPr>
                  <w:r>
                    <w:rPr>
                      <w:rFonts w:hint="eastAsia" w:cs="Times New Roman"/>
                      <w:kern w:val="0"/>
                      <w:sz w:val="21"/>
                      <w:szCs w:val="21"/>
                      <w:lang w:val="en-US" w:eastAsia="zh-CN"/>
                    </w:rPr>
                    <w:t>破碎</w:t>
                  </w:r>
                  <w:r>
                    <w:rPr>
                      <w:rFonts w:hint="eastAsia" w:ascii="Times New Roman" w:hAnsi="Times New Roman" w:eastAsia="宋体" w:cs="Times New Roman"/>
                      <w:kern w:val="0"/>
                      <w:sz w:val="21"/>
                      <w:szCs w:val="21"/>
                      <w:lang w:eastAsia="zh-CN"/>
                    </w:rPr>
                    <w:t>工序</w:t>
                  </w:r>
                </w:p>
              </w:tc>
              <w:tc>
                <w:tcPr>
                  <w:tcW w:w="1612" w:type="pct"/>
                  <w:vAlign w:val="center"/>
                </w:tcPr>
                <w:p w14:paraId="5868DB9E">
                  <w:pPr>
                    <w:adjustRightInd w:val="0"/>
                    <w:snapToGrid w:val="0"/>
                    <w:jc w:val="center"/>
                    <w:rPr>
                      <w:rFonts w:hint="eastAsia" w:ascii="Times New Roman" w:hAnsi="Times New Roman" w:eastAsia="宋体" w:cs="Times New Roman"/>
                      <w:kern w:val="0"/>
                      <w:sz w:val="21"/>
                      <w:szCs w:val="21"/>
                      <w:lang w:eastAsia="zh-CN"/>
                    </w:rPr>
                  </w:pPr>
                  <w:r>
                    <w:rPr>
                      <w:rFonts w:hint="eastAsia" w:ascii="Times New Roman" w:hAnsi="Times New Roman" w:eastAsia="宋体" w:cs="Times New Roman"/>
                      <w:kern w:val="0"/>
                      <w:sz w:val="21"/>
                      <w:szCs w:val="21"/>
                      <w:lang w:eastAsia="zh-CN"/>
                    </w:rPr>
                    <w:t>颗粒物</w:t>
                  </w:r>
                </w:p>
              </w:tc>
              <w:tc>
                <w:tcPr>
                  <w:tcW w:w="1996" w:type="pct"/>
                  <w:vAlign w:val="center"/>
                </w:tcPr>
                <w:p w14:paraId="0C137602">
                  <w:pPr>
                    <w:adjustRightInd w:val="0"/>
                    <w:snapToGrid w:val="0"/>
                    <w:jc w:val="center"/>
                    <w:rPr>
                      <w:rFonts w:hint="eastAsia" w:ascii="Times New Roman" w:hAnsi="Times New Roman" w:eastAsia="宋体" w:cs="Times New Roman"/>
                      <w:kern w:val="0"/>
                      <w:sz w:val="21"/>
                      <w:szCs w:val="21"/>
                      <w:lang w:eastAsia="zh-CN"/>
                    </w:rPr>
                  </w:pPr>
                  <w:r>
                    <w:rPr>
                      <w:rFonts w:hint="eastAsia" w:ascii="Times New Roman" w:hAnsi="Times New Roman" w:eastAsia="宋体" w:cs="Times New Roman"/>
                      <w:kern w:val="0"/>
                      <w:sz w:val="21"/>
                      <w:szCs w:val="21"/>
                      <w:lang w:eastAsia="zh-CN"/>
                    </w:rPr>
                    <w:t>设备密闭</w:t>
                  </w:r>
                  <w:r>
                    <w:rPr>
                      <w:rFonts w:hint="eastAsia" w:cs="Times New Roman"/>
                      <w:kern w:val="0"/>
                      <w:sz w:val="21"/>
                      <w:szCs w:val="21"/>
                      <w:lang w:eastAsia="zh-CN"/>
                    </w:rPr>
                    <w:t>，</w:t>
                  </w:r>
                  <w:r>
                    <w:rPr>
                      <w:rFonts w:hint="eastAsia" w:cs="Times New Roman"/>
                      <w:kern w:val="0"/>
                      <w:sz w:val="21"/>
                      <w:szCs w:val="21"/>
                      <w:lang w:val="en-US" w:eastAsia="zh-CN"/>
                    </w:rPr>
                    <w:t>破碎机上方安装集气罩+布袋收尘器收集处理后无组织排放，收集的粉尘回用于生产。</w:t>
                  </w:r>
                </w:p>
              </w:tc>
            </w:tr>
            <w:tr w14:paraId="3C62B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533" w:type="pct"/>
                  <w:vAlign w:val="center"/>
                </w:tcPr>
                <w:p w14:paraId="349C4D4E">
                  <w:pPr>
                    <w:adjustRightInd w:val="0"/>
                    <w:snapToGrid w:val="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噪声</w:t>
                  </w:r>
                </w:p>
              </w:tc>
              <w:tc>
                <w:tcPr>
                  <w:tcW w:w="857" w:type="pct"/>
                  <w:vAlign w:val="center"/>
                </w:tcPr>
                <w:p w14:paraId="6B709093">
                  <w:pPr>
                    <w:adjustRightInd w:val="0"/>
                    <w:snapToGrid w:val="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生产设备</w:t>
                  </w:r>
                </w:p>
              </w:tc>
              <w:tc>
                <w:tcPr>
                  <w:tcW w:w="1612" w:type="pct"/>
                  <w:vAlign w:val="center"/>
                </w:tcPr>
                <w:p w14:paraId="57655EF2">
                  <w:pPr>
                    <w:adjustRightInd w:val="0"/>
                    <w:snapToGrid w:val="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1996" w:type="pct"/>
                  <w:vAlign w:val="center"/>
                </w:tcPr>
                <w:p w14:paraId="10B6CB48">
                  <w:pPr>
                    <w:adjustRightInd w:val="0"/>
                    <w:snapToGrid w:val="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减振</w:t>
                  </w:r>
                  <w:r>
                    <w:rPr>
                      <w:rFonts w:hint="eastAsia" w:ascii="Times New Roman" w:hAnsi="Times New Roman" w:eastAsia="宋体" w:cs="Times New Roman"/>
                      <w:kern w:val="0"/>
                      <w:sz w:val="21"/>
                      <w:szCs w:val="21"/>
                    </w:rPr>
                    <w:t>、</w:t>
                  </w:r>
                  <w:r>
                    <w:rPr>
                      <w:rFonts w:ascii="Times New Roman" w:hAnsi="Times New Roman" w:eastAsia="宋体" w:cs="Times New Roman"/>
                      <w:kern w:val="0"/>
                      <w:sz w:val="21"/>
                      <w:szCs w:val="21"/>
                    </w:rPr>
                    <w:t>厂房隔声</w:t>
                  </w:r>
                </w:p>
              </w:tc>
            </w:tr>
            <w:bookmarkEnd w:id="9"/>
            <w:tr w14:paraId="34C3A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533" w:type="pct"/>
                  <w:vMerge w:val="restart"/>
                  <w:vAlign w:val="center"/>
                </w:tcPr>
                <w:p w14:paraId="10D19AE6">
                  <w:pPr>
                    <w:adjustRightInd w:val="0"/>
                    <w:snapToGrid w:val="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固废</w:t>
                  </w:r>
                </w:p>
              </w:tc>
              <w:tc>
                <w:tcPr>
                  <w:tcW w:w="857" w:type="pct"/>
                  <w:vAlign w:val="center"/>
                </w:tcPr>
                <w:p w14:paraId="4D425979">
                  <w:pPr>
                    <w:adjustRightInd w:val="0"/>
                    <w:snapToGrid w:val="0"/>
                    <w:jc w:val="center"/>
                    <w:rPr>
                      <w:rFonts w:hint="eastAsia" w:ascii="Times New Roman" w:hAnsi="Times New Roman" w:eastAsia="宋体" w:cs="Times New Roman"/>
                      <w:kern w:val="0"/>
                      <w:sz w:val="21"/>
                      <w:szCs w:val="21"/>
                      <w:lang w:eastAsia="zh-CN"/>
                    </w:rPr>
                  </w:pPr>
                  <w:r>
                    <w:rPr>
                      <w:rFonts w:hint="eastAsia" w:ascii="Times New Roman" w:hAnsi="Times New Roman" w:eastAsia="宋体" w:cs="Times New Roman"/>
                      <w:kern w:val="0"/>
                      <w:sz w:val="21"/>
                      <w:szCs w:val="21"/>
                      <w:lang w:eastAsia="zh-CN"/>
                    </w:rPr>
                    <w:t>切割、裁剪</w:t>
                  </w:r>
                </w:p>
              </w:tc>
              <w:tc>
                <w:tcPr>
                  <w:tcW w:w="1612" w:type="pct"/>
                  <w:vAlign w:val="center"/>
                </w:tcPr>
                <w:p w14:paraId="40995422">
                  <w:pPr>
                    <w:adjustRightInd w:val="0"/>
                    <w:snapToGrid w:val="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废边角料</w:t>
                  </w:r>
                </w:p>
              </w:tc>
              <w:tc>
                <w:tcPr>
                  <w:tcW w:w="1996" w:type="pct"/>
                  <w:vMerge w:val="restart"/>
                  <w:vAlign w:val="center"/>
                </w:tcPr>
                <w:p w14:paraId="1AA7773E">
                  <w:pPr>
                    <w:adjustRightInd w:val="0"/>
                    <w:snapToGrid w:val="0"/>
                    <w:jc w:val="center"/>
                    <w:rPr>
                      <w:rFonts w:hint="eastAsia" w:ascii="Times New Roman" w:hAnsi="Times New Roman" w:eastAsia="宋体" w:cs="Times New Roman"/>
                      <w:kern w:val="0"/>
                      <w:sz w:val="21"/>
                      <w:szCs w:val="21"/>
                      <w:lang w:eastAsia="zh-CN"/>
                    </w:rPr>
                  </w:pPr>
                  <w:r>
                    <w:rPr>
                      <w:rFonts w:hint="eastAsia" w:cs="Times New Roman"/>
                      <w:kern w:val="0"/>
                      <w:sz w:val="21"/>
                      <w:szCs w:val="21"/>
                      <w:highlight w:val="none"/>
                      <w:lang w:val="en-US" w:eastAsia="zh-CN"/>
                    </w:rPr>
                    <w:t>破碎</w:t>
                  </w:r>
                  <w:r>
                    <w:rPr>
                      <w:rFonts w:hint="eastAsia" w:ascii="Times New Roman" w:hAnsi="Times New Roman" w:eastAsia="宋体" w:cs="Times New Roman"/>
                      <w:kern w:val="0"/>
                      <w:sz w:val="21"/>
                      <w:szCs w:val="21"/>
                      <w:highlight w:val="none"/>
                      <w:lang w:eastAsia="zh-CN"/>
                    </w:rPr>
                    <w:t>后回用于生产</w:t>
                  </w:r>
                </w:p>
              </w:tc>
            </w:tr>
            <w:tr w14:paraId="0EDE5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533" w:type="pct"/>
                  <w:vMerge w:val="continue"/>
                  <w:vAlign w:val="center"/>
                </w:tcPr>
                <w:p w14:paraId="431A2D4A">
                  <w:pPr>
                    <w:pStyle w:val="51"/>
                    <w:rPr>
                      <w:kern w:val="0"/>
                      <w:sz w:val="21"/>
                      <w:szCs w:val="21"/>
                    </w:rPr>
                  </w:pPr>
                </w:p>
              </w:tc>
              <w:tc>
                <w:tcPr>
                  <w:tcW w:w="857" w:type="pct"/>
                  <w:vAlign w:val="center"/>
                </w:tcPr>
                <w:p w14:paraId="316D13C9">
                  <w:pPr>
                    <w:adjustRightInd w:val="0"/>
                    <w:snapToGrid w:val="0"/>
                    <w:jc w:val="center"/>
                    <w:rPr>
                      <w:rFonts w:hint="eastAsia" w:ascii="Times New Roman" w:hAnsi="Times New Roman" w:eastAsia="宋体" w:cs="Times New Roman"/>
                      <w:kern w:val="0"/>
                      <w:sz w:val="21"/>
                      <w:szCs w:val="21"/>
                      <w:lang w:eastAsia="zh-CN"/>
                    </w:rPr>
                  </w:pPr>
                  <w:r>
                    <w:rPr>
                      <w:rFonts w:hint="eastAsia" w:ascii="Times New Roman" w:hAnsi="Times New Roman" w:eastAsia="宋体" w:cs="Times New Roman"/>
                      <w:kern w:val="0"/>
                      <w:sz w:val="21"/>
                      <w:szCs w:val="21"/>
                    </w:rPr>
                    <w:t>检验</w:t>
                  </w:r>
                </w:p>
              </w:tc>
              <w:tc>
                <w:tcPr>
                  <w:tcW w:w="1612" w:type="pct"/>
                  <w:vAlign w:val="center"/>
                </w:tcPr>
                <w:p w14:paraId="68B1E3C9">
                  <w:pPr>
                    <w:adjustRightInd w:val="0"/>
                    <w:snapToGrid w:val="0"/>
                    <w:jc w:val="center"/>
                    <w:rPr>
                      <w:rFonts w:hint="eastAsia" w:ascii="Times New Roman" w:hAnsi="Times New Roman" w:eastAsia="宋体" w:cs="Times New Roman"/>
                      <w:kern w:val="0"/>
                      <w:sz w:val="21"/>
                      <w:szCs w:val="21"/>
                      <w:lang w:eastAsia="zh-CN"/>
                    </w:rPr>
                  </w:pPr>
                  <w:r>
                    <w:rPr>
                      <w:rFonts w:hint="eastAsia" w:ascii="Times New Roman" w:hAnsi="Times New Roman" w:eastAsia="宋体" w:cs="Times New Roman"/>
                      <w:kern w:val="0"/>
                      <w:sz w:val="21"/>
                      <w:szCs w:val="21"/>
                    </w:rPr>
                    <w:t>不合格的产品</w:t>
                  </w:r>
                </w:p>
              </w:tc>
              <w:tc>
                <w:tcPr>
                  <w:tcW w:w="1996" w:type="pct"/>
                  <w:vMerge w:val="continue"/>
                  <w:vAlign w:val="center"/>
                </w:tcPr>
                <w:p w14:paraId="318D5864">
                  <w:pPr>
                    <w:pStyle w:val="51"/>
                    <w:rPr>
                      <w:kern w:val="0"/>
                      <w:sz w:val="21"/>
                      <w:szCs w:val="21"/>
                    </w:rPr>
                  </w:pPr>
                </w:p>
              </w:tc>
            </w:tr>
            <w:tr w14:paraId="23B9D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533" w:type="pct"/>
                  <w:vMerge w:val="continue"/>
                  <w:vAlign w:val="center"/>
                </w:tcPr>
                <w:p w14:paraId="718343B9">
                  <w:pPr>
                    <w:pStyle w:val="51"/>
                    <w:rPr>
                      <w:kern w:val="0"/>
                      <w:sz w:val="20"/>
                      <w:szCs w:val="21"/>
                    </w:rPr>
                  </w:pPr>
                </w:p>
              </w:tc>
              <w:tc>
                <w:tcPr>
                  <w:tcW w:w="857" w:type="pct"/>
                  <w:vAlign w:val="center"/>
                </w:tcPr>
                <w:p w14:paraId="3CFDD7E4">
                  <w:pPr>
                    <w:adjustRightInd w:val="0"/>
                    <w:snapToGrid w:val="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包装</w:t>
                  </w:r>
                </w:p>
              </w:tc>
              <w:tc>
                <w:tcPr>
                  <w:tcW w:w="1612" w:type="pct"/>
                  <w:vAlign w:val="center"/>
                </w:tcPr>
                <w:p w14:paraId="0BDBA39A">
                  <w:pPr>
                    <w:adjustRightInd w:val="0"/>
                    <w:snapToGrid w:val="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废包装材料</w:t>
                  </w:r>
                </w:p>
              </w:tc>
              <w:tc>
                <w:tcPr>
                  <w:tcW w:w="1996" w:type="pct"/>
                  <w:vMerge w:val="restart"/>
                  <w:vAlign w:val="center"/>
                </w:tcPr>
                <w:p w14:paraId="403BEF99">
                  <w:pPr>
                    <w:pStyle w:val="51"/>
                    <w:rPr>
                      <w:kern w:val="0"/>
                      <w:sz w:val="20"/>
                      <w:szCs w:val="21"/>
                    </w:rPr>
                  </w:pPr>
                  <w:r>
                    <w:rPr>
                      <w:rFonts w:ascii="Times New Roman" w:hAnsi="Times New Roman" w:eastAsia="宋体" w:cs="Times New Roman"/>
                      <w:kern w:val="0"/>
                      <w:sz w:val="21"/>
                      <w:szCs w:val="21"/>
                      <w:highlight w:val="none"/>
                    </w:rPr>
                    <w:t>收集后</w:t>
                  </w:r>
                  <w:r>
                    <w:rPr>
                      <w:rFonts w:hint="eastAsia" w:cs="Times New Roman"/>
                      <w:kern w:val="0"/>
                      <w:sz w:val="21"/>
                      <w:szCs w:val="21"/>
                      <w:highlight w:val="none"/>
                      <w:lang w:eastAsia="zh-CN"/>
                    </w:rPr>
                    <w:t>定期</w:t>
                  </w:r>
                  <w:r>
                    <w:rPr>
                      <w:rFonts w:ascii="Times New Roman" w:hAnsi="Times New Roman" w:eastAsia="宋体" w:cs="Times New Roman"/>
                      <w:kern w:val="0"/>
                      <w:sz w:val="21"/>
                      <w:szCs w:val="21"/>
                      <w:highlight w:val="none"/>
                    </w:rPr>
                    <w:t>外售</w:t>
                  </w:r>
                </w:p>
              </w:tc>
            </w:tr>
            <w:tr w14:paraId="0CC78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533" w:type="pct"/>
                  <w:vMerge w:val="continue"/>
                  <w:vAlign w:val="center"/>
                </w:tcPr>
                <w:p w14:paraId="0757D7C5">
                  <w:pPr>
                    <w:pStyle w:val="51"/>
                    <w:rPr>
                      <w:kern w:val="0"/>
                      <w:sz w:val="21"/>
                      <w:szCs w:val="21"/>
                    </w:rPr>
                  </w:pPr>
                </w:p>
              </w:tc>
              <w:tc>
                <w:tcPr>
                  <w:tcW w:w="857" w:type="pct"/>
                  <w:vAlign w:val="center"/>
                </w:tcPr>
                <w:p w14:paraId="38279A4A">
                  <w:pPr>
                    <w:adjustRightInd w:val="0"/>
                    <w:snapToGrid w:val="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lang w:eastAsia="zh-CN"/>
                    </w:rPr>
                    <w:t>挤出</w:t>
                  </w:r>
                </w:p>
              </w:tc>
              <w:tc>
                <w:tcPr>
                  <w:tcW w:w="1612" w:type="pct"/>
                  <w:vAlign w:val="center"/>
                </w:tcPr>
                <w:p w14:paraId="32D5774F">
                  <w:pPr>
                    <w:adjustRightInd w:val="0"/>
                    <w:snapToGrid w:val="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lang w:eastAsia="zh-CN"/>
                    </w:rPr>
                    <w:t>废模具</w:t>
                  </w:r>
                </w:p>
              </w:tc>
              <w:tc>
                <w:tcPr>
                  <w:tcW w:w="1996" w:type="pct"/>
                  <w:vMerge w:val="continue"/>
                  <w:vAlign w:val="center"/>
                </w:tcPr>
                <w:p w14:paraId="5FAB0270">
                  <w:pPr>
                    <w:pStyle w:val="51"/>
                    <w:rPr>
                      <w:kern w:val="0"/>
                      <w:sz w:val="21"/>
                      <w:szCs w:val="21"/>
                    </w:rPr>
                  </w:pPr>
                </w:p>
              </w:tc>
            </w:tr>
            <w:tr w14:paraId="05087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533" w:type="pct"/>
                  <w:vMerge w:val="continue"/>
                  <w:vAlign w:val="center"/>
                </w:tcPr>
                <w:p w14:paraId="75278167">
                  <w:pPr>
                    <w:pStyle w:val="51"/>
                    <w:rPr>
                      <w:kern w:val="0"/>
                      <w:sz w:val="21"/>
                      <w:szCs w:val="21"/>
                    </w:rPr>
                  </w:pPr>
                </w:p>
              </w:tc>
              <w:tc>
                <w:tcPr>
                  <w:tcW w:w="857" w:type="pct"/>
                  <w:vAlign w:val="center"/>
                </w:tcPr>
                <w:p w14:paraId="3C600FC5">
                  <w:pPr>
                    <w:adjustRightInd w:val="0"/>
                    <w:snapToGrid w:val="0"/>
                    <w:jc w:val="center"/>
                    <w:rPr>
                      <w:rFonts w:hint="eastAsia" w:ascii="Times New Roman" w:hAnsi="Times New Roman" w:eastAsia="宋体" w:cs="Times New Roman"/>
                      <w:kern w:val="0"/>
                      <w:sz w:val="21"/>
                      <w:szCs w:val="21"/>
                      <w:lang w:eastAsia="zh-CN"/>
                    </w:rPr>
                  </w:pPr>
                  <w:r>
                    <w:rPr>
                      <w:rFonts w:hint="eastAsia" w:ascii="Times New Roman" w:hAnsi="Times New Roman" w:eastAsia="宋体" w:cs="Times New Roman"/>
                      <w:kern w:val="0"/>
                      <w:sz w:val="21"/>
                      <w:szCs w:val="21"/>
                      <w:lang w:eastAsia="zh-CN"/>
                    </w:rPr>
                    <w:t>废气治理</w:t>
                  </w:r>
                </w:p>
              </w:tc>
              <w:tc>
                <w:tcPr>
                  <w:tcW w:w="1612" w:type="pct"/>
                  <w:vAlign w:val="center"/>
                </w:tcPr>
                <w:p w14:paraId="3D179C18">
                  <w:pPr>
                    <w:adjustRightInd w:val="0"/>
                    <w:snapToGrid w:val="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废活性炭</w:t>
                  </w:r>
                </w:p>
              </w:tc>
              <w:tc>
                <w:tcPr>
                  <w:tcW w:w="1996" w:type="pct"/>
                  <w:vMerge w:val="restart"/>
                  <w:vAlign w:val="center"/>
                </w:tcPr>
                <w:p w14:paraId="2C6A7D79">
                  <w:pPr>
                    <w:pStyle w:val="51"/>
                    <w:rPr>
                      <w:kern w:val="0"/>
                      <w:sz w:val="21"/>
                      <w:szCs w:val="21"/>
                    </w:rPr>
                  </w:pPr>
                  <w:r>
                    <w:rPr>
                      <w:rFonts w:hint="eastAsia"/>
                      <w:kern w:val="0"/>
                      <w:sz w:val="21"/>
                      <w:szCs w:val="21"/>
                    </w:rPr>
                    <w:t>暂存于危险废物暂存库，委托有资质单位进行处理</w:t>
                  </w:r>
                </w:p>
              </w:tc>
            </w:tr>
            <w:tr w14:paraId="3E07B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533" w:type="pct"/>
                  <w:vMerge w:val="continue"/>
                  <w:vAlign w:val="center"/>
                </w:tcPr>
                <w:p w14:paraId="270CC043">
                  <w:pPr>
                    <w:pStyle w:val="51"/>
                    <w:rPr>
                      <w:kern w:val="0"/>
                      <w:sz w:val="21"/>
                      <w:szCs w:val="21"/>
                    </w:rPr>
                  </w:pPr>
                </w:p>
              </w:tc>
              <w:tc>
                <w:tcPr>
                  <w:tcW w:w="857" w:type="pct"/>
                  <w:vAlign w:val="center"/>
                </w:tcPr>
                <w:p w14:paraId="5B404AFF">
                  <w:pPr>
                    <w:adjustRightInd w:val="0"/>
                    <w:snapToGrid w:val="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维修保养</w:t>
                  </w:r>
                </w:p>
              </w:tc>
              <w:tc>
                <w:tcPr>
                  <w:tcW w:w="1612" w:type="pct"/>
                  <w:vAlign w:val="center"/>
                </w:tcPr>
                <w:p w14:paraId="6FF39FF8">
                  <w:pPr>
                    <w:adjustRightInd w:val="0"/>
                    <w:snapToGrid w:val="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废润滑油</w:t>
                  </w:r>
                </w:p>
              </w:tc>
              <w:tc>
                <w:tcPr>
                  <w:tcW w:w="1996" w:type="pct"/>
                  <w:vMerge w:val="continue"/>
                  <w:vAlign w:val="center"/>
                </w:tcPr>
                <w:p w14:paraId="56941B50">
                  <w:pPr>
                    <w:adjustRightInd w:val="0"/>
                    <w:snapToGrid w:val="0"/>
                    <w:jc w:val="center"/>
                    <w:rPr>
                      <w:rFonts w:ascii="Times New Roman" w:hAnsi="Times New Roman" w:eastAsia="宋体" w:cs="Times New Roman"/>
                      <w:kern w:val="0"/>
                      <w:sz w:val="21"/>
                      <w:szCs w:val="21"/>
                    </w:rPr>
                  </w:pPr>
                </w:p>
              </w:tc>
            </w:tr>
          </w:tbl>
          <w:p w14:paraId="77BAF460">
            <w:pPr>
              <w:spacing w:line="360" w:lineRule="auto"/>
              <w:jc w:val="center"/>
              <w:rPr>
                <w:rFonts w:hint="default" w:ascii="Times New Roman" w:hAnsi="Times New Roman" w:cs="Times New Roman"/>
                <w:color w:val="0000FF"/>
                <w:sz w:val="24"/>
                <w:szCs w:val="24"/>
                <w:lang w:val="en-US" w:eastAsia="zh-CN"/>
              </w:rPr>
            </w:pPr>
          </w:p>
        </w:tc>
      </w:tr>
      <w:tr w14:paraId="64E36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trHeight w:val="3805" w:hRule="atLeast"/>
          <w:jc w:val="center"/>
        </w:trPr>
        <w:tc>
          <w:tcPr>
            <w:tcW w:w="738" w:type="dxa"/>
            <w:noWrap w:val="0"/>
            <w:vAlign w:val="center"/>
          </w:tcPr>
          <w:p w14:paraId="343D607A">
            <w:pPr>
              <w:jc w:val="center"/>
              <w:rPr>
                <w:rFonts w:hint="default" w:ascii="Times New Roman" w:hAnsi="Times New Roman" w:cs="Times New Roman"/>
                <w:color w:val="0000FF"/>
                <w:sz w:val="24"/>
                <w:szCs w:val="22"/>
                <w:vertAlign w:val="baseline"/>
              </w:rPr>
            </w:pPr>
            <w:r>
              <w:rPr>
                <w:rFonts w:hint="default" w:ascii="Times New Roman" w:hAnsi="Times New Roman" w:cs="Times New Roman"/>
                <w:color w:val="auto"/>
                <w:sz w:val="24"/>
                <w:szCs w:val="22"/>
                <w:vertAlign w:val="baseline"/>
              </w:rPr>
              <w:t>与项目有关的原有环境污染问题</w:t>
            </w:r>
          </w:p>
        </w:tc>
        <w:tc>
          <w:tcPr>
            <w:tcW w:w="8550" w:type="dxa"/>
            <w:noWrap w:val="0"/>
            <w:vAlign w:val="top"/>
          </w:tcPr>
          <w:p w14:paraId="62046786">
            <w:pPr>
              <w:spacing w:line="360" w:lineRule="auto"/>
              <w:ind w:firstLine="480" w:firstLineChars="200"/>
              <w:jc w:val="both"/>
              <w:rPr>
                <w:rFonts w:hint="eastAsia"/>
                <w:color w:val="auto"/>
                <w:sz w:val="24"/>
                <w:szCs w:val="32"/>
              </w:rPr>
            </w:pPr>
            <w:r>
              <w:rPr>
                <w:rFonts w:hint="default"/>
                <w:lang w:val="en-US" w:eastAsia="zh-CN"/>
              </w:rPr>
              <w:t>本项目为</w:t>
            </w:r>
            <w:r>
              <w:rPr>
                <w:rFonts w:hint="eastAsia"/>
                <w:lang w:val="en-US" w:eastAsia="zh-CN"/>
              </w:rPr>
              <w:t>新建项目</w:t>
            </w:r>
            <w:r>
              <w:rPr>
                <w:rFonts w:hint="default"/>
                <w:lang w:val="en-US" w:eastAsia="zh-CN"/>
              </w:rPr>
              <w:t>，</w:t>
            </w:r>
            <w:r>
              <w:rPr>
                <w:rFonts w:hint="eastAsia"/>
                <w:lang w:val="en-US" w:eastAsia="zh-CN"/>
              </w:rPr>
              <w:t>位于霍山县诸佛庵镇狮山村穆家畈组，通过不动产权证书</w:t>
            </w:r>
            <w:r>
              <w:rPr>
                <w:rFonts w:hint="eastAsia" w:cs="Times New Roman"/>
                <w:color w:val="auto"/>
                <w:lang w:val="en-US" w:eastAsia="zh-CN"/>
              </w:rPr>
              <w:t>【皖（2023）霍山县不动产权第0629628号】</w:t>
            </w:r>
            <w:r>
              <w:rPr>
                <w:rFonts w:hint="eastAsia"/>
                <w:lang w:val="en-US" w:eastAsia="zh-CN"/>
              </w:rPr>
              <w:t>，本项目用地性质为工业用地，根据现场勘查，厂区现状为空置厂房，</w:t>
            </w:r>
            <w:r>
              <w:rPr>
                <w:color w:val="auto"/>
                <w:sz w:val="24"/>
                <w:szCs w:val="32"/>
              </w:rPr>
              <w:t>无原有污染及环境问题</w:t>
            </w:r>
            <w:r>
              <w:rPr>
                <w:rFonts w:hint="eastAsia"/>
                <w:color w:val="auto"/>
                <w:sz w:val="24"/>
                <w:szCs w:val="32"/>
              </w:rPr>
              <w:t>。</w:t>
            </w:r>
          </w:p>
          <w:p w14:paraId="6CFC515D">
            <w:pPr>
              <w:pStyle w:val="16"/>
              <w:jc w:val="both"/>
              <w:rPr>
                <w:rFonts w:hint="eastAsia"/>
                <w:color w:val="auto"/>
                <w:sz w:val="24"/>
                <w:szCs w:val="32"/>
              </w:rPr>
            </w:pPr>
          </w:p>
          <w:p w14:paraId="15578C44">
            <w:pPr>
              <w:pStyle w:val="11"/>
              <w:jc w:val="both"/>
              <w:rPr>
                <w:rFonts w:hint="default"/>
                <w:lang w:val="en-US" w:eastAsia="zh-CN"/>
              </w:rPr>
            </w:pPr>
          </w:p>
        </w:tc>
      </w:tr>
    </w:tbl>
    <w:p w14:paraId="74DAF58B">
      <w:pPr>
        <w:pStyle w:val="2"/>
        <w:bidi w:val="0"/>
        <w:rPr>
          <w:rFonts w:hint="eastAsia" w:ascii="宋体" w:hAnsi="宋体" w:eastAsia="宋体" w:cs="宋体"/>
          <w:color w:val="0000FF"/>
          <w:sz w:val="32"/>
          <w:szCs w:val="32"/>
        </w:rPr>
      </w:pPr>
      <w:r>
        <w:rPr>
          <w:rFonts w:hint="default" w:ascii="Times New Roman" w:hAnsi="Times New Roman" w:cs="Times New Roman"/>
          <w:color w:val="0000FF"/>
        </w:rPr>
        <w:br w:type="page"/>
      </w:r>
      <w:bookmarkStart w:id="10" w:name="_Toc25267"/>
      <w:r>
        <w:rPr>
          <w:rFonts w:hint="eastAsia" w:ascii="宋体" w:hAnsi="宋体" w:eastAsia="宋体" w:cs="宋体"/>
          <w:sz w:val="32"/>
          <w:szCs w:val="32"/>
          <w:lang w:val="en-US" w:eastAsia="zh-CN"/>
        </w:rPr>
        <w:t>三、区域环境质量现状、环境保护目标及评价标准</w:t>
      </w:r>
      <w:bookmarkEnd w:id="10"/>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85" w:type="dxa"/>
          <w:left w:w="108" w:type="dxa"/>
          <w:bottom w:w="85" w:type="dxa"/>
          <w:right w:w="108" w:type="dxa"/>
        </w:tblCellMar>
      </w:tblPr>
      <w:tblGrid>
        <w:gridCol w:w="738"/>
        <w:gridCol w:w="8550"/>
      </w:tblGrid>
      <w:tr w14:paraId="1E1C1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trHeight w:val="90" w:hRule="atLeast"/>
          <w:jc w:val="center"/>
        </w:trPr>
        <w:tc>
          <w:tcPr>
            <w:tcW w:w="738" w:type="dxa"/>
            <w:noWrap w:val="0"/>
            <w:vAlign w:val="center"/>
          </w:tcPr>
          <w:p w14:paraId="49361CC0">
            <w:pPr>
              <w:jc w:val="center"/>
              <w:rPr>
                <w:rFonts w:hint="default" w:ascii="Times New Roman" w:hAnsi="Times New Roman" w:cs="Times New Roman"/>
                <w:color w:val="auto"/>
                <w:sz w:val="24"/>
                <w:szCs w:val="22"/>
                <w:vertAlign w:val="baseline"/>
              </w:rPr>
            </w:pPr>
            <w:r>
              <w:rPr>
                <w:rFonts w:hint="default" w:ascii="Times New Roman" w:hAnsi="Times New Roman" w:cs="Times New Roman"/>
                <w:color w:val="auto"/>
                <w:sz w:val="24"/>
                <w:szCs w:val="22"/>
                <w:vertAlign w:val="baseline"/>
              </w:rPr>
              <w:t>区域</w:t>
            </w:r>
          </w:p>
          <w:p w14:paraId="69FD522F">
            <w:pPr>
              <w:jc w:val="center"/>
              <w:rPr>
                <w:rFonts w:hint="default" w:ascii="Times New Roman" w:hAnsi="Times New Roman" w:cs="Times New Roman"/>
                <w:color w:val="auto"/>
                <w:sz w:val="24"/>
                <w:szCs w:val="22"/>
                <w:vertAlign w:val="baseline"/>
              </w:rPr>
            </w:pPr>
            <w:r>
              <w:rPr>
                <w:rFonts w:hint="default" w:ascii="Times New Roman" w:hAnsi="Times New Roman" w:cs="Times New Roman"/>
                <w:color w:val="auto"/>
                <w:sz w:val="24"/>
                <w:szCs w:val="22"/>
                <w:vertAlign w:val="baseline"/>
              </w:rPr>
              <w:t>环境</w:t>
            </w:r>
          </w:p>
          <w:p w14:paraId="30C7C417">
            <w:pPr>
              <w:jc w:val="center"/>
              <w:rPr>
                <w:rFonts w:hint="default" w:ascii="Times New Roman" w:hAnsi="Times New Roman" w:cs="Times New Roman"/>
                <w:color w:val="auto"/>
                <w:sz w:val="24"/>
                <w:szCs w:val="22"/>
                <w:vertAlign w:val="baseline"/>
              </w:rPr>
            </w:pPr>
            <w:r>
              <w:rPr>
                <w:rFonts w:hint="default" w:ascii="Times New Roman" w:hAnsi="Times New Roman" w:cs="Times New Roman"/>
                <w:color w:val="auto"/>
                <w:sz w:val="24"/>
                <w:szCs w:val="22"/>
                <w:vertAlign w:val="baseline"/>
              </w:rPr>
              <w:t>质量</w:t>
            </w:r>
          </w:p>
          <w:p w14:paraId="6542FA8E">
            <w:pPr>
              <w:jc w:val="center"/>
              <w:rPr>
                <w:rFonts w:hint="default" w:ascii="Times New Roman" w:hAnsi="Times New Roman" w:cs="Times New Roman"/>
                <w:color w:val="0000FF"/>
                <w:sz w:val="24"/>
                <w:szCs w:val="22"/>
                <w:vertAlign w:val="baseline"/>
              </w:rPr>
            </w:pPr>
            <w:r>
              <w:rPr>
                <w:rFonts w:hint="default" w:ascii="Times New Roman" w:hAnsi="Times New Roman" w:cs="Times New Roman"/>
                <w:color w:val="auto"/>
                <w:sz w:val="24"/>
                <w:szCs w:val="22"/>
                <w:vertAlign w:val="baseline"/>
              </w:rPr>
              <w:t>现状</w:t>
            </w:r>
          </w:p>
        </w:tc>
        <w:tc>
          <w:tcPr>
            <w:tcW w:w="8550" w:type="dxa"/>
            <w:noWrap w:val="0"/>
            <w:vAlign w:val="top"/>
          </w:tcPr>
          <w:p w14:paraId="3C5C0769">
            <w:pPr>
              <w:spacing w:line="360" w:lineRule="auto"/>
              <w:ind w:firstLine="482" w:firstLineChars="200"/>
              <w:jc w:val="both"/>
              <w:rPr>
                <w:rFonts w:hint="default" w:ascii="Times New Roman" w:hAnsi="Times New Roman" w:eastAsia="宋体" w:cs="Times New Roman"/>
                <w:b/>
                <w:bCs/>
                <w:color w:val="auto"/>
                <w:sz w:val="24"/>
                <w:szCs w:val="24"/>
                <w:vertAlign w:val="baseline"/>
              </w:rPr>
            </w:pPr>
            <w:r>
              <w:rPr>
                <w:rFonts w:hint="default" w:ascii="Times New Roman" w:hAnsi="Times New Roman" w:eastAsia="宋体" w:cs="Times New Roman"/>
                <w:b/>
                <w:bCs/>
                <w:color w:val="auto"/>
                <w:sz w:val="24"/>
                <w:szCs w:val="24"/>
                <w:vertAlign w:val="baseline"/>
              </w:rPr>
              <w:t>1、大气环境</w:t>
            </w:r>
          </w:p>
          <w:p w14:paraId="442D0565">
            <w:pPr>
              <w:pStyle w:val="45"/>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bCs/>
                <w:color w:val="auto"/>
                <w:sz w:val="24"/>
              </w:rPr>
            </w:pPr>
            <w:r>
              <w:rPr>
                <w:rFonts w:hint="default" w:ascii="Times New Roman" w:hAnsi="Times New Roman" w:cs="Times New Roman"/>
                <w:bCs/>
                <w:color w:val="auto"/>
                <w:sz w:val="24"/>
              </w:rPr>
              <w:t>根据霍山县人民政府网2025年1月09日发布的《2024年霍山县环境质量报告》，2024年霍山县城区空气质量达标天数为333天，占比91%，其中空气质量为优111天，良222天；超标天数比例为9%，其中轻度污染29天，中度污染2天， 重度污染2天。空气指标中超标并成为首要污染物天数按比例依次为可吸入颗粒物（PM</w:t>
            </w:r>
            <w:r>
              <w:rPr>
                <w:rFonts w:hint="default" w:ascii="Times New Roman" w:hAnsi="Times New Roman" w:cs="Times New Roman"/>
                <w:bCs/>
                <w:color w:val="auto"/>
                <w:sz w:val="24"/>
                <w:vertAlign w:val="subscript"/>
              </w:rPr>
              <w:t>10</w:t>
            </w:r>
            <w:r>
              <w:rPr>
                <w:rFonts w:hint="default" w:ascii="Times New Roman" w:hAnsi="Times New Roman" w:cs="Times New Roman"/>
                <w:bCs/>
                <w:color w:val="auto"/>
                <w:sz w:val="24"/>
              </w:rPr>
              <w:t>）、臭氧（O</w:t>
            </w:r>
            <w:r>
              <w:rPr>
                <w:rFonts w:hint="default" w:ascii="Times New Roman" w:hAnsi="Times New Roman" w:cs="Times New Roman"/>
                <w:bCs/>
                <w:color w:val="auto"/>
                <w:sz w:val="24"/>
                <w:vertAlign w:val="subscript"/>
              </w:rPr>
              <w:t>3</w:t>
            </w:r>
            <w:r>
              <w:rPr>
                <w:rFonts w:hint="default" w:ascii="Times New Roman" w:hAnsi="Times New Roman" w:cs="Times New Roman"/>
                <w:bCs/>
                <w:color w:val="auto"/>
                <w:sz w:val="24"/>
              </w:rPr>
              <w:t>）、细颗粒物（PM</w:t>
            </w:r>
            <w:r>
              <w:rPr>
                <w:rFonts w:hint="default" w:ascii="Times New Roman" w:hAnsi="Times New Roman" w:cs="Times New Roman"/>
                <w:bCs/>
                <w:color w:val="auto"/>
                <w:sz w:val="24"/>
                <w:vertAlign w:val="subscript"/>
              </w:rPr>
              <w:t>2.5</w:t>
            </w:r>
            <w:r>
              <w:rPr>
                <w:rFonts w:hint="default" w:ascii="Times New Roman" w:hAnsi="Times New Roman" w:cs="Times New Roman"/>
                <w:bCs/>
                <w:color w:val="auto"/>
                <w:sz w:val="24"/>
              </w:rPr>
              <w:t>）。PM</w:t>
            </w:r>
            <w:r>
              <w:rPr>
                <w:rFonts w:hint="default" w:ascii="Times New Roman" w:hAnsi="Times New Roman" w:cs="Times New Roman"/>
                <w:bCs/>
                <w:color w:val="auto"/>
                <w:sz w:val="24"/>
                <w:vertAlign w:val="subscript"/>
              </w:rPr>
              <w:t>10</w:t>
            </w:r>
            <w:r>
              <w:rPr>
                <w:rFonts w:hint="default" w:ascii="Times New Roman" w:hAnsi="Times New Roman" w:cs="Times New Roman"/>
                <w:bCs/>
                <w:color w:val="auto"/>
                <w:sz w:val="24"/>
              </w:rPr>
              <w:t>年平均浓度为 52.3μg/m</w:t>
            </w:r>
            <w:r>
              <w:rPr>
                <w:rFonts w:hint="default" w:ascii="Times New Roman" w:hAnsi="Times New Roman" w:cs="Times New Roman"/>
                <w:bCs/>
                <w:color w:val="auto"/>
                <w:sz w:val="24"/>
                <w:vertAlign w:val="superscript"/>
              </w:rPr>
              <w:t>3</w:t>
            </w:r>
            <w:r>
              <w:rPr>
                <w:rFonts w:hint="eastAsia" w:cs="Times New Roman"/>
                <w:bCs/>
                <w:color w:val="auto"/>
                <w:sz w:val="24"/>
                <w:lang w:eastAsia="zh-CN"/>
              </w:rPr>
              <w:t>；</w:t>
            </w:r>
            <w:r>
              <w:rPr>
                <w:rFonts w:hint="default" w:ascii="Times New Roman" w:hAnsi="Times New Roman" w:cs="Times New Roman"/>
                <w:bCs/>
                <w:color w:val="auto"/>
                <w:sz w:val="24"/>
              </w:rPr>
              <w:t>PM</w:t>
            </w:r>
            <w:r>
              <w:rPr>
                <w:rFonts w:hint="default" w:ascii="Times New Roman" w:hAnsi="Times New Roman" w:cs="Times New Roman"/>
                <w:bCs/>
                <w:color w:val="auto"/>
                <w:sz w:val="24"/>
                <w:vertAlign w:val="subscript"/>
              </w:rPr>
              <w:t>2.5</w:t>
            </w:r>
            <w:r>
              <w:rPr>
                <w:rFonts w:hint="default" w:ascii="Times New Roman" w:hAnsi="Times New Roman" w:cs="Times New Roman"/>
                <w:bCs/>
                <w:color w:val="auto"/>
                <w:sz w:val="24"/>
              </w:rPr>
              <w:t>年平均浓度为34.3μg/m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；二氧化硫年平均浓度为5.3μg/m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；二氧化氮年平均浓度为15.1μg/m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；一氧化碳日均值第95百分位浓度为0.9mg/m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，臭氧日最大八小时平均浓度第90百分位浓度为133μg/m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。具体数据及达标情况见下表。</w:t>
            </w:r>
          </w:p>
          <w:p w14:paraId="5CA353B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cs="Times New Roman"/>
                <w:b/>
                <w:bCs/>
                <w:color w:val="auto"/>
                <w:sz w:val="21"/>
                <w:szCs w:val="21"/>
                <w:lang w:val="en-US" w:eastAsia="zh-CN"/>
              </w:rPr>
            </w:pPr>
            <w:r>
              <w:rPr>
                <w:rFonts w:hint="default" w:ascii="Times New Roman" w:hAnsi="Times New Roman" w:cs="Times New Roman"/>
                <w:b/>
                <w:bCs/>
                <w:color w:val="auto"/>
                <w:sz w:val="24"/>
                <w:szCs w:val="24"/>
              </w:rPr>
              <w:t>表</w:t>
            </w:r>
            <w:r>
              <w:rPr>
                <w:rFonts w:hint="eastAsia" w:cs="Times New Roman"/>
                <w:b/>
                <w:bCs/>
                <w:color w:val="auto"/>
                <w:sz w:val="24"/>
                <w:szCs w:val="24"/>
                <w:lang w:val="en-US" w:eastAsia="zh-CN"/>
              </w:rPr>
              <w:t>3-1</w:t>
            </w:r>
            <w:r>
              <w:rPr>
                <w:rFonts w:hint="default" w:ascii="Times New Roman" w:hAnsi="Times New Roman" w:cs="Times New Roman"/>
                <w:b/>
                <w:bCs/>
                <w:color w:val="auto"/>
                <w:sz w:val="24"/>
                <w:szCs w:val="24"/>
              </w:rPr>
              <w:t xml:space="preserve">  </w:t>
            </w:r>
            <w:r>
              <w:rPr>
                <w:rFonts w:hint="eastAsia" w:cs="Times New Roman"/>
                <w:b/>
                <w:bCs/>
                <w:color w:val="auto"/>
                <w:sz w:val="24"/>
                <w:szCs w:val="24"/>
                <w:lang w:val="en-US" w:eastAsia="zh-CN"/>
              </w:rPr>
              <w:t>2024年霍山县环境空气质量现状评价表</w:t>
            </w:r>
          </w:p>
          <w:tbl>
            <w:tblPr>
              <w:tblStyle w:val="27"/>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84"/>
              <w:gridCol w:w="1017"/>
              <w:gridCol w:w="1580"/>
              <w:gridCol w:w="907"/>
              <w:gridCol w:w="1278"/>
              <w:gridCol w:w="1150"/>
            </w:tblGrid>
            <w:tr w14:paraId="5EEC3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1432" w:type="pct"/>
                  <w:vAlign w:val="center"/>
                </w:tcPr>
                <w:p w14:paraId="114C7518">
                  <w:pPr>
                    <w:pStyle w:val="16"/>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监测项目</w:t>
                  </w:r>
                </w:p>
              </w:tc>
              <w:tc>
                <w:tcPr>
                  <w:tcW w:w="611" w:type="pct"/>
                  <w:vAlign w:val="center"/>
                </w:tcPr>
                <w:p w14:paraId="75BA0F9A">
                  <w:pPr>
                    <w:pStyle w:val="16"/>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2024年</w:t>
                  </w:r>
                </w:p>
              </w:tc>
              <w:tc>
                <w:tcPr>
                  <w:tcW w:w="949" w:type="pct"/>
                  <w:vAlign w:val="center"/>
                </w:tcPr>
                <w:p w14:paraId="1B31FE43">
                  <w:pPr>
                    <w:pStyle w:val="16"/>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二级标准限值</w:t>
                  </w:r>
                </w:p>
              </w:tc>
              <w:tc>
                <w:tcPr>
                  <w:tcW w:w="545" w:type="pct"/>
                  <w:vAlign w:val="center"/>
                </w:tcPr>
                <w:p w14:paraId="6E6DD16D">
                  <w:pPr>
                    <w:pStyle w:val="16"/>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单位</w:t>
                  </w:r>
                </w:p>
              </w:tc>
              <w:tc>
                <w:tcPr>
                  <w:tcW w:w="768" w:type="pct"/>
                  <w:vAlign w:val="center"/>
                </w:tcPr>
                <w:p w14:paraId="27C24625">
                  <w:pPr>
                    <w:pStyle w:val="16"/>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占标比（%）</w:t>
                  </w:r>
                </w:p>
              </w:tc>
              <w:tc>
                <w:tcPr>
                  <w:tcW w:w="691" w:type="pct"/>
                  <w:vAlign w:val="center"/>
                </w:tcPr>
                <w:p w14:paraId="11CCBBEE">
                  <w:pPr>
                    <w:pStyle w:val="16"/>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达标情况</w:t>
                  </w:r>
                </w:p>
              </w:tc>
            </w:tr>
            <w:tr w14:paraId="2C3CD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1432" w:type="pct"/>
                  <w:vAlign w:val="center"/>
                </w:tcPr>
                <w:p w14:paraId="2844D49F">
                  <w:pPr>
                    <w:pStyle w:val="16"/>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SO</w:t>
                  </w:r>
                  <w:r>
                    <w:rPr>
                      <w:rFonts w:hint="eastAsia" w:ascii="Times New Roman" w:hAnsi="Times New Roman" w:cs="Times New Roman"/>
                      <w:vertAlign w:val="subscript"/>
                      <w:lang w:val="en-US" w:eastAsia="zh-CN"/>
                    </w:rPr>
                    <w:t>2</w:t>
                  </w:r>
                  <w:r>
                    <w:rPr>
                      <w:rFonts w:hint="eastAsia" w:ascii="Times New Roman" w:hAnsi="Times New Roman" w:cs="Times New Roman"/>
                      <w:vertAlign w:val="baseline"/>
                      <w:lang w:val="en-US" w:eastAsia="zh-CN"/>
                    </w:rPr>
                    <w:t>年平均</w:t>
                  </w:r>
                </w:p>
              </w:tc>
              <w:tc>
                <w:tcPr>
                  <w:tcW w:w="611" w:type="pct"/>
                  <w:vAlign w:val="center"/>
                </w:tcPr>
                <w:p w14:paraId="02D32CF0">
                  <w:pPr>
                    <w:pStyle w:val="16"/>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5.3</w:t>
                  </w:r>
                </w:p>
              </w:tc>
              <w:tc>
                <w:tcPr>
                  <w:tcW w:w="949" w:type="pct"/>
                  <w:vAlign w:val="center"/>
                </w:tcPr>
                <w:p w14:paraId="169CF136">
                  <w:pPr>
                    <w:pStyle w:val="16"/>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60</w:t>
                  </w:r>
                </w:p>
              </w:tc>
              <w:tc>
                <w:tcPr>
                  <w:tcW w:w="545" w:type="pct"/>
                  <w:vAlign w:val="center"/>
                </w:tcPr>
                <w:p w14:paraId="69FFFE16">
                  <w:pPr>
                    <w:pStyle w:val="16"/>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b w:val="0"/>
                      <w:bCs w:val="0"/>
                      <w:color w:val="auto"/>
                      <w:kern w:val="0"/>
                      <w:szCs w:val="21"/>
                    </w:rPr>
                    <w:t>μg/m</w:t>
                  </w:r>
                  <w:r>
                    <w:rPr>
                      <w:rFonts w:hint="default" w:ascii="Times New Roman" w:hAnsi="Times New Roman" w:cs="Times New Roman"/>
                      <w:b w:val="0"/>
                      <w:bCs w:val="0"/>
                      <w:color w:val="auto"/>
                      <w:kern w:val="0"/>
                      <w:szCs w:val="21"/>
                      <w:vertAlign w:val="superscript"/>
                    </w:rPr>
                    <w:t>3</w:t>
                  </w:r>
                </w:p>
              </w:tc>
              <w:tc>
                <w:tcPr>
                  <w:tcW w:w="768" w:type="pct"/>
                  <w:vAlign w:val="center"/>
                </w:tcPr>
                <w:p w14:paraId="3A267108">
                  <w:pPr>
                    <w:pStyle w:val="16"/>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8.83</w:t>
                  </w:r>
                </w:p>
              </w:tc>
              <w:tc>
                <w:tcPr>
                  <w:tcW w:w="691" w:type="pct"/>
                  <w:vAlign w:val="center"/>
                </w:tcPr>
                <w:p w14:paraId="68219304">
                  <w:pPr>
                    <w:pStyle w:val="16"/>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达标</w:t>
                  </w:r>
                </w:p>
              </w:tc>
            </w:tr>
            <w:tr w14:paraId="13ADC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1432" w:type="pct"/>
                  <w:vAlign w:val="center"/>
                </w:tcPr>
                <w:p w14:paraId="6048E0D9">
                  <w:pPr>
                    <w:pStyle w:val="16"/>
                    <w:keepNext w:val="0"/>
                    <w:keepLines w:val="0"/>
                    <w:pageBreakBefore w:val="0"/>
                    <w:widowControl w:val="0"/>
                    <w:kinsoku/>
                    <w:wordWrap/>
                    <w:overflowPunct/>
                    <w:topLinePunct w:val="0"/>
                    <w:autoSpaceDE/>
                    <w:autoSpaceDN/>
                    <w:bidi w:val="0"/>
                    <w:adjustRightInd/>
                    <w:snapToGrid/>
                    <w:ind w:left="0"/>
                    <w:jc w:val="center"/>
                    <w:textAlignment w:val="auto"/>
                    <w:rPr>
                      <w:rFonts w:hint="eastAsia"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NO</w:t>
                  </w:r>
                  <w:r>
                    <w:rPr>
                      <w:rFonts w:hint="eastAsia" w:ascii="Times New Roman" w:hAnsi="Times New Roman" w:cs="Times New Roman"/>
                      <w:vertAlign w:val="subscript"/>
                      <w:lang w:val="en-US" w:eastAsia="zh-CN"/>
                    </w:rPr>
                    <w:t>2</w:t>
                  </w:r>
                  <w:r>
                    <w:rPr>
                      <w:rFonts w:hint="eastAsia" w:ascii="Times New Roman" w:hAnsi="Times New Roman" w:cs="Times New Roman"/>
                      <w:vertAlign w:val="baseline"/>
                      <w:lang w:val="en-US" w:eastAsia="zh-CN"/>
                    </w:rPr>
                    <w:t>年平均</w:t>
                  </w:r>
                </w:p>
              </w:tc>
              <w:tc>
                <w:tcPr>
                  <w:tcW w:w="611" w:type="pct"/>
                  <w:vAlign w:val="center"/>
                </w:tcPr>
                <w:p w14:paraId="55C919F7">
                  <w:pPr>
                    <w:pStyle w:val="16"/>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15.1</w:t>
                  </w:r>
                </w:p>
              </w:tc>
              <w:tc>
                <w:tcPr>
                  <w:tcW w:w="949" w:type="pct"/>
                  <w:vAlign w:val="center"/>
                </w:tcPr>
                <w:p w14:paraId="6933CC7D">
                  <w:pPr>
                    <w:pStyle w:val="16"/>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40</w:t>
                  </w:r>
                </w:p>
              </w:tc>
              <w:tc>
                <w:tcPr>
                  <w:tcW w:w="545" w:type="pct"/>
                  <w:vAlign w:val="center"/>
                </w:tcPr>
                <w:p w14:paraId="25BB0156">
                  <w:pPr>
                    <w:pStyle w:val="16"/>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b w:val="0"/>
                      <w:bCs w:val="0"/>
                      <w:color w:val="auto"/>
                      <w:kern w:val="0"/>
                      <w:szCs w:val="21"/>
                    </w:rPr>
                  </w:pPr>
                  <w:r>
                    <w:rPr>
                      <w:rFonts w:hint="default" w:ascii="Times New Roman" w:hAnsi="Times New Roman" w:cs="Times New Roman"/>
                      <w:b w:val="0"/>
                      <w:bCs w:val="0"/>
                      <w:color w:val="auto"/>
                      <w:kern w:val="0"/>
                      <w:szCs w:val="21"/>
                    </w:rPr>
                    <w:t>μg/m</w:t>
                  </w:r>
                  <w:r>
                    <w:rPr>
                      <w:rFonts w:hint="default" w:ascii="Times New Roman" w:hAnsi="Times New Roman" w:cs="Times New Roman"/>
                      <w:b w:val="0"/>
                      <w:bCs w:val="0"/>
                      <w:color w:val="auto"/>
                      <w:kern w:val="0"/>
                      <w:szCs w:val="21"/>
                      <w:vertAlign w:val="superscript"/>
                    </w:rPr>
                    <w:t>3</w:t>
                  </w:r>
                </w:p>
              </w:tc>
              <w:tc>
                <w:tcPr>
                  <w:tcW w:w="768" w:type="pct"/>
                  <w:vAlign w:val="center"/>
                </w:tcPr>
                <w:p w14:paraId="6F43555D">
                  <w:pPr>
                    <w:pStyle w:val="16"/>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37.73</w:t>
                  </w:r>
                </w:p>
              </w:tc>
              <w:tc>
                <w:tcPr>
                  <w:tcW w:w="691" w:type="pct"/>
                  <w:vAlign w:val="center"/>
                </w:tcPr>
                <w:p w14:paraId="4F0A263F">
                  <w:pPr>
                    <w:pStyle w:val="16"/>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达标</w:t>
                  </w:r>
                </w:p>
              </w:tc>
            </w:tr>
            <w:tr w14:paraId="35116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1432" w:type="pct"/>
                  <w:vAlign w:val="center"/>
                </w:tcPr>
                <w:p w14:paraId="5F89BB62">
                  <w:pPr>
                    <w:pStyle w:val="16"/>
                    <w:keepNext w:val="0"/>
                    <w:keepLines w:val="0"/>
                    <w:pageBreakBefore w:val="0"/>
                    <w:widowControl w:val="0"/>
                    <w:kinsoku/>
                    <w:wordWrap/>
                    <w:overflowPunct/>
                    <w:topLinePunct w:val="0"/>
                    <w:autoSpaceDE/>
                    <w:autoSpaceDN/>
                    <w:bidi w:val="0"/>
                    <w:adjustRightInd/>
                    <w:snapToGrid/>
                    <w:ind w:left="0"/>
                    <w:jc w:val="center"/>
                    <w:textAlignment w:val="auto"/>
                    <w:rPr>
                      <w:rFonts w:hint="eastAsia"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PM</w:t>
                  </w:r>
                  <w:r>
                    <w:rPr>
                      <w:rFonts w:hint="eastAsia" w:ascii="Times New Roman" w:hAnsi="Times New Roman" w:cs="Times New Roman"/>
                      <w:vertAlign w:val="subscript"/>
                      <w:lang w:val="en-US" w:eastAsia="zh-CN"/>
                    </w:rPr>
                    <w:t>10</w:t>
                  </w:r>
                  <w:r>
                    <w:rPr>
                      <w:rFonts w:hint="eastAsia" w:ascii="Times New Roman" w:hAnsi="Times New Roman" w:cs="Times New Roman"/>
                      <w:vertAlign w:val="baseline"/>
                      <w:lang w:val="en-US" w:eastAsia="zh-CN"/>
                    </w:rPr>
                    <w:t>年平均</w:t>
                  </w:r>
                </w:p>
              </w:tc>
              <w:tc>
                <w:tcPr>
                  <w:tcW w:w="611" w:type="pct"/>
                  <w:vAlign w:val="center"/>
                </w:tcPr>
                <w:p w14:paraId="03912DEF">
                  <w:pPr>
                    <w:pStyle w:val="16"/>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52.3</w:t>
                  </w:r>
                </w:p>
              </w:tc>
              <w:tc>
                <w:tcPr>
                  <w:tcW w:w="949" w:type="pct"/>
                  <w:vAlign w:val="center"/>
                </w:tcPr>
                <w:p w14:paraId="4DAFA379">
                  <w:pPr>
                    <w:pStyle w:val="16"/>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70</w:t>
                  </w:r>
                </w:p>
              </w:tc>
              <w:tc>
                <w:tcPr>
                  <w:tcW w:w="545" w:type="pct"/>
                  <w:vAlign w:val="center"/>
                </w:tcPr>
                <w:p w14:paraId="35FE4DFC">
                  <w:pPr>
                    <w:pStyle w:val="16"/>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b w:val="0"/>
                      <w:bCs w:val="0"/>
                      <w:color w:val="auto"/>
                      <w:kern w:val="0"/>
                      <w:szCs w:val="21"/>
                    </w:rPr>
                  </w:pPr>
                  <w:r>
                    <w:rPr>
                      <w:rFonts w:hint="default" w:ascii="Times New Roman" w:hAnsi="Times New Roman" w:cs="Times New Roman"/>
                      <w:b w:val="0"/>
                      <w:bCs w:val="0"/>
                      <w:color w:val="auto"/>
                      <w:kern w:val="0"/>
                      <w:szCs w:val="21"/>
                    </w:rPr>
                    <w:t>μg/m</w:t>
                  </w:r>
                  <w:r>
                    <w:rPr>
                      <w:rFonts w:hint="default" w:ascii="Times New Roman" w:hAnsi="Times New Roman" w:cs="Times New Roman"/>
                      <w:b w:val="0"/>
                      <w:bCs w:val="0"/>
                      <w:color w:val="auto"/>
                      <w:kern w:val="0"/>
                      <w:szCs w:val="21"/>
                      <w:vertAlign w:val="superscript"/>
                    </w:rPr>
                    <w:t>3</w:t>
                  </w:r>
                </w:p>
              </w:tc>
              <w:tc>
                <w:tcPr>
                  <w:tcW w:w="768" w:type="pct"/>
                  <w:vAlign w:val="center"/>
                </w:tcPr>
                <w:p w14:paraId="734CD0EB">
                  <w:pPr>
                    <w:pStyle w:val="16"/>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74.71</w:t>
                  </w:r>
                </w:p>
              </w:tc>
              <w:tc>
                <w:tcPr>
                  <w:tcW w:w="691" w:type="pct"/>
                  <w:vAlign w:val="center"/>
                </w:tcPr>
                <w:p w14:paraId="4567333B">
                  <w:pPr>
                    <w:pStyle w:val="16"/>
                    <w:keepNext w:val="0"/>
                    <w:keepLines w:val="0"/>
                    <w:pageBreakBefore w:val="0"/>
                    <w:widowControl w:val="0"/>
                    <w:kinsoku/>
                    <w:wordWrap/>
                    <w:overflowPunct/>
                    <w:topLinePunct w:val="0"/>
                    <w:autoSpaceDE/>
                    <w:autoSpaceDN/>
                    <w:bidi w:val="0"/>
                    <w:adjustRightInd/>
                    <w:snapToGrid/>
                    <w:ind w:left="0"/>
                    <w:jc w:val="center"/>
                    <w:textAlignment w:val="auto"/>
                    <w:rPr>
                      <w:rFonts w:hint="eastAsia"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达标</w:t>
                  </w:r>
                </w:p>
              </w:tc>
            </w:tr>
            <w:tr w14:paraId="381F9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1432" w:type="pct"/>
                  <w:vAlign w:val="center"/>
                </w:tcPr>
                <w:p w14:paraId="67DA397F">
                  <w:pPr>
                    <w:pStyle w:val="16"/>
                    <w:keepNext w:val="0"/>
                    <w:keepLines w:val="0"/>
                    <w:pageBreakBefore w:val="0"/>
                    <w:widowControl w:val="0"/>
                    <w:kinsoku/>
                    <w:wordWrap/>
                    <w:overflowPunct/>
                    <w:topLinePunct w:val="0"/>
                    <w:autoSpaceDE/>
                    <w:autoSpaceDN/>
                    <w:bidi w:val="0"/>
                    <w:adjustRightInd/>
                    <w:snapToGrid/>
                    <w:ind w:left="0"/>
                    <w:jc w:val="center"/>
                    <w:textAlignment w:val="auto"/>
                    <w:rPr>
                      <w:rFonts w:hint="eastAsia"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PM</w:t>
                  </w:r>
                  <w:r>
                    <w:rPr>
                      <w:rFonts w:hint="eastAsia" w:ascii="Times New Roman" w:hAnsi="Times New Roman" w:cs="Times New Roman"/>
                      <w:vertAlign w:val="subscript"/>
                      <w:lang w:val="en-US" w:eastAsia="zh-CN"/>
                    </w:rPr>
                    <w:t>2.5</w:t>
                  </w:r>
                  <w:r>
                    <w:rPr>
                      <w:rFonts w:hint="eastAsia" w:ascii="Times New Roman" w:hAnsi="Times New Roman" w:cs="Times New Roman"/>
                      <w:vertAlign w:val="baseline"/>
                      <w:lang w:val="en-US" w:eastAsia="zh-CN"/>
                    </w:rPr>
                    <w:t>年平均</w:t>
                  </w:r>
                </w:p>
              </w:tc>
              <w:tc>
                <w:tcPr>
                  <w:tcW w:w="611" w:type="pct"/>
                  <w:vAlign w:val="center"/>
                </w:tcPr>
                <w:p w14:paraId="0A6B7CCB">
                  <w:pPr>
                    <w:pStyle w:val="16"/>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34.3</w:t>
                  </w:r>
                </w:p>
              </w:tc>
              <w:tc>
                <w:tcPr>
                  <w:tcW w:w="949" w:type="pct"/>
                  <w:vAlign w:val="center"/>
                </w:tcPr>
                <w:p w14:paraId="03C6585C">
                  <w:pPr>
                    <w:pStyle w:val="16"/>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35</w:t>
                  </w:r>
                </w:p>
              </w:tc>
              <w:tc>
                <w:tcPr>
                  <w:tcW w:w="545" w:type="pct"/>
                  <w:vAlign w:val="center"/>
                </w:tcPr>
                <w:p w14:paraId="4C05A7FA">
                  <w:pPr>
                    <w:pStyle w:val="16"/>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b w:val="0"/>
                      <w:bCs w:val="0"/>
                      <w:color w:val="auto"/>
                      <w:kern w:val="0"/>
                      <w:szCs w:val="21"/>
                    </w:rPr>
                  </w:pPr>
                  <w:r>
                    <w:rPr>
                      <w:rFonts w:hint="default" w:ascii="Times New Roman" w:hAnsi="Times New Roman" w:cs="Times New Roman"/>
                      <w:b w:val="0"/>
                      <w:bCs w:val="0"/>
                      <w:color w:val="auto"/>
                      <w:kern w:val="0"/>
                      <w:szCs w:val="21"/>
                    </w:rPr>
                    <w:t>μg/m</w:t>
                  </w:r>
                  <w:r>
                    <w:rPr>
                      <w:rFonts w:hint="default" w:ascii="Times New Roman" w:hAnsi="Times New Roman" w:cs="Times New Roman"/>
                      <w:b w:val="0"/>
                      <w:bCs w:val="0"/>
                      <w:color w:val="auto"/>
                      <w:kern w:val="0"/>
                      <w:szCs w:val="21"/>
                      <w:vertAlign w:val="superscript"/>
                    </w:rPr>
                    <w:t>3</w:t>
                  </w:r>
                </w:p>
              </w:tc>
              <w:tc>
                <w:tcPr>
                  <w:tcW w:w="768" w:type="pct"/>
                  <w:vAlign w:val="center"/>
                </w:tcPr>
                <w:p w14:paraId="729FFAEC">
                  <w:pPr>
                    <w:pStyle w:val="16"/>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98</w:t>
                  </w:r>
                </w:p>
              </w:tc>
              <w:tc>
                <w:tcPr>
                  <w:tcW w:w="691" w:type="pct"/>
                  <w:vAlign w:val="center"/>
                </w:tcPr>
                <w:p w14:paraId="3A8B1B2C">
                  <w:pPr>
                    <w:pStyle w:val="16"/>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达标</w:t>
                  </w:r>
                </w:p>
              </w:tc>
            </w:tr>
            <w:tr w14:paraId="113AA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1432" w:type="pct"/>
                  <w:vAlign w:val="center"/>
                </w:tcPr>
                <w:p w14:paraId="3B9F1694">
                  <w:pPr>
                    <w:pStyle w:val="16"/>
                    <w:keepNext w:val="0"/>
                    <w:keepLines w:val="0"/>
                    <w:pageBreakBefore w:val="0"/>
                    <w:widowControl w:val="0"/>
                    <w:kinsoku/>
                    <w:wordWrap/>
                    <w:overflowPunct/>
                    <w:topLinePunct w:val="0"/>
                    <w:autoSpaceDE/>
                    <w:autoSpaceDN/>
                    <w:bidi w:val="0"/>
                    <w:adjustRightInd/>
                    <w:snapToGrid/>
                    <w:ind w:left="0"/>
                    <w:jc w:val="center"/>
                    <w:textAlignment w:val="auto"/>
                    <w:rPr>
                      <w:rFonts w:hint="eastAsia"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CO日均值第95百分位</w:t>
                  </w:r>
                </w:p>
              </w:tc>
              <w:tc>
                <w:tcPr>
                  <w:tcW w:w="611" w:type="pct"/>
                  <w:vAlign w:val="center"/>
                </w:tcPr>
                <w:p w14:paraId="7CA22C88">
                  <w:pPr>
                    <w:pStyle w:val="16"/>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0.9</w:t>
                  </w:r>
                </w:p>
              </w:tc>
              <w:tc>
                <w:tcPr>
                  <w:tcW w:w="949" w:type="pct"/>
                  <w:vAlign w:val="center"/>
                </w:tcPr>
                <w:p w14:paraId="1AAF4340">
                  <w:pPr>
                    <w:pStyle w:val="16"/>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4</w:t>
                  </w:r>
                </w:p>
              </w:tc>
              <w:tc>
                <w:tcPr>
                  <w:tcW w:w="545" w:type="pct"/>
                  <w:vAlign w:val="center"/>
                </w:tcPr>
                <w:p w14:paraId="5F142B2F">
                  <w:pPr>
                    <w:pStyle w:val="16"/>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b w:val="0"/>
                      <w:bCs w:val="0"/>
                      <w:color w:val="auto"/>
                      <w:kern w:val="0"/>
                      <w:szCs w:val="21"/>
                    </w:rPr>
                  </w:pPr>
                  <w:r>
                    <w:rPr>
                      <w:rFonts w:hint="eastAsia" w:ascii="Times New Roman" w:hAnsi="Times New Roman" w:cs="Times New Roman"/>
                      <w:b w:val="0"/>
                      <w:bCs w:val="0"/>
                      <w:color w:val="auto"/>
                      <w:kern w:val="0"/>
                      <w:szCs w:val="21"/>
                      <w:lang w:val="en-US" w:eastAsia="zh-CN"/>
                    </w:rPr>
                    <w:t>m</w:t>
                  </w:r>
                  <w:r>
                    <w:rPr>
                      <w:rFonts w:hint="default" w:ascii="Times New Roman" w:hAnsi="Times New Roman" w:cs="Times New Roman"/>
                      <w:b w:val="0"/>
                      <w:bCs w:val="0"/>
                      <w:color w:val="auto"/>
                      <w:kern w:val="0"/>
                      <w:szCs w:val="21"/>
                    </w:rPr>
                    <w:t>g/m</w:t>
                  </w:r>
                  <w:r>
                    <w:rPr>
                      <w:rFonts w:hint="default" w:ascii="Times New Roman" w:hAnsi="Times New Roman" w:cs="Times New Roman"/>
                      <w:b w:val="0"/>
                      <w:bCs w:val="0"/>
                      <w:color w:val="auto"/>
                      <w:kern w:val="0"/>
                      <w:szCs w:val="21"/>
                      <w:vertAlign w:val="superscript"/>
                    </w:rPr>
                    <w:t>3</w:t>
                  </w:r>
                </w:p>
              </w:tc>
              <w:tc>
                <w:tcPr>
                  <w:tcW w:w="768" w:type="pct"/>
                  <w:vAlign w:val="center"/>
                </w:tcPr>
                <w:p w14:paraId="0BF872C0">
                  <w:pPr>
                    <w:pStyle w:val="16"/>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22.5</w:t>
                  </w:r>
                </w:p>
              </w:tc>
              <w:tc>
                <w:tcPr>
                  <w:tcW w:w="691" w:type="pct"/>
                  <w:vAlign w:val="center"/>
                </w:tcPr>
                <w:p w14:paraId="74BB3253">
                  <w:pPr>
                    <w:pStyle w:val="16"/>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达标</w:t>
                  </w:r>
                </w:p>
              </w:tc>
            </w:tr>
            <w:tr w14:paraId="1D23D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32" w:type="pct"/>
                  <w:vAlign w:val="center"/>
                </w:tcPr>
                <w:p w14:paraId="31ECE78C">
                  <w:pPr>
                    <w:pStyle w:val="16"/>
                    <w:keepNext w:val="0"/>
                    <w:keepLines w:val="0"/>
                    <w:pageBreakBefore w:val="0"/>
                    <w:widowControl w:val="0"/>
                    <w:kinsoku/>
                    <w:wordWrap/>
                    <w:overflowPunct/>
                    <w:topLinePunct w:val="0"/>
                    <w:autoSpaceDE/>
                    <w:autoSpaceDN/>
                    <w:bidi w:val="0"/>
                    <w:adjustRightInd/>
                    <w:snapToGrid/>
                    <w:ind w:left="0"/>
                    <w:jc w:val="center"/>
                    <w:textAlignment w:val="auto"/>
                    <w:rPr>
                      <w:rFonts w:hint="eastAsia"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O</w:t>
                  </w:r>
                  <w:r>
                    <w:rPr>
                      <w:rFonts w:hint="eastAsia" w:ascii="Times New Roman" w:hAnsi="Times New Roman" w:cs="Times New Roman"/>
                      <w:vertAlign w:val="subscript"/>
                      <w:lang w:val="en-US" w:eastAsia="zh-CN"/>
                    </w:rPr>
                    <w:t>3</w:t>
                  </w:r>
                  <w:r>
                    <w:rPr>
                      <w:rFonts w:hint="eastAsia" w:ascii="Times New Roman" w:hAnsi="Times New Roman" w:cs="Times New Roman"/>
                      <w:vertAlign w:val="baseline"/>
                      <w:lang w:val="en-US" w:eastAsia="zh-CN"/>
                    </w:rPr>
                    <w:t>日最大8h平均浓度第90百分位</w:t>
                  </w:r>
                </w:p>
              </w:tc>
              <w:tc>
                <w:tcPr>
                  <w:tcW w:w="611" w:type="pct"/>
                  <w:vAlign w:val="center"/>
                </w:tcPr>
                <w:p w14:paraId="73C4988C">
                  <w:pPr>
                    <w:pStyle w:val="16"/>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133</w:t>
                  </w:r>
                </w:p>
              </w:tc>
              <w:tc>
                <w:tcPr>
                  <w:tcW w:w="949" w:type="pct"/>
                  <w:vAlign w:val="center"/>
                </w:tcPr>
                <w:p w14:paraId="5F4D2FD8">
                  <w:pPr>
                    <w:pStyle w:val="16"/>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160</w:t>
                  </w:r>
                </w:p>
              </w:tc>
              <w:tc>
                <w:tcPr>
                  <w:tcW w:w="545" w:type="pct"/>
                  <w:vAlign w:val="center"/>
                </w:tcPr>
                <w:p w14:paraId="0377678C">
                  <w:pPr>
                    <w:pStyle w:val="16"/>
                    <w:keepNext w:val="0"/>
                    <w:keepLines w:val="0"/>
                    <w:pageBreakBefore w:val="0"/>
                    <w:widowControl w:val="0"/>
                    <w:kinsoku/>
                    <w:wordWrap/>
                    <w:overflowPunct/>
                    <w:topLinePunct w:val="0"/>
                    <w:autoSpaceDE/>
                    <w:autoSpaceDN/>
                    <w:bidi w:val="0"/>
                    <w:adjustRightInd/>
                    <w:snapToGrid/>
                    <w:ind w:left="0"/>
                    <w:jc w:val="center"/>
                    <w:textAlignment w:val="auto"/>
                    <w:rPr>
                      <w:rFonts w:hint="eastAsia" w:ascii="Times New Roman" w:hAnsi="Times New Roman" w:cs="Times New Roman"/>
                      <w:b w:val="0"/>
                      <w:bCs w:val="0"/>
                      <w:color w:val="auto"/>
                      <w:kern w:val="0"/>
                      <w:szCs w:val="21"/>
                      <w:lang w:val="en-US" w:eastAsia="zh-CN"/>
                    </w:rPr>
                  </w:pPr>
                  <w:r>
                    <w:rPr>
                      <w:rFonts w:hint="default" w:ascii="Times New Roman" w:hAnsi="Times New Roman" w:cs="Times New Roman"/>
                      <w:b w:val="0"/>
                      <w:bCs w:val="0"/>
                      <w:color w:val="auto"/>
                      <w:kern w:val="0"/>
                      <w:szCs w:val="21"/>
                    </w:rPr>
                    <w:t>μg/m</w:t>
                  </w:r>
                  <w:r>
                    <w:rPr>
                      <w:rFonts w:hint="default" w:ascii="Times New Roman" w:hAnsi="Times New Roman" w:cs="Times New Roman"/>
                      <w:b w:val="0"/>
                      <w:bCs w:val="0"/>
                      <w:color w:val="auto"/>
                      <w:kern w:val="0"/>
                      <w:szCs w:val="21"/>
                      <w:vertAlign w:val="superscript"/>
                    </w:rPr>
                    <w:t>3</w:t>
                  </w:r>
                </w:p>
              </w:tc>
              <w:tc>
                <w:tcPr>
                  <w:tcW w:w="768" w:type="pct"/>
                  <w:vAlign w:val="center"/>
                </w:tcPr>
                <w:p w14:paraId="0DC47937">
                  <w:pPr>
                    <w:pStyle w:val="16"/>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83.13</w:t>
                  </w:r>
                </w:p>
              </w:tc>
              <w:tc>
                <w:tcPr>
                  <w:tcW w:w="691" w:type="pct"/>
                  <w:vAlign w:val="center"/>
                </w:tcPr>
                <w:p w14:paraId="7803F498">
                  <w:pPr>
                    <w:pStyle w:val="16"/>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达标</w:t>
                  </w:r>
                </w:p>
              </w:tc>
            </w:tr>
          </w:tbl>
          <w:p w14:paraId="452004AC">
            <w:pPr>
              <w:pStyle w:val="45"/>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bCs/>
                <w:color w:val="auto"/>
                <w:sz w:val="24"/>
              </w:rPr>
            </w:pPr>
            <w:r>
              <w:rPr>
                <w:rFonts w:hint="default" w:ascii="Times New Roman" w:hAnsi="Times New Roman" w:cs="Times New Roman"/>
                <w:bCs/>
                <w:color w:val="auto"/>
                <w:sz w:val="24"/>
              </w:rPr>
              <w:t>综上，环境空气中PM</w:t>
            </w:r>
            <w:r>
              <w:rPr>
                <w:rFonts w:hint="default" w:ascii="Times New Roman" w:hAnsi="Times New Roman" w:cs="Times New Roman"/>
                <w:bCs/>
                <w:color w:val="auto"/>
                <w:sz w:val="24"/>
                <w:vertAlign w:val="subscript"/>
              </w:rPr>
              <w:t>10</w:t>
            </w:r>
            <w:r>
              <w:rPr>
                <w:rFonts w:hint="default" w:ascii="Times New Roman" w:hAnsi="Times New Roman" w:cs="Times New Roman"/>
                <w:bCs/>
                <w:color w:val="auto"/>
                <w:sz w:val="24"/>
              </w:rPr>
              <w:t>、PM</w:t>
            </w:r>
            <w:r>
              <w:rPr>
                <w:rFonts w:hint="default" w:ascii="Times New Roman" w:hAnsi="Times New Roman" w:cs="Times New Roman"/>
                <w:bCs/>
                <w:color w:val="auto"/>
                <w:sz w:val="24"/>
                <w:vertAlign w:val="subscript"/>
              </w:rPr>
              <w:t>2.5</w:t>
            </w:r>
            <w:r>
              <w:rPr>
                <w:rFonts w:hint="default" w:ascii="Times New Roman" w:hAnsi="Times New Roman" w:cs="Times New Roman"/>
                <w:bCs/>
                <w:color w:val="auto"/>
                <w:sz w:val="24"/>
              </w:rPr>
              <w:t>、SO</w:t>
            </w:r>
            <w:r>
              <w:rPr>
                <w:rFonts w:hint="default" w:ascii="Times New Roman" w:hAnsi="Times New Roman" w:cs="Times New Roman"/>
                <w:bCs/>
                <w:color w:val="auto"/>
                <w:sz w:val="24"/>
                <w:vertAlign w:val="subscript"/>
              </w:rPr>
              <w:t>2</w:t>
            </w:r>
            <w:r>
              <w:rPr>
                <w:rFonts w:hint="default" w:ascii="Times New Roman" w:hAnsi="Times New Roman" w:cs="Times New Roman"/>
                <w:bCs/>
                <w:color w:val="auto"/>
                <w:sz w:val="24"/>
              </w:rPr>
              <w:t>、NO</w:t>
            </w:r>
            <w:r>
              <w:rPr>
                <w:rFonts w:hint="default" w:ascii="Times New Roman" w:hAnsi="Times New Roman" w:cs="Times New Roman"/>
                <w:bCs/>
                <w:color w:val="auto"/>
                <w:sz w:val="24"/>
                <w:vertAlign w:val="subscript"/>
              </w:rPr>
              <w:t>2</w:t>
            </w:r>
            <w:r>
              <w:rPr>
                <w:rFonts w:hint="default" w:ascii="Times New Roman" w:hAnsi="Times New Roman" w:cs="Times New Roman"/>
                <w:bCs/>
                <w:color w:val="auto"/>
                <w:sz w:val="24"/>
              </w:rPr>
              <w:t>年平均浓度、CO日平均第95百分位数质量浓度、O</w:t>
            </w:r>
            <w:r>
              <w:rPr>
                <w:rFonts w:hint="default" w:ascii="Times New Roman" w:hAnsi="Times New Roman" w:cs="Times New Roman"/>
                <w:bCs/>
                <w:color w:val="auto"/>
                <w:sz w:val="24"/>
                <w:vertAlign w:val="subscript"/>
              </w:rPr>
              <w:t>3</w:t>
            </w:r>
            <w:r>
              <w:rPr>
                <w:rFonts w:hint="default" w:ascii="Times New Roman" w:hAnsi="Times New Roman" w:cs="Times New Roman"/>
                <w:bCs/>
                <w:color w:val="auto"/>
                <w:sz w:val="24"/>
              </w:rPr>
              <w:t>日最大8h平均浓度第90百分位满足《环境空气质量标准》（GB 3095-2012）中二级标准限值的要求，项目区域属于达标区。</w:t>
            </w:r>
          </w:p>
          <w:p w14:paraId="16E90627">
            <w:pPr>
              <w:pStyle w:val="45"/>
              <w:widowControl w:val="0"/>
              <w:ind w:firstLine="480"/>
              <w:rPr>
                <w:rFonts w:hint="default" w:ascii="Times New Roman" w:hAnsi="Times New Roman" w:cs="Times New Roman"/>
                <w:b/>
                <w:bCs w:val="0"/>
                <w:color w:val="auto"/>
                <w:sz w:val="24"/>
              </w:rPr>
            </w:pPr>
            <w:r>
              <w:rPr>
                <w:rFonts w:hint="default" w:ascii="Times New Roman" w:hAnsi="Times New Roman" w:cs="Times New Roman"/>
                <w:b/>
                <w:bCs w:val="0"/>
                <w:color w:val="auto"/>
                <w:sz w:val="24"/>
              </w:rPr>
              <w:t>2、地表水环境</w:t>
            </w:r>
          </w:p>
          <w:p w14:paraId="6BAB1760">
            <w:pPr>
              <w:pStyle w:val="45"/>
              <w:widowControl w:val="0"/>
              <w:ind w:firstLine="480"/>
              <w:rPr>
                <w:rFonts w:hint="default" w:ascii="Times New Roman" w:hAnsi="Times New Roman" w:cs="Times New Roman"/>
                <w:bCs/>
                <w:color w:val="auto"/>
                <w:sz w:val="24"/>
              </w:rPr>
            </w:pPr>
            <w:r>
              <w:rPr>
                <w:rFonts w:hint="default" w:ascii="Times New Roman" w:hAnsi="Times New Roman" w:cs="Times New Roman"/>
                <w:bCs/>
                <w:color w:val="auto"/>
                <w:sz w:val="24"/>
              </w:rPr>
              <w:t>根据霍山县《2024年霍山县环境质量报告》中的数据，2024年霍山县地表水总体水质状况为优，12个国省监测断面水质均达到地表水Ⅱ类标准，达标率 100%。与去年同期相比</w:t>
            </w:r>
            <w:r>
              <w:rPr>
                <w:rFonts w:hint="eastAsia" w:cs="Times New Roman"/>
                <w:bCs/>
                <w:color w:val="auto"/>
                <w:sz w:val="24"/>
                <w:lang w:eastAsia="zh-CN"/>
              </w:rPr>
              <w:t>，</w:t>
            </w:r>
            <w:r>
              <w:rPr>
                <w:rFonts w:hint="default" w:ascii="Times New Roman" w:hAnsi="Times New Roman" w:cs="Times New Roman"/>
                <w:bCs/>
                <w:color w:val="auto"/>
                <w:sz w:val="24"/>
              </w:rPr>
              <w:t>水质状况无明显变化。因此，项目所在区域地表水各监测断面水质均能够满足《地表水环境质量标准》（GB3838-2002）中Ⅱ、Ⅲ类标准限制的要求，地表水环境质量较好。</w:t>
            </w:r>
          </w:p>
          <w:p w14:paraId="11F4E5EA">
            <w:pPr>
              <w:pStyle w:val="45"/>
              <w:widowControl w:val="0"/>
              <w:ind w:firstLine="480"/>
              <w:rPr>
                <w:rFonts w:hint="default" w:ascii="Times New Roman" w:hAnsi="Times New Roman" w:cs="Times New Roman"/>
                <w:b/>
                <w:bCs w:val="0"/>
                <w:color w:val="auto"/>
                <w:sz w:val="24"/>
              </w:rPr>
            </w:pPr>
            <w:r>
              <w:rPr>
                <w:rFonts w:hint="eastAsia" w:cs="Times New Roman"/>
                <w:b/>
                <w:bCs w:val="0"/>
                <w:color w:val="auto"/>
                <w:sz w:val="24"/>
                <w:lang w:val="en-US" w:eastAsia="zh-CN"/>
              </w:rPr>
              <w:t>3</w:t>
            </w:r>
            <w:r>
              <w:rPr>
                <w:rFonts w:hint="default" w:ascii="Times New Roman" w:hAnsi="Times New Roman" w:cs="Times New Roman"/>
                <w:b/>
                <w:bCs w:val="0"/>
                <w:color w:val="auto"/>
                <w:sz w:val="24"/>
              </w:rPr>
              <w:t>、</w:t>
            </w:r>
            <w:r>
              <w:rPr>
                <w:rFonts w:hint="eastAsia" w:cs="Times New Roman"/>
                <w:b/>
                <w:bCs w:val="0"/>
                <w:color w:val="auto"/>
                <w:sz w:val="24"/>
                <w:lang w:val="en-US" w:eastAsia="zh-CN"/>
              </w:rPr>
              <w:t>声</w:t>
            </w:r>
            <w:r>
              <w:rPr>
                <w:rFonts w:hint="default" w:ascii="Times New Roman" w:hAnsi="Times New Roman" w:cs="Times New Roman"/>
                <w:b/>
                <w:bCs w:val="0"/>
                <w:color w:val="auto"/>
                <w:sz w:val="24"/>
              </w:rPr>
              <w:t>环境</w:t>
            </w:r>
          </w:p>
          <w:p w14:paraId="0E1DE22E">
            <w:pPr>
              <w:pStyle w:val="23"/>
              <w:adjustRightInd w:val="0"/>
              <w:snapToGrid w:val="0"/>
              <w:spacing w:before="0" w:beforeAutospacing="0" w:after="0" w:afterAutospacing="0" w:line="360" w:lineRule="auto"/>
              <w:ind w:firstLine="420"/>
              <w:rPr>
                <w:color w:val="auto"/>
                <w:sz w:val="24"/>
                <w:szCs w:val="24"/>
              </w:rPr>
            </w:pPr>
            <w:r>
              <w:rPr>
                <w:rFonts w:hint="eastAsia" w:ascii="Times New Roman" w:hAnsi="Times New Roman" w:eastAsia="宋体" w:cs="Times New Roman"/>
                <w:snapToGrid w:val="0"/>
                <w:color w:val="000000"/>
                <w:kern w:val="0"/>
                <w:sz w:val="24"/>
                <w:szCs w:val="21"/>
              </w:rPr>
              <w:t>本项目位于六安</w:t>
            </w:r>
            <w:r>
              <w:rPr>
                <w:rFonts w:hint="eastAsia" w:ascii="Times New Roman" w:hAnsi="Times New Roman" w:eastAsia="宋体" w:cs="Times New Roman"/>
                <w:snapToGrid w:val="0"/>
                <w:color w:val="000000"/>
                <w:kern w:val="0"/>
                <w:sz w:val="24"/>
                <w:szCs w:val="21"/>
                <w:lang w:eastAsia="zh-CN"/>
              </w:rPr>
              <w:t>市霍山县诸佛庵镇狮山村</w:t>
            </w:r>
            <w:r>
              <w:rPr>
                <w:rFonts w:hint="eastAsia" w:cs="Times New Roman"/>
                <w:snapToGrid w:val="0"/>
                <w:color w:val="000000"/>
                <w:kern w:val="0"/>
                <w:sz w:val="24"/>
                <w:szCs w:val="21"/>
                <w:lang w:val="en-US" w:eastAsia="zh-CN"/>
              </w:rPr>
              <w:t>穆家畈组</w:t>
            </w:r>
            <w:r>
              <w:rPr>
                <w:rFonts w:hint="eastAsia" w:ascii="Times New Roman" w:hAnsi="Times New Roman" w:eastAsia="宋体" w:cs="Times New Roman"/>
                <w:snapToGrid w:val="0"/>
                <w:color w:val="000000"/>
                <w:kern w:val="0"/>
                <w:sz w:val="24"/>
                <w:szCs w:val="21"/>
              </w:rPr>
              <w:t>，</w:t>
            </w:r>
            <w:r>
              <w:rPr>
                <w:rFonts w:ascii="宋体" w:hAnsi="宋体" w:eastAsia="宋体" w:cs="Times New Roman"/>
                <w:sz w:val="24"/>
              </w:rPr>
              <w:t>根</w:t>
            </w:r>
            <w:r>
              <w:rPr>
                <w:rFonts w:hint="eastAsia"/>
                <w:color w:val="auto"/>
                <w:sz w:val="24"/>
                <w:szCs w:val="24"/>
                <w:lang w:eastAsia="zh-CN"/>
              </w:rPr>
              <w:t>据现场勘察，根据《建设项目环境影响报告表编制技术指南（污染影响类）》（试行）中区域环境现状布点要求。本次评价建设单位</w:t>
            </w:r>
            <w:r>
              <w:rPr>
                <w:rFonts w:hint="eastAsia"/>
                <w:color w:val="auto"/>
                <w:sz w:val="24"/>
                <w:szCs w:val="24"/>
                <w:lang w:val="en-US" w:eastAsia="zh-CN"/>
              </w:rPr>
              <w:t>委托六安青翠环保</w:t>
            </w:r>
            <w:r>
              <w:rPr>
                <w:rFonts w:hint="eastAsia"/>
                <w:color w:val="auto"/>
                <w:sz w:val="24"/>
                <w:szCs w:val="24"/>
                <w:lang w:eastAsia="zh-CN"/>
              </w:rPr>
              <w:t>科技有限公司</w:t>
            </w:r>
            <w:r>
              <w:rPr>
                <w:rFonts w:hint="eastAsia"/>
                <w:color w:val="auto"/>
                <w:sz w:val="24"/>
                <w:szCs w:val="24"/>
                <w:lang w:val="en-US" w:eastAsia="zh-CN"/>
              </w:rPr>
              <w:t>于</w:t>
            </w:r>
            <w:r>
              <w:rPr>
                <w:rFonts w:hint="eastAsia"/>
                <w:color w:val="auto"/>
                <w:sz w:val="24"/>
                <w:szCs w:val="24"/>
                <w:lang w:eastAsia="zh-CN"/>
              </w:rPr>
              <w:t>20</w:t>
            </w:r>
            <w:r>
              <w:rPr>
                <w:rFonts w:hint="eastAsia"/>
                <w:color w:val="auto"/>
                <w:sz w:val="24"/>
                <w:szCs w:val="24"/>
                <w:lang w:val="en-US" w:eastAsia="zh-CN"/>
              </w:rPr>
              <w:t>25</w:t>
            </w:r>
            <w:r>
              <w:rPr>
                <w:rFonts w:hint="eastAsia"/>
                <w:color w:val="auto"/>
                <w:sz w:val="24"/>
                <w:szCs w:val="24"/>
                <w:lang w:eastAsia="zh-CN"/>
              </w:rPr>
              <w:t>年</w:t>
            </w:r>
            <w:r>
              <w:rPr>
                <w:rFonts w:hint="eastAsia"/>
                <w:color w:val="auto"/>
                <w:sz w:val="24"/>
                <w:szCs w:val="24"/>
                <w:lang w:val="en-US" w:eastAsia="zh-CN"/>
              </w:rPr>
              <w:t>12</w:t>
            </w:r>
            <w:r>
              <w:rPr>
                <w:rFonts w:hint="eastAsia"/>
                <w:color w:val="auto"/>
                <w:sz w:val="24"/>
                <w:szCs w:val="24"/>
                <w:lang w:eastAsia="zh-CN"/>
              </w:rPr>
              <w:t>月</w:t>
            </w:r>
            <w:r>
              <w:rPr>
                <w:rFonts w:hint="eastAsia"/>
                <w:color w:val="auto"/>
                <w:sz w:val="24"/>
                <w:szCs w:val="24"/>
                <w:lang w:val="en-US" w:eastAsia="zh-CN"/>
              </w:rPr>
              <w:t>26</w:t>
            </w:r>
            <w:r>
              <w:rPr>
                <w:rFonts w:hint="eastAsia"/>
                <w:color w:val="auto"/>
                <w:sz w:val="24"/>
                <w:szCs w:val="24"/>
                <w:lang w:eastAsia="zh-CN"/>
              </w:rPr>
              <w:t>日对周围厂界及敏感点</w:t>
            </w:r>
            <w:r>
              <w:rPr>
                <w:color w:val="auto"/>
                <w:sz w:val="24"/>
                <w:szCs w:val="24"/>
                <w:lang w:eastAsia="zh-CN"/>
              </w:rPr>
              <w:t>声环境质量</w:t>
            </w:r>
            <w:r>
              <w:rPr>
                <w:rFonts w:hint="eastAsia"/>
                <w:color w:val="auto"/>
                <w:sz w:val="24"/>
                <w:szCs w:val="24"/>
                <w:lang w:eastAsia="zh-CN"/>
              </w:rPr>
              <w:t>做出监测，具体数值见下表：</w:t>
            </w:r>
          </w:p>
          <w:p w14:paraId="28692CC5">
            <w:pPr>
              <w:snapToGrid w:val="0"/>
              <w:spacing w:line="360" w:lineRule="auto"/>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w:t>
            </w:r>
            <w:r>
              <w:rPr>
                <w:rFonts w:hint="eastAsia" w:ascii="Times New Roman" w:hAnsi="Times New Roman" w:eastAsia="宋体" w:cs="Times New Roman"/>
                <w:b/>
                <w:bCs/>
                <w:color w:val="auto"/>
                <w:sz w:val="24"/>
              </w:rPr>
              <w:t>3-</w:t>
            </w:r>
            <w:r>
              <w:rPr>
                <w:rFonts w:hint="eastAsia" w:cs="Times New Roman"/>
                <w:b/>
                <w:bCs/>
                <w:color w:val="auto"/>
                <w:sz w:val="24"/>
                <w:lang w:val="en-US" w:eastAsia="zh-CN"/>
              </w:rPr>
              <w:t>2</w:t>
            </w:r>
            <w:r>
              <w:rPr>
                <w:rFonts w:hint="eastAsia" w:ascii="Times New Roman" w:hAnsi="Times New Roman" w:eastAsia="宋体" w:cs="Times New Roman"/>
                <w:b/>
                <w:bCs/>
                <w:color w:val="auto"/>
                <w:sz w:val="24"/>
                <w:lang w:val="en-US" w:eastAsia="zh-CN"/>
              </w:rPr>
              <w:t xml:space="preserve">  </w:t>
            </w:r>
            <w:r>
              <w:rPr>
                <w:rFonts w:hint="default" w:ascii="Times New Roman" w:hAnsi="Times New Roman" w:eastAsia="宋体" w:cs="Times New Roman"/>
                <w:b/>
                <w:bCs/>
                <w:color w:val="auto"/>
                <w:sz w:val="24"/>
              </w:rPr>
              <w:t>项目区域噪声监测结果一览表单位：dB（A）</w:t>
            </w:r>
          </w:p>
          <w:tbl>
            <w:tblPr>
              <w:tblStyle w:val="26"/>
              <w:tblW w:w="83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6"/>
              <w:gridCol w:w="1301"/>
              <w:gridCol w:w="1988"/>
              <w:gridCol w:w="1060"/>
              <w:gridCol w:w="1340"/>
              <w:gridCol w:w="1333"/>
            </w:tblGrid>
            <w:tr w14:paraId="40E8F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1316" w:type="dxa"/>
                  <w:vMerge w:val="restart"/>
                  <w:noWrap w:val="0"/>
                  <w:vAlign w:val="center"/>
                </w:tcPr>
                <w:p w14:paraId="63274282">
                  <w:pPr>
                    <w:spacing w:line="240" w:lineRule="auto"/>
                    <w:jc w:val="center"/>
                    <w:rPr>
                      <w:rFonts w:hint="eastAsia"/>
                      <w:color w:val="auto"/>
                      <w:sz w:val="21"/>
                      <w:szCs w:val="21"/>
                      <w:lang w:val="en-US" w:eastAsia="zh-CN"/>
                    </w:rPr>
                  </w:pPr>
                  <w:r>
                    <w:rPr>
                      <w:rFonts w:hint="eastAsia"/>
                      <w:color w:val="auto"/>
                      <w:sz w:val="21"/>
                      <w:szCs w:val="21"/>
                      <w:lang w:val="en-US" w:eastAsia="zh-CN"/>
                    </w:rPr>
                    <w:t>受检单位名称</w:t>
                  </w:r>
                </w:p>
              </w:tc>
              <w:tc>
                <w:tcPr>
                  <w:tcW w:w="1301" w:type="dxa"/>
                  <w:vMerge w:val="restart"/>
                  <w:noWrap w:val="0"/>
                  <w:vAlign w:val="center"/>
                </w:tcPr>
                <w:p w14:paraId="00574924">
                  <w:pPr>
                    <w:spacing w:line="240" w:lineRule="auto"/>
                    <w:jc w:val="center"/>
                    <w:rPr>
                      <w:rFonts w:hint="eastAsia"/>
                      <w:color w:val="auto"/>
                      <w:sz w:val="21"/>
                      <w:szCs w:val="21"/>
                      <w:lang w:val="en-US" w:eastAsia="zh-CN"/>
                    </w:rPr>
                  </w:pPr>
                  <w:r>
                    <w:rPr>
                      <w:rFonts w:hint="eastAsia"/>
                      <w:color w:val="auto"/>
                      <w:sz w:val="21"/>
                      <w:szCs w:val="21"/>
                      <w:lang w:val="en-US" w:eastAsia="zh-CN"/>
                    </w:rPr>
                    <w:t>检测时间</w:t>
                  </w:r>
                </w:p>
              </w:tc>
              <w:tc>
                <w:tcPr>
                  <w:tcW w:w="1988" w:type="dxa"/>
                  <w:vMerge w:val="restart"/>
                  <w:noWrap w:val="0"/>
                  <w:vAlign w:val="center"/>
                </w:tcPr>
                <w:p w14:paraId="22FEFAB8">
                  <w:pPr>
                    <w:spacing w:line="240" w:lineRule="auto"/>
                    <w:jc w:val="center"/>
                    <w:rPr>
                      <w:rFonts w:hint="eastAsia"/>
                      <w:color w:val="auto"/>
                      <w:sz w:val="21"/>
                      <w:szCs w:val="21"/>
                      <w:lang w:val="en-US" w:eastAsia="zh-CN"/>
                    </w:rPr>
                  </w:pPr>
                  <w:r>
                    <w:rPr>
                      <w:rFonts w:hint="eastAsia"/>
                      <w:color w:val="auto"/>
                      <w:sz w:val="21"/>
                      <w:szCs w:val="21"/>
                      <w:lang w:val="en-US" w:eastAsia="zh-CN"/>
                    </w:rPr>
                    <w:t>检测点位</w:t>
                  </w:r>
                </w:p>
              </w:tc>
              <w:tc>
                <w:tcPr>
                  <w:tcW w:w="1060" w:type="dxa"/>
                  <w:vMerge w:val="restart"/>
                  <w:noWrap w:val="0"/>
                  <w:vAlign w:val="center"/>
                </w:tcPr>
                <w:p w14:paraId="7AD769B2">
                  <w:pPr>
                    <w:spacing w:line="240" w:lineRule="auto"/>
                    <w:jc w:val="center"/>
                    <w:rPr>
                      <w:rFonts w:hint="eastAsia"/>
                      <w:color w:val="auto"/>
                      <w:sz w:val="21"/>
                      <w:szCs w:val="21"/>
                      <w:lang w:val="en-US" w:eastAsia="zh-CN"/>
                    </w:rPr>
                  </w:pPr>
                  <w:r>
                    <w:rPr>
                      <w:rFonts w:hint="eastAsia"/>
                      <w:color w:val="auto"/>
                      <w:sz w:val="21"/>
                      <w:szCs w:val="21"/>
                      <w:lang w:val="en-US" w:eastAsia="zh-CN"/>
                    </w:rPr>
                    <w:t>检测项目</w:t>
                  </w:r>
                </w:p>
              </w:tc>
              <w:tc>
                <w:tcPr>
                  <w:tcW w:w="2673" w:type="dxa"/>
                  <w:gridSpan w:val="2"/>
                  <w:noWrap w:val="0"/>
                  <w:vAlign w:val="center"/>
                </w:tcPr>
                <w:p w14:paraId="54C31633">
                  <w:pPr>
                    <w:spacing w:line="240" w:lineRule="auto"/>
                    <w:jc w:val="center"/>
                    <w:rPr>
                      <w:rFonts w:hint="eastAsia"/>
                      <w:color w:val="auto"/>
                      <w:sz w:val="21"/>
                      <w:szCs w:val="21"/>
                      <w:lang w:val="en-US" w:eastAsia="zh-CN"/>
                    </w:rPr>
                  </w:pPr>
                  <w:r>
                    <w:rPr>
                      <w:rFonts w:hint="eastAsia"/>
                      <w:color w:val="auto"/>
                      <w:sz w:val="21"/>
                      <w:szCs w:val="21"/>
                      <w:lang w:val="en-US" w:eastAsia="zh-CN"/>
                    </w:rPr>
                    <w:t>检测结果（Leq，dB(A)）</w:t>
                  </w:r>
                </w:p>
              </w:tc>
            </w:tr>
            <w:tr w14:paraId="0408C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1316" w:type="dxa"/>
                  <w:vMerge w:val="continue"/>
                  <w:noWrap w:val="0"/>
                  <w:vAlign w:val="center"/>
                </w:tcPr>
                <w:p w14:paraId="2AF35B2F">
                  <w:pPr>
                    <w:spacing w:line="240" w:lineRule="auto"/>
                    <w:jc w:val="center"/>
                    <w:rPr>
                      <w:rFonts w:hint="eastAsia"/>
                      <w:color w:val="auto"/>
                      <w:sz w:val="21"/>
                      <w:szCs w:val="21"/>
                      <w:lang w:val="en-US" w:eastAsia="zh-CN"/>
                    </w:rPr>
                  </w:pPr>
                </w:p>
              </w:tc>
              <w:tc>
                <w:tcPr>
                  <w:tcW w:w="1301" w:type="dxa"/>
                  <w:vMerge w:val="continue"/>
                  <w:noWrap w:val="0"/>
                  <w:vAlign w:val="center"/>
                </w:tcPr>
                <w:p w14:paraId="2235367D">
                  <w:pPr>
                    <w:spacing w:line="240" w:lineRule="auto"/>
                    <w:jc w:val="center"/>
                    <w:rPr>
                      <w:rFonts w:hint="eastAsia"/>
                      <w:color w:val="auto"/>
                      <w:sz w:val="21"/>
                      <w:szCs w:val="21"/>
                      <w:lang w:val="en-US" w:eastAsia="zh-CN"/>
                    </w:rPr>
                  </w:pPr>
                </w:p>
              </w:tc>
              <w:tc>
                <w:tcPr>
                  <w:tcW w:w="1988" w:type="dxa"/>
                  <w:vMerge w:val="continue"/>
                  <w:noWrap w:val="0"/>
                  <w:vAlign w:val="center"/>
                </w:tcPr>
                <w:p w14:paraId="6682D771">
                  <w:pPr>
                    <w:spacing w:line="240" w:lineRule="auto"/>
                    <w:jc w:val="center"/>
                    <w:rPr>
                      <w:rFonts w:hint="eastAsia"/>
                      <w:color w:val="auto"/>
                      <w:sz w:val="21"/>
                      <w:szCs w:val="21"/>
                      <w:lang w:val="en-US" w:eastAsia="zh-CN"/>
                    </w:rPr>
                  </w:pPr>
                </w:p>
              </w:tc>
              <w:tc>
                <w:tcPr>
                  <w:tcW w:w="1060" w:type="dxa"/>
                  <w:vMerge w:val="continue"/>
                  <w:noWrap w:val="0"/>
                  <w:vAlign w:val="center"/>
                </w:tcPr>
                <w:p w14:paraId="6E583C71">
                  <w:pPr>
                    <w:spacing w:line="240" w:lineRule="auto"/>
                    <w:jc w:val="center"/>
                    <w:rPr>
                      <w:rFonts w:hint="eastAsia"/>
                      <w:color w:val="auto"/>
                      <w:sz w:val="21"/>
                      <w:szCs w:val="21"/>
                      <w:lang w:val="en-US" w:eastAsia="zh-CN"/>
                    </w:rPr>
                  </w:pPr>
                </w:p>
              </w:tc>
              <w:tc>
                <w:tcPr>
                  <w:tcW w:w="1340" w:type="dxa"/>
                  <w:noWrap w:val="0"/>
                  <w:vAlign w:val="center"/>
                </w:tcPr>
                <w:p w14:paraId="648F6C74">
                  <w:pPr>
                    <w:spacing w:line="240" w:lineRule="auto"/>
                    <w:jc w:val="center"/>
                    <w:rPr>
                      <w:rFonts w:hint="eastAsia"/>
                      <w:color w:val="auto"/>
                      <w:sz w:val="21"/>
                      <w:szCs w:val="21"/>
                      <w:lang w:val="en-US" w:eastAsia="zh-CN"/>
                    </w:rPr>
                  </w:pPr>
                  <w:r>
                    <w:rPr>
                      <w:rFonts w:hint="eastAsia"/>
                      <w:color w:val="auto"/>
                      <w:sz w:val="21"/>
                      <w:szCs w:val="21"/>
                      <w:lang w:val="en-US" w:eastAsia="zh-CN"/>
                    </w:rPr>
                    <w:t>昼间</w:t>
                  </w:r>
                </w:p>
              </w:tc>
              <w:tc>
                <w:tcPr>
                  <w:tcW w:w="1333" w:type="dxa"/>
                  <w:noWrap w:val="0"/>
                  <w:vAlign w:val="center"/>
                </w:tcPr>
                <w:p w14:paraId="5B7AAAEA">
                  <w:pPr>
                    <w:spacing w:line="240" w:lineRule="auto"/>
                    <w:jc w:val="center"/>
                    <w:rPr>
                      <w:rFonts w:hint="eastAsia"/>
                      <w:color w:val="auto"/>
                      <w:sz w:val="21"/>
                      <w:szCs w:val="21"/>
                      <w:lang w:val="en-US" w:eastAsia="zh-CN"/>
                    </w:rPr>
                  </w:pPr>
                  <w:r>
                    <w:rPr>
                      <w:rFonts w:hint="eastAsia"/>
                      <w:color w:val="auto"/>
                      <w:sz w:val="21"/>
                      <w:szCs w:val="21"/>
                      <w:lang w:val="en-US" w:eastAsia="zh-CN"/>
                    </w:rPr>
                    <w:t>夜间</w:t>
                  </w:r>
                </w:p>
              </w:tc>
            </w:tr>
            <w:tr w14:paraId="52E42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exact"/>
              </w:trPr>
              <w:tc>
                <w:tcPr>
                  <w:tcW w:w="1316" w:type="dxa"/>
                  <w:vMerge w:val="restart"/>
                  <w:noWrap w:val="0"/>
                  <w:vAlign w:val="center"/>
                </w:tcPr>
                <w:p w14:paraId="6810F42B">
                  <w:pPr>
                    <w:spacing w:line="360" w:lineRule="auto"/>
                    <w:jc w:val="center"/>
                    <w:rPr>
                      <w:rFonts w:hint="default"/>
                      <w:color w:val="auto"/>
                      <w:sz w:val="21"/>
                      <w:szCs w:val="21"/>
                      <w:lang w:val="en-US" w:eastAsia="zh-CN"/>
                    </w:rPr>
                  </w:pPr>
                  <w:r>
                    <w:rPr>
                      <w:rFonts w:hint="default"/>
                      <w:color w:val="auto"/>
                      <w:sz w:val="21"/>
                      <w:szCs w:val="21"/>
                      <w:lang w:val="en-US" w:eastAsia="zh-CN"/>
                    </w:rPr>
                    <w:t>安徽省三江塑业有限公司</w:t>
                  </w:r>
                </w:p>
              </w:tc>
              <w:tc>
                <w:tcPr>
                  <w:tcW w:w="1301" w:type="dxa"/>
                  <w:vMerge w:val="restart"/>
                  <w:noWrap w:val="0"/>
                  <w:vAlign w:val="center"/>
                </w:tcPr>
                <w:p w14:paraId="253A8D7B">
                  <w:pPr>
                    <w:spacing w:line="360" w:lineRule="auto"/>
                    <w:jc w:val="center"/>
                    <w:rPr>
                      <w:rFonts w:hint="default"/>
                      <w:color w:val="auto"/>
                      <w:sz w:val="21"/>
                      <w:szCs w:val="21"/>
                      <w:lang w:val="en-US" w:eastAsia="zh-CN"/>
                    </w:rPr>
                  </w:pPr>
                  <w:r>
                    <w:rPr>
                      <w:rFonts w:hint="eastAsia"/>
                      <w:color w:val="auto"/>
                      <w:sz w:val="21"/>
                      <w:szCs w:val="21"/>
                      <w:lang w:val="en-US" w:eastAsia="zh-CN"/>
                    </w:rPr>
                    <w:t>2025.12.26</w:t>
                  </w:r>
                </w:p>
              </w:tc>
              <w:tc>
                <w:tcPr>
                  <w:tcW w:w="1988" w:type="dxa"/>
                  <w:noWrap w:val="0"/>
                  <w:vAlign w:val="center"/>
                </w:tcPr>
                <w:p w14:paraId="0E5CE0CD">
                  <w:pPr>
                    <w:spacing w:line="360" w:lineRule="auto"/>
                    <w:jc w:val="center"/>
                    <w:rPr>
                      <w:rFonts w:hint="default"/>
                      <w:color w:val="auto"/>
                      <w:kern w:val="2"/>
                      <w:sz w:val="21"/>
                      <w:szCs w:val="21"/>
                      <w:lang w:val="en-US" w:eastAsia="zh-CN" w:bidi="ar-SA"/>
                    </w:rPr>
                  </w:pPr>
                  <w:r>
                    <w:rPr>
                      <w:rFonts w:hint="eastAsia"/>
                      <w:color w:val="auto"/>
                      <w:sz w:val="21"/>
                      <w:szCs w:val="21"/>
                      <w:lang w:val="en-US" w:eastAsia="zh-CN"/>
                    </w:rPr>
                    <w:t>N1（东厂界）</w:t>
                  </w:r>
                </w:p>
              </w:tc>
              <w:tc>
                <w:tcPr>
                  <w:tcW w:w="1060" w:type="dxa"/>
                  <w:noWrap w:val="0"/>
                  <w:vAlign w:val="center"/>
                </w:tcPr>
                <w:p w14:paraId="237E471C">
                  <w:pPr>
                    <w:spacing w:line="360" w:lineRule="auto"/>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等效声级</w:t>
                  </w:r>
                </w:p>
              </w:tc>
              <w:tc>
                <w:tcPr>
                  <w:tcW w:w="1340" w:type="dxa"/>
                  <w:noWrap w:val="0"/>
                  <w:vAlign w:val="center"/>
                </w:tcPr>
                <w:p w14:paraId="2516C97E">
                  <w:pPr>
                    <w:spacing w:line="360" w:lineRule="auto"/>
                    <w:jc w:val="center"/>
                    <w:rPr>
                      <w:rFonts w:hint="default"/>
                      <w:color w:val="auto"/>
                      <w:sz w:val="21"/>
                      <w:szCs w:val="21"/>
                      <w:lang w:val="en-US" w:eastAsia="zh-CN"/>
                    </w:rPr>
                  </w:pPr>
                  <w:r>
                    <w:rPr>
                      <w:rFonts w:hint="eastAsia"/>
                      <w:color w:val="auto"/>
                      <w:sz w:val="21"/>
                      <w:szCs w:val="21"/>
                      <w:lang w:val="en-US" w:eastAsia="zh-CN"/>
                    </w:rPr>
                    <w:t>59.4</w:t>
                  </w:r>
                </w:p>
              </w:tc>
              <w:tc>
                <w:tcPr>
                  <w:tcW w:w="1333" w:type="dxa"/>
                  <w:noWrap w:val="0"/>
                  <w:vAlign w:val="center"/>
                </w:tcPr>
                <w:p w14:paraId="0B799F92">
                  <w:pPr>
                    <w:spacing w:line="360" w:lineRule="auto"/>
                    <w:jc w:val="center"/>
                    <w:rPr>
                      <w:rFonts w:hint="default"/>
                      <w:color w:val="auto"/>
                      <w:sz w:val="21"/>
                      <w:szCs w:val="21"/>
                      <w:lang w:val="en-US" w:eastAsia="zh-CN"/>
                    </w:rPr>
                  </w:pPr>
                  <w:r>
                    <w:rPr>
                      <w:rFonts w:hint="eastAsia"/>
                      <w:color w:val="auto"/>
                      <w:sz w:val="21"/>
                      <w:szCs w:val="21"/>
                      <w:lang w:val="en-US" w:eastAsia="zh-CN"/>
                    </w:rPr>
                    <w:t>46.4</w:t>
                  </w:r>
                </w:p>
              </w:tc>
            </w:tr>
            <w:tr w14:paraId="31718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6" w:hRule="exact"/>
              </w:trPr>
              <w:tc>
                <w:tcPr>
                  <w:tcW w:w="1316" w:type="dxa"/>
                  <w:vMerge w:val="continue"/>
                  <w:noWrap w:val="0"/>
                  <w:vAlign w:val="center"/>
                </w:tcPr>
                <w:p w14:paraId="624A4530">
                  <w:pPr>
                    <w:spacing w:line="360" w:lineRule="auto"/>
                    <w:jc w:val="center"/>
                    <w:rPr>
                      <w:rFonts w:hint="eastAsia" w:cs="Times New Roman"/>
                      <w:color w:val="auto"/>
                      <w:szCs w:val="21"/>
                      <w:lang w:val="en-US" w:eastAsia="zh-CN"/>
                    </w:rPr>
                  </w:pPr>
                </w:p>
              </w:tc>
              <w:tc>
                <w:tcPr>
                  <w:tcW w:w="1301" w:type="dxa"/>
                  <w:vMerge w:val="continue"/>
                  <w:noWrap w:val="0"/>
                  <w:vAlign w:val="center"/>
                </w:tcPr>
                <w:p w14:paraId="1418B66C">
                  <w:pPr>
                    <w:spacing w:line="360" w:lineRule="auto"/>
                    <w:jc w:val="center"/>
                    <w:rPr>
                      <w:rFonts w:hint="eastAsia"/>
                      <w:color w:val="auto"/>
                      <w:sz w:val="21"/>
                      <w:szCs w:val="21"/>
                      <w:lang w:val="en-US" w:eastAsia="zh-CN"/>
                    </w:rPr>
                  </w:pPr>
                </w:p>
              </w:tc>
              <w:tc>
                <w:tcPr>
                  <w:tcW w:w="1988" w:type="dxa"/>
                  <w:noWrap w:val="0"/>
                  <w:vAlign w:val="center"/>
                </w:tcPr>
                <w:p w14:paraId="5CAC4301">
                  <w:pPr>
                    <w:spacing w:line="360" w:lineRule="auto"/>
                    <w:jc w:val="center"/>
                    <w:rPr>
                      <w:rFonts w:hint="default"/>
                      <w:color w:val="auto"/>
                      <w:kern w:val="2"/>
                      <w:sz w:val="21"/>
                      <w:szCs w:val="21"/>
                      <w:lang w:val="en-US" w:eastAsia="zh-CN" w:bidi="ar-SA"/>
                    </w:rPr>
                  </w:pPr>
                  <w:r>
                    <w:rPr>
                      <w:rFonts w:hint="eastAsia"/>
                      <w:color w:val="auto"/>
                      <w:sz w:val="21"/>
                      <w:szCs w:val="21"/>
                      <w:lang w:val="en-US" w:eastAsia="zh-CN"/>
                    </w:rPr>
                    <w:t>N2（南厂界）</w:t>
                  </w:r>
                </w:p>
              </w:tc>
              <w:tc>
                <w:tcPr>
                  <w:tcW w:w="1060" w:type="dxa"/>
                  <w:noWrap w:val="0"/>
                  <w:vAlign w:val="center"/>
                </w:tcPr>
                <w:p w14:paraId="151CC759">
                  <w:pPr>
                    <w:spacing w:line="360" w:lineRule="auto"/>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等效声级</w:t>
                  </w:r>
                </w:p>
              </w:tc>
              <w:tc>
                <w:tcPr>
                  <w:tcW w:w="1340" w:type="dxa"/>
                  <w:noWrap w:val="0"/>
                  <w:vAlign w:val="center"/>
                </w:tcPr>
                <w:p w14:paraId="1CC67B0C">
                  <w:pPr>
                    <w:spacing w:line="360" w:lineRule="auto"/>
                    <w:jc w:val="center"/>
                    <w:rPr>
                      <w:rFonts w:hint="default"/>
                      <w:color w:val="auto"/>
                      <w:sz w:val="21"/>
                      <w:szCs w:val="21"/>
                      <w:lang w:val="en-US" w:eastAsia="zh-CN"/>
                    </w:rPr>
                  </w:pPr>
                  <w:r>
                    <w:rPr>
                      <w:rFonts w:hint="eastAsia"/>
                      <w:color w:val="auto"/>
                      <w:sz w:val="21"/>
                      <w:szCs w:val="21"/>
                      <w:lang w:val="en-US" w:eastAsia="zh-CN"/>
                    </w:rPr>
                    <w:t>49.5</w:t>
                  </w:r>
                </w:p>
              </w:tc>
              <w:tc>
                <w:tcPr>
                  <w:tcW w:w="1333" w:type="dxa"/>
                  <w:noWrap w:val="0"/>
                  <w:vAlign w:val="center"/>
                </w:tcPr>
                <w:p w14:paraId="69D314E6">
                  <w:pPr>
                    <w:spacing w:line="360" w:lineRule="auto"/>
                    <w:jc w:val="center"/>
                    <w:rPr>
                      <w:rFonts w:hint="default"/>
                      <w:color w:val="auto"/>
                      <w:sz w:val="21"/>
                      <w:szCs w:val="21"/>
                      <w:lang w:val="en-US" w:eastAsia="zh-CN"/>
                    </w:rPr>
                  </w:pPr>
                  <w:r>
                    <w:rPr>
                      <w:rFonts w:hint="eastAsia"/>
                      <w:color w:val="auto"/>
                      <w:sz w:val="21"/>
                      <w:szCs w:val="21"/>
                      <w:lang w:val="en-US" w:eastAsia="zh-CN"/>
                    </w:rPr>
                    <w:t>45.5</w:t>
                  </w:r>
                </w:p>
              </w:tc>
            </w:tr>
            <w:tr w14:paraId="7A8D1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exact"/>
              </w:trPr>
              <w:tc>
                <w:tcPr>
                  <w:tcW w:w="1316" w:type="dxa"/>
                  <w:vMerge w:val="continue"/>
                  <w:noWrap w:val="0"/>
                  <w:vAlign w:val="center"/>
                </w:tcPr>
                <w:p w14:paraId="0F13ACA5">
                  <w:pPr>
                    <w:spacing w:line="360" w:lineRule="auto"/>
                    <w:jc w:val="center"/>
                    <w:rPr>
                      <w:color w:val="auto"/>
                      <w:sz w:val="21"/>
                      <w:szCs w:val="21"/>
                    </w:rPr>
                  </w:pPr>
                </w:p>
              </w:tc>
              <w:tc>
                <w:tcPr>
                  <w:tcW w:w="1301" w:type="dxa"/>
                  <w:vMerge w:val="continue"/>
                  <w:noWrap w:val="0"/>
                  <w:vAlign w:val="center"/>
                </w:tcPr>
                <w:p w14:paraId="6705DB9F">
                  <w:pPr>
                    <w:spacing w:line="360" w:lineRule="auto"/>
                    <w:jc w:val="center"/>
                    <w:rPr>
                      <w:color w:val="auto"/>
                      <w:sz w:val="21"/>
                      <w:szCs w:val="21"/>
                    </w:rPr>
                  </w:pPr>
                </w:p>
              </w:tc>
              <w:tc>
                <w:tcPr>
                  <w:tcW w:w="1988" w:type="dxa"/>
                  <w:noWrap w:val="0"/>
                  <w:vAlign w:val="center"/>
                </w:tcPr>
                <w:p w14:paraId="0AEFD207">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N3（西厂界）</w:t>
                  </w:r>
                </w:p>
              </w:tc>
              <w:tc>
                <w:tcPr>
                  <w:tcW w:w="1060" w:type="dxa"/>
                  <w:noWrap w:val="0"/>
                  <w:vAlign w:val="center"/>
                </w:tcPr>
                <w:p w14:paraId="3D37EE8C">
                  <w:pPr>
                    <w:spacing w:line="360" w:lineRule="auto"/>
                    <w:jc w:val="center"/>
                    <w:rPr>
                      <w:rFonts w:hint="eastAsia"/>
                      <w:color w:val="auto"/>
                      <w:sz w:val="21"/>
                      <w:szCs w:val="21"/>
                      <w:lang w:val="en-US" w:eastAsia="zh-CN"/>
                    </w:rPr>
                  </w:pPr>
                  <w:r>
                    <w:rPr>
                      <w:rFonts w:hint="eastAsia"/>
                      <w:color w:val="auto"/>
                      <w:sz w:val="21"/>
                      <w:szCs w:val="21"/>
                      <w:lang w:val="en-US" w:eastAsia="zh-CN"/>
                    </w:rPr>
                    <w:t>等效声级</w:t>
                  </w:r>
                </w:p>
              </w:tc>
              <w:tc>
                <w:tcPr>
                  <w:tcW w:w="1340" w:type="dxa"/>
                  <w:noWrap w:val="0"/>
                  <w:vAlign w:val="center"/>
                </w:tcPr>
                <w:p w14:paraId="3982DCCC">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39.3</w:t>
                  </w:r>
                </w:p>
              </w:tc>
              <w:tc>
                <w:tcPr>
                  <w:tcW w:w="1333" w:type="dxa"/>
                  <w:noWrap w:val="0"/>
                  <w:vAlign w:val="center"/>
                </w:tcPr>
                <w:p w14:paraId="2F691C18">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35.8</w:t>
                  </w:r>
                </w:p>
              </w:tc>
            </w:tr>
            <w:tr w14:paraId="63AE5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exact"/>
              </w:trPr>
              <w:tc>
                <w:tcPr>
                  <w:tcW w:w="1316" w:type="dxa"/>
                  <w:vMerge w:val="continue"/>
                  <w:noWrap w:val="0"/>
                  <w:vAlign w:val="center"/>
                </w:tcPr>
                <w:p w14:paraId="7B823D1F">
                  <w:pPr>
                    <w:spacing w:line="360" w:lineRule="auto"/>
                    <w:jc w:val="center"/>
                    <w:rPr>
                      <w:color w:val="auto"/>
                      <w:sz w:val="21"/>
                      <w:szCs w:val="21"/>
                    </w:rPr>
                  </w:pPr>
                </w:p>
              </w:tc>
              <w:tc>
                <w:tcPr>
                  <w:tcW w:w="1301" w:type="dxa"/>
                  <w:vMerge w:val="continue"/>
                  <w:noWrap w:val="0"/>
                  <w:vAlign w:val="center"/>
                </w:tcPr>
                <w:p w14:paraId="0506831E">
                  <w:pPr>
                    <w:spacing w:line="360" w:lineRule="auto"/>
                    <w:jc w:val="center"/>
                    <w:rPr>
                      <w:rFonts w:hint="default"/>
                      <w:color w:val="auto"/>
                      <w:sz w:val="21"/>
                      <w:szCs w:val="21"/>
                      <w:lang w:val="en-US"/>
                    </w:rPr>
                  </w:pPr>
                </w:p>
              </w:tc>
              <w:tc>
                <w:tcPr>
                  <w:tcW w:w="1988" w:type="dxa"/>
                  <w:noWrap w:val="0"/>
                  <w:vAlign w:val="center"/>
                </w:tcPr>
                <w:p w14:paraId="4A6B13FA">
                  <w:pPr>
                    <w:spacing w:line="360" w:lineRule="auto"/>
                    <w:jc w:val="center"/>
                    <w:rPr>
                      <w:rFonts w:hint="eastAsia"/>
                      <w:color w:val="auto"/>
                      <w:kern w:val="2"/>
                      <w:sz w:val="21"/>
                      <w:szCs w:val="21"/>
                      <w:lang w:val="en-US" w:eastAsia="zh-CN" w:bidi="ar-SA"/>
                    </w:rPr>
                  </w:pPr>
                  <w:r>
                    <w:rPr>
                      <w:rFonts w:hint="eastAsia"/>
                      <w:color w:val="auto"/>
                      <w:sz w:val="21"/>
                      <w:szCs w:val="21"/>
                      <w:lang w:val="en-US" w:eastAsia="zh-CN"/>
                    </w:rPr>
                    <w:t>N4（北厂界）</w:t>
                  </w:r>
                </w:p>
              </w:tc>
              <w:tc>
                <w:tcPr>
                  <w:tcW w:w="1060" w:type="dxa"/>
                  <w:noWrap w:val="0"/>
                  <w:vAlign w:val="center"/>
                </w:tcPr>
                <w:p w14:paraId="2A83F865">
                  <w:pPr>
                    <w:spacing w:line="360" w:lineRule="auto"/>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等效声级</w:t>
                  </w:r>
                </w:p>
              </w:tc>
              <w:tc>
                <w:tcPr>
                  <w:tcW w:w="1340" w:type="dxa"/>
                  <w:noWrap w:val="0"/>
                  <w:vAlign w:val="center"/>
                </w:tcPr>
                <w:p w14:paraId="5A1AED9A">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49.0</w:t>
                  </w:r>
                </w:p>
              </w:tc>
              <w:tc>
                <w:tcPr>
                  <w:tcW w:w="1333" w:type="dxa"/>
                  <w:noWrap w:val="0"/>
                  <w:vAlign w:val="center"/>
                </w:tcPr>
                <w:p w14:paraId="0E1234FE">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40.6</w:t>
                  </w:r>
                </w:p>
              </w:tc>
            </w:tr>
            <w:tr w14:paraId="24D9A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exact"/>
              </w:trPr>
              <w:tc>
                <w:tcPr>
                  <w:tcW w:w="1316" w:type="dxa"/>
                  <w:vMerge w:val="continue"/>
                  <w:noWrap w:val="0"/>
                  <w:vAlign w:val="center"/>
                </w:tcPr>
                <w:p w14:paraId="6226F24C">
                  <w:pPr>
                    <w:spacing w:line="360" w:lineRule="auto"/>
                    <w:jc w:val="center"/>
                    <w:rPr>
                      <w:color w:val="auto"/>
                      <w:sz w:val="21"/>
                      <w:szCs w:val="21"/>
                    </w:rPr>
                  </w:pPr>
                </w:p>
              </w:tc>
              <w:tc>
                <w:tcPr>
                  <w:tcW w:w="1301" w:type="dxa"/>
                  <w:vMerge w:val="continue"/>
                  <w:noWrap w:val="0"/>
                  <w:vAlign w:val="center"/>
                </w:tcPr>
                <w:p w14:paraId="68D43FF3">
                  <w:pPr>
                    <w:spacing w:line="360" w:lineRule="auto"/>
                    <w:jc w:val="center"/>
                    <w:rPr>
                      <w:rFonts w:hint="default"/>
                      <w:color w:val="auto"/>
                      <w:sz w:val="21"/>
                      <w:szCs w:val="21"/>
                      <w:lang w:val="en-US"/>
                    </w:rPr>
                  </w:pPr>
                </w:p>
              </w:tc>
              <w:tc>
                <w:tcPr>
                  <w:tcW w:w="1988" w:type="dxa"/>
                  <w:noWrap w:val="0"/>
                  <w:vAlign w:val="center"/>
                </w:tcPr>
                <w:p w14:paraId="6EC1F367">
                  <w:pPr>
                    <w:spacing w:line="360" w:lineRule="auto"/>
                    <w:jc w:val="center"/>
                    <w:rPr>
                      <w:rFonts w:hint="default"/>
                      <w:color w:val="auto"/>
                      <w:sz w:val="21"/>
                      <w:szCs w:val="21"/>
                      <w:lang w:val="en-US" w:eastAsia="zh-CN"/>
                    </w:rPr>
                  </w:pPr>
                  <w:r>
                    <w:rPr>
                      <w:rFonts w:hint="eastAsia"/>
                      <w:color w:val="auto"/>
                      <w:sz w:val="21"/>
                      <w:szCs w:val="21"/>
                      <w:lang w:val="en-US" w:eastAsia="zh-CN"/>
                    </w:rPr>
                    <w:t>N5（南侧居民）</w:t>
                  </w:r>
                </w:p>
              </w:tc>
              <w:tc>
                <w:tcPr>
                  <w:tcW w:w="1060" w:type="dxa"/>
                  <w:noWrap w:val="0"/>
                  <w:vAlign w:val="center"/>
                </w:tcPr>
                <w:p w14:paraId="2747FB55">
                  <w:pPr>
                    <w:spacing w:line="360" w:lineRule="auto"/>
                    <w:jc w:val="center"/>
                    <w:rPr>
                      <w:rFonts w:hint="eastAsia"/>
                      <w:color w:val="auto"/>
                      <w:sz w:val="21"/>
                      <w:szCs w:val="21"/>
                      <w:lang w:val="en-US" w:eastAsia="zh-CN"/>
                    </w:rPr>
                  </w:pPr>
                  <w:r>
                    <w:rPr>
                      <w:rFonts w:hint="eastAsia"/>
                      <w:color w:val="auto"/>
                      <w:sz w:val="21"/>
                      <w:szCs w:val="21"/>
                      <w:lang w:val="en-US" w:eastAsia="zh-CN"/>
                    </w:rPr>
                    <w:t>等效声级</w:t>
                  </w:r>
                </w:p>
              </w:tc>
              <w:tc>
                <w:tcPr>
                  <w:tcW w:w="1340" w:type="dxa"/>
                  <w:noWrap w:val="0"/>
                  <w:vAlign w:val="center"/>
                </w:tcPr>
                <w:p w14:paraId="59421AC5">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41.7</w:t>
                  </w:r>
                </w:p>
              </w:tc>
              <w:tc>
                <w:tcPr>
                  <w:tcW w:w="1333" w:type="dxa"/>
                  <w:noWrap w:val="0"/>
                  <w:vAlign w:val="center"/>
                </w:tcPr>
                <w:p w14:paraId="73A5BBBB">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43.9</w:t>
                  </w:r>
                </w:p>
              </w:tc>
            </w:tr>
            <w:tr w14:paraId="07F57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exact"/>
              </w:trPr>
              <w:tc>
                <w:tcPr>
                  <w:tcW w:w="1316" w:type="dxa"/>
                  <w:vMerge w:val="continue"/>
                  <w:noWrap w:val="0"/>
                  <w:vAlign w:val="center"/>
                </w:tcPr>
                <w:p w14:paraId="53BF7AD2">
                  <w:pPr>
                    <w:spacing w:line="360" w:lineRule="auto"/>
                    <w:jc w:val="center"/>
                    <w:rPr>
                      <w:color w:val="auto"/>
                      <w:sz w:val="21"/>
                      <w:szCs w:val="21"/>
                    </w:rPr>
                  </w:pPr>
                </w:p>
              </w:tc>
              <w:tc>
                <w:tcPr>
                  <w:tcW w:w="1301" w:type="dxa"/>
                  <w:vMerge w:val="continue"/>
                  <w:noWrap w:val="0"/>
                  <w:vAlign w:val="center"/>
                </w:tcPr>
                <w:p w14:paraId="7BEC2366">
                  <w:pPr>
                    <w:spacing w:line="360" w:lineRule="auto"/>
                    <w:jc w:val="center"/>
                    <w:rPr>
                      <w:color w:val="auto"/>
                      <w:sz w:val="21"/>
                      <w:szCs w:val="21"/>
                    </w:rPr>
                  </w:pPr>
                </w:p>
              </w:tc>
              <w:tc>
                <w:tcPr>
                  <w:tcW w:w="1988" w:type="dxa"/>
                  <w:noWrap w:val="0"/>
                  <w:vAlign w:val="center"/>
                </w:tcPr>
                <w:p w14:paraId="0D276F6A">
                  <w:pPr>
                    <w:spacing w:line="360" w:lineRule="auto"/>
                    <w:jc w:val="center"/>
                    <w:rPr>
                      <w:rFonts w:hint="default"/>
                      <w:color w:val="auto"/>
                      <w:kern w:val="2"/>
                      <w:sz w:val="21"/>
                      <w:szCs w:val="21"/>
                      <w:lang w:val="en-US" w:eastAsia="zh-CN" w:bidi="ar-SA"/>
                    </w:rPr>
                  </w:pPr>
                  <w:r>
                    <w:rPr>
                      <w:rFonts w:hint="eastAsia"/>
                      <w:color w:val="auto"/>
                      <w:sz w:val="21"/>
                      <w:szCs w:val="21"/>
                      <w:lang w:val="en-US" w:eastAsia="zh-CN"/>
                    </w:rPr>
                    <w:t>N6（北侧居民）</w:t>
                  </w:r>
                </w:p>
              </w:tc>
              <w:tc>
                <w:tcPr>
                  <w:tcW w:w="1060" w:type="dxa"/>
                  <w:noWrap w:val="0"/>
                  <w:vAlign w:val="center"/>
                </w:tcPr>
                <w:p w14:paraId="521C79F9">
                  <w:pPr>
                    <w:spacing w:line="360" w:lineRule="auto"/>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等效声级</w:t>
                  </w:r>
                </w:p>
              </w:tc>
              <w:tc>
                <w:tcPr>
                  <w:tcW w:w="1340" w:type="dxa"/>
                  <w:noWrap w:val="0"/>
                  <w:vAlign w:val="center"/>
                </w:tcPr>
                <w:p w14:paraId="19A4F55F">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42.6</w:t>
                  </w:r>
                </w:p>
              </w:tc>
              <w:tc>
                <w:tcPr>
                  <w:tcW w:w="1333" w:type="dxa"/>
                  <w:noWrap w:val="0"/>
                  <w:vAlign w:val="center"/>
                </w:tcPr>
                <w:p w14:paraId="117530FE">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43.8</w:t>
                  </w:r>
                </w:p>
              </w:tc>
            </w:tr>
            <w:tr w14:paraId="55CDB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exact"/>
              </w:trPr>
              <w:tc>
                <w:tcPr>
                  <w:tcW w:w="1316" w:type="dxa"/>
                  <w:vMerge w:val="continue"/>
                  <w:noWrap w:val="0"/>
                  <w:vAlign w:val="center"/>
                </w:tcPr>
                <w:p w14:paraId="3429C001">
                  <w:pPr>
                    <w:spacing w:line="360" w:lineRule="auto"/>
                    <w:jc w:val="center"/>
                    <w:rPr>
                      <w:color w:val="auto"/>
                      <w:sz w:val="21"/>
                      <w:szCs w:val="21"/>
                    </w:rPr>
                  </w:pPr>
                </w:p>
              </w:tc>
              <w:tc>
                <w:tcPr>
                  <w:tcW w:w="1301" w:type="dxa"/>
                  <w:vMerge w:val="continue"/>
                  <w:noWrap w:val="0"/>
                  <w:vAlign w:val="center"/>
                </w:tcPr>
                <w:p w14:paraId="50FEEDEE">
                  <w:pPr>
                    <w:spacing w:line="360" w:lineRule="auto"/>
                    <w:jc w:val="center"/>
                    <w:rPr>
                      <w:color w:val="auto"/>
                      <w:sz w:val="21"/>
                      <w:szCs w:val="21"/>
                    </w:rPr>
                  </w:pPr>
                </w:p>
              </w:tc>
              <w:tc>
                <w:tcPr>
                  <w:tcW w:w="1988" w:type="dxa"/>
                  <w:noWrap w:val="0"/>
                  <w:vAlign w:val="center"/>
                </w:tcPr>
                <w:p w14:paraId="748F9C3C">
                  <w:pPr>
                    <w:spacing w:line="360" w:lineRule="auto"/>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N7（东北侧居民）</w:t>
                  </w:r>
                </w:p>
              </w:tc>
              <w:tc>
                <w:tcPr>
                  <w:tcW w:w="1060" w:type="dxa"/>
                  <w:noWrap w:val="0"/>
                  <w:vAlign w:val="center"/>
                </w:tcPr>
                <w:p w14:paraId="223D9A09">
                  <w:pPr>
                    <w:spacing w:line="360" w:lineRule="auto"/>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等效声级</w:t>
                  </w:r>
                </w:p>
              </w:tc>
              <w:tc>
                <w:tcPr>
                  <w:tcW w:w="1340" w:type="dxa"/>
                  <w:noWrap w:val="0"/>
                  <w:vAlign w:val="center"/>
                </w:tcPr>
                <w:p w14:paraId="1E42D5CF">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58.0</w:t>
                  </w:r>
                </w:p>
              </w:tc>
              <w:tc>
                <w:tcPr>
                  <w:tcW w:w="1333" w:type="dxa"/>
                  <w:noWrap w:val="0"/>
                  <w:vAlign w:val="center"/>
                </w:tcPr>
                <w:p w14:paraId="72923486">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49.4</w:t>
                  </w:r>
                </w:p>
              </w:tc>
            </w:tr>
          </w:tbl>
          <w:p w14:paraId="60AB599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由</w:t>
            </w:r>
            <w:r>
              <w:rPr>
                <w:rFonts w:hint="eastAsia" w:cs="Times New Roman"/>
                <w:color w:val="auto"/>
                <w:lang w:val="en-US" w:eastAsia="zh-CN"/>
              </w:rPr>
              <w:t>监</w:t>
            </w:r>
            <w:r>
              <w:rPr>
                <w:rFonts w:hint="eastAsia" w:ascii="Times New Roman" w:hAnsi="Times New Roman" w:eastAsia="宋体" w:cs="Times New Roman"/>
                <w:color w:val="auto"/>
                <w:lang w:val="en-US" w:eastAsia="zh-CN"/>
              </w:rPr>
              <w:t>测</w:t>
            </w:r>
            <w:r>
              <w:rPr>
                <w:rFonts w:hint="default" w:ascii="Times New Roman" w:hAnsi="Times New Roman" w:eastAsia="宋体" w:cs="Times New Roman"/>
                <w:color w:val="auto"/>
                <w:lang w:eastAsia="zh-CN"/>
              </w:rPr>
              <w:t>结果可知，项目</w:t>
            </w:r>
            <w:r>
              <w:rPr>
                <w:rFonts w:hint="eastAsia" w:cs="Times New Roman"/>
                <w:color w:val="auto"/>
                <w:lang w:val="en-US" w:eastAsia="zh-CN"/>
              </w:rPr>
              <w:t>厂界及</w:t>
            </w:r>
            <w:r>
              <w:rPr>
                <w:rFonts w:hint="eastAsia" w:ascii="Times New Roman" w:hAnsi="Times New Roman" w:eastAsia="宋体" w:cs="Times New Roman"/>
                <w:color w:val="auto"/>
                <w:lang w:val="en-US" w:eastAsia="zh-CN"/>
              </w:rPr>
              <w:t>敏感点</w:t>
            </w:r>
            <w:r>
              <w:rPr>
                <w:rFonts w:hint="eastAsia" w:cs="Times New Roman"/>
                <w:color w:val="auto"/>
                <w:lang w:val="en-US" w:eastAsia="zh-CN"/>
              </w:rPr>
              <w:t>处</w:t>
            </w:r>
            <w:r>
              <w:rPr>
                <w:rFonts w:hint="default" w:ascii="Times New Roman" w:hAnsi="Times New Roman" w:eastAsia="宋体" w:cs="Times New Roman"/>
                <w:color w:val="auto"/>
                <w:lang w:eastAsia="zh-CN"/>
              </w:rPr>
              <w:t>声环境质量现状达到《声环境质量标准》（GB3096-2008）</w:t>
            </w:r>
            <w:r>
              <w:rPr>
                <w:rFonts w:hint="eastAsia" w:cs="Times New Roman"/>
                <w:color w:val="auto"/>
                <w:lang w:val="en-US" w:eastAsia="zh-CN"/>
              </w:rPr>
              <w:t>2类</w:t>
            </w:r>
            <w:r>
              <w:rPr>
                <w:rFonts w:hint="default" w:ascii="Times New Roman" w:hAnsi="Times New Roman" w:eastAsia="宋体" w:cs="Times New Roman"/>
                <w:color w:val="auto"/>
                <w:lang w:eastAsia="zh-CN"/>
              </w:rPr>
              <w:t>标准</w:t>
            </w:r>
            <w:r>
              <w:rPr>
                <w:rFonts w:hint="eastAsia" w:cs="Times New Roman"/>
                <w:color w:val="auto"/>
                <w:lang w:eastAsia="zh-CN"/>
              </w:rPr>
              <w:t>（</w:t>
            </w:r>
            <w:r>
              <w:rPr>
                <w:rFonts w:hint="eastAsia" w:cs="Times New Roman"/>
                <w:color w:val="auto"/>
                <w:lang w:val="en-US" w:eastAsia="zh-CN"/>
              </w:rPr>
              <w:t>昼间60dB（A），夜间50dB（A）</w:t>
            </w:r>
            <w:r>
              <w:rPr>
                <w:rFonts w:hint="eastAsia" w:cs="Times New Roman"/>
                <w:color w:val="auto"/>
                <w:lang w:eastAsia="zh-CN"/>
              </w:rPr>
              <w:t>）</w:t>
            </w:r>
            <w:r>
              <w:rPr>
                <w:rFonts w:hint="default" w:ascii="Times New Roman" w:hAnsi="Times New Roman" w:eastAsia="宋体" w:cs="Times New Roman"/>
                <w:color w:val="auto"/>
                <w:lang w:eastAsia="zh-CN"/>
              </w:rPr>
              <w:t>要求</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lang w:eastAsia="zh-CN"/>
              </w:rPr>
              <w:t>本项目区域声环境质量现状良好。</w:t>
            </w:r>
          </w:p>
          <w:p w14:paraId="2CA858FD">
            <w:pPr>
              <w:pStyle w:val="45"/>
              <w:widowControl w:val="0"/>
              <w:ind w:firstLine="480"/>
              <w:rPr>
                <w:rFonts w:hint="default" w:ascii="Times New Roman" w:hAnsi="Times New Roman" w:cs="Times New Roman"/>
                <w:b/>
                <w:bCs w:val="0"/>
                <w:color w:val="auto"/>
                <w:sz w:val="24"/>
              </w:rPr>
            </w:pPr>
            <w:r>
              <w:rPr>
                <w:rFonts w:hint="default" w:ascii="Times New Roman" w:hAnsi="Times New Roman" w:cs="Times New Roman"/>
                <w:b/>
                <w:bCs w:val="0"/>
                <w:color w:val="auto"/>
                <w:sz w:val="24"/>
                <w:lang w:val="en-US" w:eastAsia="zh-CN"/>
              </w:rPr>
              <w:t>4</w:t>
            </w:r>
            <w:r>
              <w:rPr>
                <w:rFonts w:hint="eastAsia" w:ascii="Times New Roman" w:hAnsi="Times New Roman" w:cs="Times New Roman"/>
                <w:b/>
                <w:bCs w:val="0"/>
                <w:color w:val="auto"/>
                <w:sz w:val="24"/>
                <w:lang w:val="en-US" w:eastAsia="zh-CN"/>
              </w:rPr>
              <w:t xml:space="preserve">、地下水、土壤环境 </w:t>
            </w:r>
          </w:p>
          <w:p w14:paraId="51AC64D2">
            <w:pPr>
              <w:pStyle w:val="45"/>
              <w:widowControl w:val="0"/>
              <w:ind w:firstLine="480"/>
              <w:rPr>
                <w:rFonts w:hint="default" w:ascii="Times New Roman" w:hAnsi="Times New Roman" w:cs="Times New Roman"/>
                <w:bCs/>
                <w:color w:val="auto"/>
                <w:sz w:val="24"/>
              </w:rPr>
            </w:pPr>
            <w:r>
              <w:rPr>
                <w:rFonts w:hint="eastAsia" w:ascii="Times New Roman" w:hAnsi="Times New Roman" w:cs="Times New Roman"/>
                <w:bCs/>
                <w:color w:val="auto"/>
                <w:sz w:val="24"/>
                <w:lang w:val="en-US" w:eastAsia="zh-CN"/>
              </w:rPr>
              <w:t>本项目采取分区防渗，对危废暂存间采取重点防渗，其余区域采取一般防渗，不存在地下水、土壤污染途径，因此建设项目无需进行地下水、土壤环境质量现状调查。</w:t>
            </w:r>
          </w:p>
          <w:p w14:paraId="31837F21">
            <w:pPr>
              <w:pStyle w:val="45"/>
              <w:widowControl w:val="0"/>
              <w:ind w:firstLine="480"/>
              <w:rPr>
                <w:rFonts w:hint="default" w:ascii="Times New Roman" w:hAnsi="Times New Roman" w:cs="Times New Roman"/>
                <w:b/>
                <w:bCs w:val="0"/>
                <w:color w:val="auto"/>
                <w:sz w:val="24"/>
              </w:rPr>
            </w:pPr>
            <w:r>
              <w:rPr>
                <w:rFonts w:hint="default" w:ascii="Times New Roman" w:hAnsi="Times New Roman" w:cs="Times New Roman"/>
                <w:b/>
                <w:bCs w:val="0"/>
                <w:color w:val="auto"/>
                <w:sz w:val="24"/>
                <w:lang w:val="en-US" w:eastAsia="zh-CN"/>
              </w:rPr>
              <w:t>5</w:t>
            </w:r>
            <w:r>
              <w:rPr>
                <w:rFonts w:hint="eastAsia" w:ascii="Times New Roman" w:hAnsi="Times New Roman" w:cs="Times New Roman"/>
                <w:b/>
                <w:bCs w:val="0"/>
                <w:color w:val="auto"/>
                <w:sz w:val="24"/>
                <w:lang w:val="en-US" w:eastAsia="zh-CN"/>
              </w:rPr>
              <w:t xml:space="preserve">、生态环境 </w:t>
            </w:r>
          </w:p>
          <w:p w14:paraId="7315EADC">
            <w:pPr>
              <w:pStyle w:val="45"/>
              <w:widowControl w:val="0"/>
              <w:ind w:firstLine="480"/>
              <w:rPr>
                <w:rFonts w:hint="default" w:ascii="Times New Roman" w:hAnsi="Times New Roman" w:cs="Times New Roman"/>
                <w:bCs/>
                <w:color w:val="auto"/>
                <w:sz w:val="24"/>
                <w:lang w:val="en-US" w:eastAsia="zh-CN"/>
              </w:rPr>
            </w:pPr>
            <w:r>
              <w:rPr>
                <w:rFonts w:hint="eastAsia" w:ascii="Times New Roman" w:hAnsi="Times New Roman" w:cs="Times New Roman"/>
                <w:bCs/>
                <w:color w:val="auto"/>
                <w:sz w:val="24"/>
                <w:lang w:val="en-US" w:eastAsia="zh-CN"/>
              </w:rPr>
              <w:t>本项目位于</w:t>
            </w:r>
            <w:r>
              <w:rPr>
                <w:rFonts w:hint="eastAsia" w:cs="Times New Roman"/>
                <w:bCs/>
                <w:color w:val="auto"/>
                <w:sz w:val="24"/>
                <w:lang w:val="en-US" w:eastAsia="zh-CN"/>
              </w:rPr>
              <w:t>霍山县诸佛庵镇狮山村穆家畈组</w:t>
            </w:r>
            <w:r>
              <w:rPr>
                <w:rFonts w:hint="eastAsia" w:ascii="Times New Roman" w:hAnsi="Times New Roman" w:cs="Times New Roman"/>
                <w:bCs/>
                <w:color w:val="auto"/>
                <w:sz w:val="24"/>
                <w:lang w:val="en-US" w:eastAsia="zh-CN"/>
              </w:rPr>
              <w:t xml:space="preserve">，用地范围内不含有生态环境保护目标，无需进行生态环境质量现状调查。 </w:t>
            </w:r>
          </w:p>
          <w:p w14:paraId="2AE3C517">
            <w:pPr>
              <w:pStyle w:val="45"/>
              <w:widowControl w:val="0"/>
              <w:ind w:firstLine="480"/>
              <w:rPr>
                <w:rFonts w:hint="default" w:ascii="Times New Roman" w:hAnsi="Times New Roman" w:cs="Times New Roman"/>
                <w:b/>
                <w:bCs w:val="0"/>
                <w:color w:val="auto"/>
                <w:sz w:val="24"/>
              </w:rPr>
            </w:pPr>
            <w:r>
              <w:rPr>
                <w:rFonts w:hint="default" w:ascii="Times New Roman" w:hAnsi="Times New Roman" w:cs="Times New Roman"/>
                <w:b/>
                <w:bCs w:val="0"/>
                <w:color w:val="auto"/>
                <w:sz w:val="24"/>
                <w:lang w:val="en-US" w:eastAsia="zh-CN"/>
              </w:rPr>
              <w:t>6</w:t>
            </w:r>
            <w:r>
              <w:rPr>
                <w:rFonts w:hint="eastAsia" w:ascii="Times New Roman" w:hAnsi="Times New Roman" w:cs="Times New Roman"/>
                <w:b/>
                <w:bCs w:val="0"/>
                <w:color w:val="auto"/>
                <w:sz w:val="24"/>
                <w:lang w:val="en-US" w:eastAsia="zh-CN"/>
              </w:rPr>
              <w:t xml:space="preserve">、电磁辐射 </w:t>
            </w:r>
          </w:p>
          <w:p w14:paraId="0B71C0F5">
            <w:pPr>
              <w:pStyle w:val="45"/>
              <w:widowControl w:val="0"/>
              <w:ind w:firstLine="480"/>
              <w:rPr>
                <w:rFonts w:hint="default" w:cs="Times New Roman"/>
                <w:color w:val="auto"/>
                <w:sz w:val="24"/>
                <w:szCs w:val="24"/>
                <w:lang w:val="en-US" w:eastAsia="zh-CN"/>
              </w:rPr>
            </w:pPr>
            <w:r>
              <w:rPr>
                <w:rFonts w:hint="eastAsia" w:ascii="Times New Roman" w:hAnsi="Times New Roman" w:cs="Times New Roman"/>
                <w:bCs/>
                <w:color w:val="auto"/>
                <w:sz w:val="24"/>
                <w:lang w:val="en-US" w:eastAsia="zh-CN"/>
              </w:rPr>
              <w:t>建设项目不涉及电磁辐射，无需对电磁辐射现状开展监测与评价。</w:t>
            </w:r>
          </w:p>
        </w:tc>
      </w:tr>
      <w:tr w14:paraId="77EC9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trHeight w:val="90" w:hRule="atLeast"/>
          <w:jc w:val="center"/>
        </w:trPr>
        <w:tc>
          <w:tcPr>
            <w:tcW w:w="738" w:type="dxa"/>
            <w:noWrap w:val="0"/>
            <w:vAlign w:val="center"/>
          </w:tcPr>
          <w:p w14:paraId="68CEF055">
            <w:pPr>
              <w:jc w:val="center"/>
              <w:rPr>
                <w:rFonts w:hint="default" w:ascii="Times New Roman" w:hAnsi="Times New Roman" w:cs="Times New Roman"/>
                <w:color w:val="auto"/>
                <w:sz w:val="24"/>
                <w:szCs w:val="22"/>
                <w:vertAlign w:val="baseline"/>
              </w:rPr>
            </w:pPr>
            <w:r>
              <w:rPr>
                <w:rFonts w:hint="default" w:ascii="Times New Roman" w:hAnsi="Times New Roman" w:cs="Times New Roman"/>
                <w:color w:val="auto"/>
                <w:sz w:val="24"/>
                <w:szCs w:val="22"/>
                <w:vertAlign w:val="baseline"/>
              </w:rPr>
              <w:t>环境</w:t>
            </w:r>
          </w:p>
          <w:p w14:paraId="38F39F81">
            <w:pPr>
              <w:jc w:val="center"/>
              <w:rPr>
                <w:rFonts w:hint="default" w:ascii="Times New Roman" w:hAnsi="Times New Roman" w:cs="Times New Roman"/>
                <w:color w:val="auto"/>
                <w:sz w:val="24"/>
                <w:szCs w:val="22"/>
                <w:vertAlign w:val="baseline"/>
              </w:rPr>
            </w:pPr>
            <w:r>
              <w:rPr>
                <w:rFonts w:hint="default" w:ascii="Times New Roman" w:hAnsi="Times New Roman" w:cs="Times New Roman"/>
                <w:color w:val="auto"/>
                <w:sz w:val="24"/>
                <w:szCs w:val="22"/>
                <w:vertAlign w:val="baseline"/>
              </w:rPr>
              <w:t>保护</w:t>
            </w:r>
          </w:p>
          <w:p w14:paraId="7BDBE97A">
            <w:pPr>
              <w:jc w:val="center"/>
              <w:rPr>
                <w:rFonts w:hint="default" w:ascii="Times New Roman" w:hAnsi="Times New Roman" w:cs="Times New Roman"/>
                <w:color w:val="0000FF"/>
                <w:sz w:val="24"/>
                <w:szCs w:val="22"/>
                <w:vertAlign w:val="baseline"/>
              </w:rPr>
            </w:pPr>
            <w:r>
              <w:rPr>
                <w:rFonts w:hint="default" w:ascii="Times New Roman" w:hAnsi="Times New Roman" w:cs="Times New Roman"/>
                <w:color w:val="auto"/>
                <w:sz w:val="24"/>
                <w:szCs w:val="22"/>
                <w:vertAlign w:val="baseline"/>
              </w:rPr>
              <w:t>目标</w:t>
            </w:r>
          </w:p>
        </w:tc>
        <w:tc>
          <w:tcPr>
            <w:tcW w:w="8550" w:type="dxa"/>
            <w:noWrap w:val="0"/>
            <w:vAlign w:val="top"/>
          </w:tcPr>
          <w:p w14:paraId="5DFEEE9F">
            <w:pPr>
              <w:spacing w:line="360" w:lineRule="auto"/>
              <w:ind w:firstLine="480" w:firstLineChars="200"/>
              <w:jc w:val="both"/>
              <w:rPr>
                <w:rFonts w:hint="default"/>
                <w:lang w:val="en-US" w:eastAsia="zh-CN"/>
              </w:rPr>
            </w:pPr>
            <w:r>
              <w:rPr>
                <w:rFonts w:hint="eastAsia"/>
                <w:lang w:val="en-US" w:eastAsia="zh-CN"/>
              </w:rPr>
              <w:t>1、</w:t>
            </w:r>
            <w:r>
              <w:rPr>
                <w:rFonts w:hint="default"/>
                <w:lang w:val="en-US" w:eastAsia="zh-CN"/>
              </w:rPr>
              <w:t>大气环境</w:t>
            </w:r>
          </w:p>
          <w:p w14:paraId="236CB1CB">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color w:val="auto"/>
                <w:sz w:val="24"/>
                <w:szCs w:val="24"/>
                <w:highlight w:val="none"/>
              </w:rPr>
            </w:pPr>
            <w:r>
              <w:rPr>
                <w:rFonts w:hint="default"/>
                <w:lang w:val="en-US" w:eastAsia="zh-CN"/>
              </w:rPr>
              <w:t>根据现场勘查，</w:t>
            </w:r>
            <w:r>
              <w:rPr>
                <w:rFonts w:hint="eastAsia"/>
                <w:lang w:val="en-US" w:eastAsia="zh-CN"/>
              </w:rPr>
              <w:t>本项目选址在</w:t>
            </w:r>
            <w:r>
              <w:rPr>
                <w:rFonts w:hint="eastAsia" w:cs="Times New Roman"/>
                <w:bCs/>
                <w:color w:val="auto"/>
                <w:sz w:val="24"/>
                <w:lang w:val="en-US" w:eastAsia="zh-CN"/>
              </w:rPr>
              <w:t>霍山县诸佛庵镇狮山村穆家畈组</w:t>
            </w:r>
            <w:r>
              <w:rPr>
                <w:rFonts w:hint="eastAsia" w:ascii="新宋体" w:hAnsi="新宋体" w:eastAsia="新宋体" w:cs="新宋体"/>
                <w:color w:val="000000"/>
                <w:kern w:val="0"/>
                <w:sz w:val="24"/>
                <w:szCs w:val="24"/>
                <w:lang w:val="en-US" w:eastAsia="zh-CN" w:bidi="ar"/>
              </w:rPr>
              <w:t>，</w:t>
            </w:r>
            <w:r>
              <w:rPr>
                <w:rFonts w:hint="default"/>
                <w:lang w:val="en-US" w:eastAsia="zh-CN"/>
              </w:rPr>
              <w:t>项目周边500m范围不存在自然保护区、风景名胜区、文化区区域等环境保护目标，</w:t>
            </w:r>
            <w:r>
              <w:rPr>
                <w:rFonts w:hint="eastAsia"/>
                <w:color w:val="auto"/>
                <w:sz w:val="24"/>
              </w:rPr>
              <w:t>但厂界外500米范围内有居民点若干</w:t>
            </w:r>
            <w:r>
              <w:rPr>
                <w:rFonts w:hint="eastAsia"/>
                <w:color w:val="auto"/>
                <w:sz w:val="24"/>
                <w:lang w:eastAsia="zh-CN"/>
              </w:rPr>
              <w:t>，</w:t>
            </w:r>
            <w:r>
              <w:rPr>
                <w:rFonts w:hint="eastAsia"/>
                <w:color w:val="auto"/>
                <w:sz w:val="24"/>
              </w:rPr>
              <w:t>详见附图</w:t>
            </w:r>
            <w:r>
              <w:rPr>
                <w:rFonts w:hint="eastAsia"/>
                <w:color w:val="auto"/>
                <w:sz w:val="24"/>
                <w:lang w:val="en-US" w:eastAsia="zh-CN"/>
              </w:rPr>
              <w:t>2</w:t>
            </w:r>
            <w:r>
              <w:rPr>
                <w:rFonts w:hint="eastAsia"/>
                <w:color w:val="auto"/>
                <w:sz w:val="24"/>
              </w:rPr>
              <w:t>。大气环境保护目标见</w:t>
            </w:r>
            <w:r>
              <w:rPr>
                <w:rFonts w:hint="eastAsia"/>
                <w:color w:val="auto"/>
                <w:sz w:val="24"/>
                <w:lang w:val="en-US" w:eastAsia="zh-CN"/>
              </w:rPr>
              <w:t>下</w:t>
            </w:r>
            <w:r>
              <w:rPr>
                <w:rFonts w:hint="eastAsia"/>
                <w:color w:val="auto"/>
                <w:sz w:val="24"/>
              </w:rPr>
              <w:t>表</w:t>
            </w:r>
            <w:r>
              <w:rPr>
                <w:rFonts w:hint="default" w:ascii="Times New Roman" w:hAnsi="Times New Roman" w:eastAsia="宋体" w:cs="Times New Roman"/>
                <w:color w:val="auto"/>
                <w:sz w:val="24"/>
                <w:szCs w:val="24"/>
                <w:highlight w:val="none"/>
                <w:lang w:bidi="ar"/>
              </w:rPr>
              <w:t>：</w:t>
            </w:r>
          </w:p>
          <w:p w14:paraId="67EB96D6">
            <w:pPr>
              <w:pStyle w:val="45"/>
              <w:widowControl w:val="0"/>
              <w:ind w:firstLine="0" w:firstLineChars="0"/>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表3-</w:t>
            </w:r>
            <w:r>
              <w:rPr>
                <w:rFonts w:hint="eastAsia" w:cs="Times New Roman"/>
                <w:b/>
                <w:bCs/>
                <w:color w:val="auto"/>
                <w:sz w:val="24"/>
                <w:szCs w:val="24"/>
                <w:lang w:val="en-US" w:eastAsia="zh-CN"/>
              </w:rPr>
              <w:t>3</w:t>
            </w:r>
            <w:r>
              <w:rPr>
                <w:rFonts w:hint="default" w:ascii="Times New Roman" w:hAnsi="Times New Roman" w:eastAsia="宋体" w:cs="Times New Roman"/>
                <w:b/>
                <w:bCs/>
                <w:color w:val="auto"/>
                <w:sz w:val="24"/>
                <w:szCs w:val="24"/>
                <w:lang w:val="en-US" w:eastAsia="zh-CN"/>
              </w:rPr>
              <w:t xml:space="preserve">  </w:t>
            </w:r>
            <w:r>
              <w:rPr>
                <w:rFonts w:hint="eastAsia" w:ascii="Times New Roman" w:hAnsi="Times New Roman" w:eastAsia="宋体" w:cs="Times New Roman"/>
                <w:b/>
                <w:bCs/>
                <w:color w:val="auto"/>
                <w:sz w:val="24"/>
                <w:szCs w:val="24"/>
                <w:lang w:val="en-US" w:eastAsia="zh-CN"/>
              </w:rPr>
              <w:t>大气</w:t>
            </w:r>
            <w:r>
              <w:rPr>
                <w:rFonts w:hint="default" w:ascii="Times New Roman" w:hAnsi="Times New Roman" w:eastAsia="宋体" w:cs="Times New Roman"/>
                <w:b/>
                <w:bCs/>
                <w:color w:val="auto"/>
                <w:sz w:val="24"/>
                <w:szCs w:val="24"/>
                <w:lang w:val="en-US" w:eastAsia="zh-CN"/>
              </w:rPr>
              <w:t>环境保护目标</w:t>
            </w:r>
          </w:p>
          <w:tbl>
            <w:tblPr>
              <w:tblStyle w:val="26"/>
              <w:tblW w:w="499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8"/>
              <w:gridCol w:w="1272"/>
              <w:gridCol w:w="1233"/>
              <w:gridCol w:w="900"/>
              <w:gridCol w:w="717"/>
              <w:gridCol w:w="683"/>
              <w:gridCol w:w="717"/>
              <w:gridCol w:w="1233"/>
              <w:gridCol w:w="1051"/>
            </w:tblGrid>
            <w:tr w14:paraId="77E00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305" w:type="pct"/>
                  <w:vMerge w:val="restart"/>
                  <w:noWrap w:val="0"/>
                  <w:vAlign w:val="center"/>
                </w:tcPr>
                <w:p w14:paraId="2995DD64">
                  <w:pPr>
                    <w:jc w:val="center"/>
                    <w:rPr>
                      <w:b/>
                      <w:bCs/>
                      <w:color w:val="auto"/>
                      <w:sz w:val="21"/>
                      <w:szCs w:val="21"/>
                    </w:rPr>
                  </w:pPr>
                  <w:r>
                    <w:rPr>
                      <w:rFonts w:hint="eastAsia"/>
                      <w:b/>
                      <w:bCs/>
                      <w:color w:val="auto"/>
                      <w:sz w:val="21"/>
                      <w:szCs w:val="21"/>
                    </w:rPr>
                    <w:t>环境要素</w:t>
                  </w:r>
                </w:p>
              </w:tc>
              <w:tc>
                <w:tcPr>
                  <w:tcW w:w="1506" w:type="pct"/>
                  <w:gridSpan w:val="2"/>
                  <w:noWrap w:val="0"/>
                  <w:vAlign w:val="center"/>
                </w:tcPr>
                <w:p w14:paraId="534304E1">
                  <w:pPr>
                    <w:jc w:val="center"/>
                    <w:rPr>
                      <w:b/>
                      <w:bCs/>
                      <w:color w:val="auto"/>
                      <w:sz w:val="21"/>
                      <w:szCs w:val="21"/>
                    </w:rPr>
                  </w:pPr>
                  <w:r>
                    <w:rPr>
                      <w:rFonts w:hint="eastAsia"/>
                      <w:b/>
                      <w:bCs/>
                      <w:color w:val="auto"/>
                      <w:sz w:val="21"/>
                      <w:szCs w:val="21"/>
                    </w:rPr>
                    <w:t>坐标</w:t>
                  </w:r>
                </w:p>
              </w:tc>
              <w:tc>
                <w:tcPr>
                  <w:tcW w:w="541" w:type="pct"/>
                  <w:vMerge w:val="restart"/>
                  <w:noWrap w:val="0"/>
                  <w:vAlign w:val="center"/>
                </w:tcPr>
                <w:p w14:paraId="186F0497">
                  <w:pPr>
                    <w:jc w:val="center"/>
                    <w:rPr>
                      <w:rFonts w:hint="eastAsia"/>
                      <w:b/>
                      <w:bCs/>
                      <w:color w:val="auto"/>
                      <w:sz w:val="21"/>
                      <w:szCs w:val="21"/>
                    </w:rPr>
                  </w:pPr>
                  <w:r>
                    <w:rPr>
                      <w:rFonts w:hint="eastAsia"/>
                      <w:b/>
                      <w:bCs/>
                      <w:color w:val="auto"/>
                      <w:sz w:val="21"/>
                      <w:szCs w:val="21"/>
                    </w:rPr>
                    <w:t>保护</w:t>
                  </w:r>
                </w:p>
                <w:p w14:paraId="4331BEA4">
                  <w:pPr>
                    <w:jc w:val="center"/>
                    <w:rPr>
                      <w:b/>
                      <w:bCs/>
                      <w:color w:val="auto"/>
                      <w:sz w:val="21"/>
                      <w:szCs w:val="21"/>
                    </w:rPr>
                  </w:pPr>
                  <w:r>
                    <w:rPr>
                      <w:rFonts w:hint="eastAsia"/>
                      <w:b/>
                      <w:bCs/>
                      <w:color w:val="auto"/>
                      <w:sz w:val="21"/>
                      <w:szCs w:val="21"/>
                    </w:rPr>
                    <w:t>对象</w:t>
                  </w:r>
                </w:p>
              </w:tc>
              <w:tc>
                <w:tcPr>
                  <w:tcW w:w="431" w:type="pct"/>
                  <w:vMerge w:val="restart"/>
                  <w:noWrap w:val="0"/>
                  <w:vAlign w:val="center"/>
                </w:tcPr>
                <w:p w14:paraId="18561171">
                  <w:pPr>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b/>
                      <w:bCs/>
                      <w:color w:val="auto"/>
                      <w:sz w:val="21"/>
                      <w:szCs w:val="21"/>
                    </w:rPr>
                    <w:t>保护内容</w:t>
                  </w:r>
                </w:p>
              </w:tc>
              <w:tc>
                <w:tcPr>
                  <w:tcW w:w="410" w:type="pct"/>
                  <w:vMerge w:val="restart"/>
                  <w:noWrap w:val="0"/>
                  <w:vAlign w:val="center"/>
                </w:tcPr>
                <w:p w14:paraId="69DF5B2F">
                  <w:pPr>
                    <w:jc w:val="center"/>
                    <w:rPr>
                      <w:b/>
                      <w:bCs/>
                      <w:color w:val="auto"/>
                      <w:sz w:val="21"/>
                      <w:szCs w:val="21"/>
                    </w:rPr>
                  </w:pPr>
                  <w:r>
                    <w:rPr>
                      <w:rFonts w:hint="eastAsia"/>
                      <w:b/>
                      <w:bCs/>
                      <w:color w:val="auto"/>
                      <w:sz w:val="21"/>
                      <w:szCs w:val="21"/>
                    </w:rPr>
                    <w:t>相对厂址方位</w:t>
                  </w:r>
                </w:p>
              </w:tc>
              <w:tc>
                <w:tcPr>
                  <w:tcW w:w="431" w:type="pct"/>
                  <w:vMerge w:val="restart"/>
                  <w:noWrap w:val="0"/>
                  <w:vAlign w:val="center"/>
                </w:tcPr>
                <w:p w14:paraId="3EFA7F75">
                  <w:pPr>
                    <w:jc w:val="center"/>
                    <w:rPr>
                      <w:b/>
                      <w:bCs/>
                      <w:color w:val="auto"/>
                      <w:sz w:val="21"/>
                      <w:szCs w:val="21"/>
                    </w:rPr>
                  </w:pPr>
                  <w:r>
                    <w:rPr>
                      <w:rFonts w:hint="eastAsia"/>
                      <w:b/>
                      <w:bCs/>
                      <w:color w:val="auto"/>
                      <w:sz w:val="21"/>
                      <w:szCs w:val="21"/>
                    </w:rPr>
                    <w:t>相对厂界距离/m</w:t>
                  </w:r>
                </w:p>
              </w:tc>
              <w:tc>
                <w:tcPr>
                  <w:tcW w:w="741" w:type="pct"/>
                  <w:vMerge w:val="restart"/>
                  <w:noWrap w:val="0"/>
                  <w:vAlign w:val="center"/>
                </w:tcPr>
                <w:p w14:paraId="603A6FD6">
                  <w:pPr>
                    <w:jc w:val="center"/>
                    <w:rPr>
                      <w:b/>
                      <w:bCs/>
                      <w:color w:val="auto"/>
                      <w:sz w:val="21"/>
                      <w:szCs w:val="21"/>
                    </w:rPr>
                  </w:pPr>
                  <w:r>
                    <w:rPr>
                      <w:rFonts w:hint="eastAsia"/>
                      <w:b/>
                      <w:bCs/>
                      <w:color w:val="auto"/>
                      <w:sz w:val="21"/>
                      <w:szCs w:val="21"/>
                    </w:rPr>
                    <w:t>规模</w:t>
                  </w:r>
                </w:p>
              </w:tc>
              <w:tc>
                <w:tcPr>
                  <w:tcW w:w="632" w:type="pct"/>
                  <w:vMerge w:val="restart"/>
                  <w:noWrap w:val="0"/>
                  <w:vAlign w:val="center"/>
                </w:tcPr>
                <w:p w14:paraId="651A373C">
                  <w:pPr>
                    <w:jc w:val="center"/>
                    <w:rPr>
                      <w:b/>
                      <w:bCs/>
                      <w:color w:val="auto"/>
                      <w:sz w:val="21"/>
                      <w:szCs w:val="21"/>
                    </w:rPr>
                  </w:pPr>
                  <w:r>
                    <w:rPr>
                      <w:rFonts w:hint="eastAsia"/>
                      <w:b/>
                      <w:bCs/>
                      <w:color w:val="auto"/>
                      <w:sz w:val="21"/>
                      <w:szCs w:val="21"/>
                    </w:rPr>
                    <w:t>保护级别</w:t>
                  </w:r>
                </w:p>
              </w:tc>
            </w:tr>
            <w:tr w14:paraId="284BB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305" w:type="pct"/>
                  <w:vMerge w:val="continue"/>
                  <w:noWrap w:val="0"/>
                  <w:vAlign w:val="center"/>
                </w:tcPr>
                <w:p w14:paraId="56461FEC">
                  <w:pPr>
                    <w:jc w:val="center"/>
                    <w:rPr>
                      <w:color w:val="auto"/>
                      <w:sz w:val="21"/>
                      <w:szCs w:val="21"/>
                    </w:rPr>
                  </w:pPr>
                </w:p>
              </w:tc>
              <w:tc>
                <w:tcPr>
                  <w:tcW w:w="764" w:type="pct"/>
                  <w:noWrap w:val="0"/>
                  <w:vAlign w:val="center"/>
                </w:tcPr>
                <w:p w14:paraId="20C6C43B">
                  <w:pPr>
                    <w:jc w:val="center"/>
                    <w:rPr>
                      <w:rFonts w:hint="default" w:eastAsia="宋体"/>
                      <w:b/>
                      <w:bCs/>
                      <w:color w:val="auto"/>
                      <w:sz w:val="21"/>
                      <w:szCs w:val="21"/>
                      <w:lang w:val="en-US" w:eastAsia="zh-CN"/>
                    </w:rPr>
                  </w:pPr>
                  <w:r>
                    <w:rPr>
                      <w:rFonts w:hint="eastAsia"/>
                      <w:b/>
                      <w:bCs/>
                      <w:color w:val="auto"/>
                      <w:sz w:val="21"/>
                      <w:szCs w:val="21"/>
                      <w:lang w:val="en-US" w:eastAsia="zh-CN"/>
                    </w:rPr>
                    <w:t>经度</w:t>
                  </w:r>
                </w:p>
              </w:tc>
              <w:tc>
                <w:tcPr>
                  <w:tcW w:w="741" w:type="pct"/>
                  <w:noWrap w:val="0"/>
                  <w:vAlign w:val="center"/>
                </w:tcPr>
                <w:p w14:paraId="77DDA5C9">
                  <w:pPr>
                    <w:jc w:val="center"/>
                    <w:rPr>
                      <w:rFonts w:hint="default" w:eastAsia="宋体"/>
                      <w:b/>
                      <w:bCs/>
                      <w:color w:val="auto"/>
                      <w:sz w:val="21"/>
                      <w:szCs w:val="21"/>
                      <w:lang w:val="en-US" w:eastAsia="zh-CN"/>
                    </w:rPr>
                  </w:pPr>
                  <w:r>
                    <w:rPr>
                      <w:rFonts w:hint="eastAsia"/>
                      <w:b/>
                      <w:bCs/>
                      <w:color w:val="auto"/>
                      <w:sz w:val="21"/>
                      <w:szCs w:val="21"/>
                      <w:lang w:val="en-US" w:eastAsia="zh-CN"/>
                    </w:rPr>
                    <w:t>纬度</w:t>
                  </w:r>
                </w:p>
              </w:tc>
              <w:tc>
                <w:tcPr>
                  <w:tcW w:w="541" w:type="pct"/>
                  <w:vMerge w:val="continue"/>
                  <w:noWrap w:val="0"/>
                  <w:vAlign w:val="center"/>
                </w:tcPr>
                <w:p w14:paraId="38D1C839">
                  <w:pPr>
                    <w:jc w:val="center"/>
                    <w:rPr>
                      <w:color w:val="auto"/>
                      <w:sz w:val="21"/>
                      <w:szCs w:val="21"/>
                    </w:rPr>
                  </w:pPr>
                </w:p>
              </w:tc>
              <w:tc>
                <w:tcPr>
                  <w:tcW w:w="431" w:type="pct"/>
                  <w:vMerge w:val="continue"/>
                  <w:noWrap w:val="0"/>
                  <w:vAlign w:val="center"/>
                </w:tcPr>
                <w:p w14:paraId="20A07C21">
                  <w:pPr>
                    <w:jc w:val="center"/>
                    <w:rPr>
                      <w:rFonts w:hint="eastAsia" w:ascii="Times New Roman" w:hAnsi="Times New Roman" w:eastAsia="宋体" w:cs="Times New Roman"/>
                      <w:color w:val="auto"/>
                      <w:sz w:val="21"/>
                      <w:szCs w:val="21"/>
                    </w:rPr>
                  </w:pPr>
                </w:p>
              </w:tc>
              <w:tc>
                <w:tcPr>
                  <w:tcW w:w="410" w:type="pct"/>
                  <w:vMerge w:val="continue"/>
                  <w:noWrap w:val="0"/>
                  <w:vAlign w:val="center"/>
                </w:tcPr>
                <w:p w14:paraId="336EA8EC">
                  <w:pPr>
                    <w:jc w:val="center"/>
                    <w:rPr>
                      <w:color w:val="auto"/>
                      <w:sz w:val="21"/>
                      <w:szCs w:val="21"/>
                    </w:rPr>
                  </w:pPr>
                </w:p>
              </w:tc>
              <w:tc>
                <w:tcPr>
                  <w:tcW w:w="431" w:type="pct"/>
                  <w:vMerge w:val="continue"/>
                  <w:noWrap w:val="0"/>
                  <w:vAlign w:val="center"/>
                </w:tcPr>
                <w:p w14:paraId="508DADEC">
                  <w:pPr>
                    <w:jc w:val="center"/>
                    <w:rPr>
                      <w:color w:val="auto"/>
                      <w:sz w:val="21"/>
                      <w:szCs w:val="21"/>
                    </w:rPr>
                  </w:pPr>
                </w:p>
              </w:tc>
              <w:tc>
                <w:tcPr>
                  <w:tcW w:w="741" w:type="pct"/>
                  <w:vMerge w:val="continue"/>
                  <w:noWrap w:val="0"/>
                  <w:vAlign w:val="center"/>
                </w:tcPr>
                <w:p w14:paraId="257BEFAA">
                  <w:pPr>
                    <w:jc w:val="center"/>
                    <w:rPr>
                      <w:color w:val="auto"/>
                      <w:sz w:val="21"/>
                      <w:szCs w:val="21"/>
                    </w:rPr>
                  </w:pPr>
                </w:p>
              </w:tc>
              <w:tc>
                <w:tcPr>
                  <w:tcW w:w="632" w:type="pct"/>
                  <w:vMerge w:val="continue"/>
                  <w:noWrap w:val="0"/>
                  <w:vAlign w:val="center"/>
                </w:tcPr>
                <w:p w14:paraId="2548E48B">
                  <w:pPr>
                    <w:jc w:val="center"/>
                    <w:rPr>
                      <w:color w:val="auto"/>
                      <w:sz w:val="21"/>
                      <w:szCs w:val="21"/>
                    </w:rPr>
                  </w:pPr>
                </w:p>
              </w:tc>
            </w:tr>
            <w:tr w14:paraId="6F754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305" w:type="pct"/>
                  <w:vMerge w:val="restart"/>
                  <w:noWrap w:val="0"/>
                  <w:vAlign w:val="center"/>
                </w:tcPr>
                <w:p w14:paraId="0555E8AB">
                  <w:pPr>
                    <w:jc w:val="center"/>
                    <w:rPr>
                      <w:color w:val="auto"/>
                      <w:sz w:val="21"/>
                      <w:szCs w:val="21"/>
                    </w:rPr>
                  </w:pPr>
                  <w:r>
                    <w:rPr>
                      <w:rFonts w:hint="eastAsia"/>
                      <w:color w:val="auto"/>
                      <w:sz w:val="21"/>
                      <w:szCs w:val="21"/>
                    </w:rPr>
                    <w:t>大气环境</w:t>
                  </w:r>
                </w:p>
              </w:tc>
              <w:tc>
                <w:tcPr>
                  <w:tcW w:w="764" w:type="pct"/>
                  <w:shd w:val="clear" w:color="auto" w:fill="auto"/>
                  <w:noWrap w:val="0"/>
                  <w:vAlign w:val="center"/>
                </w:tcPr>
                <w:p w14:paraId="1280DBB0">
                  <w:pPr>
                    <w:pStyle w:val="75"/>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snapToGrid w:val="0"/>
                      <w:kern w:val="0"/>
                      <w:sz w:val="21"/>
                      <w:szCs w:val="18"/>
                      <w:vertAlign w:val="baseline"/>
                      <w:lang w:val="en-US" w:eastAsia="zh-CN" w:bidi="ar-SA"/>
                    </w:rPr>
                  </w:pPr>
                  <w:r>
                    <w:rPr>
                      <w:rFonts w:hint="eastAsia" w:cs="Times New Roman"/>
                      <w:b w:val="0"/>
                      <w:bCs w:val="0"/>
                      <w:snapToGrid w:val="0"/>
                      <w:kern w:val="0"/>
                      <w:sz w:val="21"/>
                      <w:szCs w:val="18"/>
                      <w:vertAlign w:val="baseline"/>
                      <w:lang w:val="en-US" w:eastAsia="zh-CN" w:bidi="ar-SA"/>
                    </w:rPr>
                    <w:t>116.185984</w:t>
                  </w:r>
                </w:p>
              </w:tc>
              <w:tc>
                <w:tcPr>
                  <w:tcW w:w="741" w:type="pct"/>
                  <w:noWrap w:val="0"/>
                  <w:vAlign w:val="center"/>
                </w:tcPr>
                <w:p w14:paraId="42CAC0C0">
                  <w:pPr>
                    <w:jc w:val="center"/>
                    <w:rPr>
                      <w:rFonts w:hint="default" w:eastAsia="宋体"/>
                      <w:color w:val="auto"/>
                      <w:sz w:val="21"/>
                      <w:szCs w:val="21"/>
                      <w:lang w:val="en-US" w:eastAsia="zh-CN"/>
                    </w:rPr>
                  </w:pPr>
                  <w:r>
                    <w:rPr>
                      <w:rFonts w:hint="eastAsia"/>
                      <w:color w:val="auto"/>
                      <w:sz w:val="21"/>
                      <w:szCs w:val="21"/>
                      <w:lang w:val="en-US" w:eastAsia="zh-CN"/>
                    </w:rPr>
                    <w:t>31.413211</w:t>
                  </w:r>
                </w:p>
              </w:tc>
              <w:tc>
                <w:tcPr>
                  <w:tcW w:w="541" w:type="pct"/>
                  <w:shd w:val="clear" w:color="auto" w:fill="auto"/>
                  <w:noWrap w:val="0"/>
                  <w:vAlign w:val="center"/>
                </w:tcPr>
                <w:p w14:paraId="32D0AF12">
                  <w:pPr>
                    <w:pStyle w:val="75"/>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snapToGrid w:val="0"/>
                      <w:kern w:val="0"/>
                      <w:sz w:val="21"/>
                      <w:szCs w:val="18"/>
                      <w:vertAlign w:val="baseline"/>
                      <w:lang w:val="en-US" w:eastAsia="zh-CN" w:bidi="ar-SA"/>
                    </w:rPr>
                  </w:pPr>
                  <w:r>
                    <w:rPr>
                      <w:rFonts w:hint="eastAsia" w:ascii="Times New Roman" w:hAnsi="Times New Roman" w:cs="Times New Roman"/>
                      <w:b w:val="0"/>
                      <w:bCs w:val="0"/>
                      <w:sz w:val="21"/>
                      <w:szCs w:val="18"/>
                      <w:vertAlign w:val="baseline"/>
                      <w:lang w:val="en-US" w:eastAsia="zh-CN"/>
                    </w:rPr>
                    <w:t>狮山村</w:t>
                  </w:r>
                  <w:r>
                    <w:rPr>
                      <w:rFonts w:hint="default" w:ascii="Times New Roman" w:hAnsi="Times New Roman" w:eastAsia="宋体" w:cs="Times New Roman"/>
                      <w:b w:val="0"/>
                      <w:bCs w:val="0"/>
                      <w:sz w:val="21"/>
                      <w:szCs w:val="18"/>
                      <w:vertAlign w:val="baseline"/>
                      <w:lang w:eastAsia="zh-CN"/>
                    </w:rPr>
                    <w:t>穆家畈</w:t>
                  </w:r>
                  <w:r>
                    <w:rPr>
                      <w:rFonts w:hint="eastAsia" w:ascii="Times New Roman" w:hAnsi="Times New Roman" w:cs="Times New Roman"/>
                      <w:b w:val="0"/>
                      <w:bCs w:val="0"/>
                      <w:sz w:val="21"/>
                      <w:szCs w:val="18"/>
                      <w:vertAlign w:val="baseline"/>
                      <w:lang w:val="en-US" w:eastAsia="zh-CN"/>
                    </w:rPr>
                    <w:t>组</w:t>
                  </w:r>
                </w:p>
              </w:tc>
              <w:tc>
                <w:tcPr>
                  <w:tcW w:w="431" w:type="pct"/>
                  <w:noWrap w:val="0"/>
                  <w:vAlign w:val="center"/>
                </w:tcPr>
                <w:p w14:paraId="23EEE6C0">
                  <w:pPr>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居民</w:t>
                  </w:r>
                </w:p>
              </w:tc>
              <w:tc>
                <w:tcPr>
                  <w:tcW w:w="410" w:type="pct"/>
                  <w:noWrap w:val="0"/>
                  <w:vAlign w:val="center"/>
                </w:tcPr>
                <w:p w14:paraId="141362D7">
                  <w:pPr>
                    <w:jc w:val="center"/>
                    <w:rPr>
                      <w:rFonts w:hint="default" w:eastAsia="宋体"/>
                      <w:color w:val="auto"/>
                      <w:sz w:val="21"/>
                      <w:szCs w:val="21"/>
                      <w:lang w:val="en-US" w:eastAsia="zh-CN"/>
                    </w:rPr>
                  </w:pPr>
                  <w:r>
                    <w:rPr>
                      <w:rFonts w:hint="eastAsia"/>
                      <w:color w:val="auto"/>
                      <w:sz w:val="21"/>
                      <w:szCs w:val="21"/>
                      <w:lang w:val="en-US" w:eastAsia="zh-CN"/>
                    </w:rPr>
                    <w:t>N</w:t>
                  </w:r>
                </w:p>
              </w:tc>
              <w:tc>
                <w:tcPr>
                  <w:tcW w:w="431" w:type="pct"/>
                  <w:noWrap w:val="0"/>
                  <w:vAlign w:val="center"/>
                </w:tcPr>
                <w:p w14:paraId="46D98135">
                  <w:pPr>
                    <w:jc w:val="center"/>
                    <w:rPr>
                      <w:rFonts w:hint="default" w:eastAsia="宋体"/>
                      <w:color w:val="auto"/>
                      <w:sz w:val="21"/>
                      <w:szCs w:val="21"/>
                      <w:lang w:val="en-US" w:eastAsia="zh-CN"/>
                    </w:rPr>
                  </w:pPr>
                  <w:r>
                    <w:rPr>
                      <w:rFonts w:hint="eastAsia"/>
                      <w:color w:val="auto"/>
                      <w:sz w:val="21"/>
                      <w:szCs w:val="21"/>
                      <w:lang w:val="en-US" w:eastAsia="zh-CN"/>
                    </w:rPr>
                    <w:t>10</w:t>
                  </w:r>
                </w:p>
              </w:tc>
              <w:tc>
                <w:tcPr>
                  <w:tcW w:w="741" w:type="pct"/>
                  <w:shd w:val="clear" w:color="auto" w:fill="auto"/>
                  <w:noWrap w:val="0"/>
                  <w:vAlign w:val="center"/>
                </w:tcPr>
                <w:p w14:paraId="24E7CD89">
                  <w:pPr>
                    <w:pStyle w:val="75"/>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sz w:val="21"/>
                      <w:szCs w:val="18"/>
                      <w:vertAlign w:val="baseline"/>
                      <w:lang w:eastAsia="zh-CN"/>
                    </w:rPr>
                  </w:pPr>
                  <w:r>
                    <w:rPr>
                      <w:rFonts w:hint="default" w:ascii="Times New Roman" w:hAnsi="Times New Roman" w:eastAsia="宋体" w:cs="Times New Roman"/>
                      <w:b w:val="0"/>
                      <w:bCs w:val="0"/>
                      <w:sz w:val="21"/>
                      <w:szCs w:val="18"/>
                      <w:vertAlign w:val="baseline"/>
                      <w:lang w:eastAsia="zh-CN"/>
                    </w:rPr>
                    <w:t>13户</w:t>
                  </w:r>
                </w:p>
                <w:p w14:paraId="001C755D">
                  <w:pPr>
                    <w:pStyle w:val="75"/>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snapToGrid w:val="0"/>
                      <w:kern w:val="0"/>
                      <w:sz w:val="21"/>
                      <w:szCs w:val="18"/>
                      <w:vertAlign w:val="baseline"/>
                      <w:lang w:val="en-US" w:eastAsia="zh-CN" w:bidi="ar-SA"/>
                    </w:rPr>
                  </w:pPr>
                  <w:r>
                    <w:rPr>
                      <w:rFonts w:hint="default" w:ascii="Times New Roman" w:hAnsi="Times New Roman" w:eastAsia="宋体" w:cs="Times New Roman"/>
                      <w:b w:val="0"/>
                      <w:bCs w:val="0"/>
                      <w:sz w:val="21"/>
                      <w:szCs w:val="18"/>
                      <w:vertAlign w:val="baseline"/>
                      <w:lang w:eastAsia="zh-CN"/>
                    </w:rPr>
                    <w:t>（约</w:t>
                  </w:r>
                  <w:r>
                    <w:rPr>
                      <w:rFonts w:hint="eastAsia" w:ascii="Times New Roman" w:hAnsi="Times New Roman" w:cs="Times New Roman"/>
                      <w:b w:val="0"/>
                      <w:bCs w:val="0"/>
                      <w:sz w:val="21"/>
                      <w:szCs w:val="18"/>
                      <w:vertAlign w:val="baseline"/>
                      <w:lang w:val="en-US" w:eastAsia="zh-CN"/>
                    </w:rPr>
                    <w:t>40</w:t>
                  </w:r>
                  <w:r>
                    <w:rPr>
                      <w:rFonts w:hint="default" w:ascii="Times New Roman" w:hAnsi="Times New Roman" w:eastAsia="宋体" w:cs="Times New Roman"/>
                      <w:b w:val="0"/>
                      <w:bCs w:val="0"/>
                      <w:sz w:val="21"/>
                      <w:szCs w:val="18"/>
                      <w:vertAlign w:val="baseline"/>
                      <w:lang w:eastAsia="zh-CN"/>
                    </w:rPr>
                    <w:t>人）</w:t>
                  </w:r>
                </w:p>
              </w:tc>
              <w:tc>
                <w:tcPr>
                  <w:tcW w:w="632" w:type="pct"/>
                  <w:vMerge w:val="restart"/>
                  <w:noWrap w:val="0"/>
                  <w:vAlign w:val="center"/>
                </w:tcPr>
                <w:p w14:paraId="41183F04">
                  <w:pPr>
                    <w:jc w:val="center"/>
                    <w:rPr>
                      <w:color w:val="auto"/>
                      <w:sz w:val="21"/>
                      <w:szCs w:val="21"/>
                    </w:rPr>
                  </w:pPr>
                  <w:r>
                    <w:rPr>
                      <w:rFonts w:hint="eastAsia"/>
                      <w:color w:val="auto"/>
                      <w:sz w:val="21"/>
                      <w:szCs w:val="21"/>
                    </w:rPr>
                    <w:t>《环境空气质量标准》（GB3095-2012）二类区</w:t>
                  </w:r>
                </w:p>
              </w:tc>
            </w:tr>
            <w:tr w14:paraId="4BA19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305" w:type="pct"/>
                  <w:vMerge w:val="continue"/>
                  <w:noWrap w:val="0"/>
                  <w:vAlign w:val="center"/>
                </w:tcPr>
                <w:p w14:paraId="5D0B54DA">
                  <w:pPr>
                    <w:jc w:val="center"/>
                    <w:rPr>
                      <w:rFonts w:hint="eastAsia"/>
                      <w:color w:val="auto"/>
                      <w:sz w:val="21"/>
                      <w:szCs w:val="21"/>
                    </w:rPr>
                  </w:pPr>
                </w:p>
              </w:tc>
              <w:tc>
                <w:tcPr>
                  <w:tcW w:w="764" w:type="pct"/>
                  <w:shd w:val="clear" w:color="auto" w:fill="auto"/>
                  <w:noWrap w:val="0"/>
                  <w:vAlign w:val="center"/>
                </w:tcPr>
                <w:p w14:paraId="628A86BE">
                  <w:pPr>
                    <w:pStyle w:val="75"/>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snapToGrid w:val="0"/>
                      <w:kern w:val="0"/>
                      <w:sz w:val="21"/>
                      <w:szCs w:val="18"/>
                      <w:vertAlign w:val="baseline"/>
                      <w:lang w:val="en-US" w:eastAsia="zh-CN" w:bidi="ar-SA"/>
                    </w:rPr>
                  </w:pPr>
                  <w:r>
                    <w:rPr>
                      <w:rFonts w:hint="eastAsia" w:cs="Times New Roman"/>
                      <w:b w:val="0"/>
                      <w:bCs w:val="0"/>
                      <w:snapToGrid w:val="0"/>
                      <w:kern w:val="0"/>
                      <w:sz w:val="21"/>
                      <w:szCs w:val="18"/>
                      <w:vertAlign w:val="baseline"/>
                      <w:lang w:val="en-US" w:eastAsia="zh-CN" w:bidi="ar-SA"/>
                    </w:rPr>
                    <w:t>116.190136</w:t>
                  </w:r>
                </w:p>
              </w:tc>
              <w:tc>
                <w:tcPr>
                  <w:tcW w:w="741" w:type="pct"/>
                  <w:noWrap w:val="0"/>
                  <w:vAlign w:val="center"/>
                </w:tcPr>
                <w:p w14:paraId="5E42AB2B">
                  <w:pPr>
                    <w:jc w:val="center"/>
                    <w:rPr>
                      <w:rFonts w:hint="default" w:eastAsia="宋体"/>
                      <w:color w:val="auto"/>
                      <w:sz w:val="21"/>
                      <w:szCs w:val="21"/>
                      <w:lang w:val="en-US" w:eastAsia="zh-CN"/>
                    </w:rPr>
                  </w:pPr>
                  <w:r>
                    <w:rPr>
                      <w:rFonts w:hint="eastAsia"/>
                      <w:color w:val="auto"/>
                      <w:sz w:val="21"/>
                      <w:szCs w:val="21"/>
                      <w:lang w:val="en-US" w:eastAsia="zh-CN"/>
                    </w:rPr>
                    <w:t>31.409134</w:t>
                  </w:r>
                </w:p>
              </w:tc>
              <w:tc>
                <w:tcPr>
                  <w:tcW w:w="541" w:type="pct"/>
                  <w:shd w:val="clear" w:color="auto" w:fill="auto"/>
                  <w:noWrap w:val="0"/>
                  <w:vAlign w:val="center"/>
                </w:tcPr>
                <w:p w14:paraId="4A800C72">
                  <w:pPr>
                    <w:pStyle w:val="75"/>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snapToGrid w:val="0"/>
                      <w:kern w:val="0"/>
                      <w:sz w:val="21"/>
                      <w:szCs w:val="18"/>
                      <w:vertAlign w:val="baseline"/>
                      <w:lang w:val="en-US" w:eastAsia="zh-CN" w:bidi="ar-SA"/>
                    </w:rPr>
                  </w:pPr>
                  <w:r>
                    <w:rPr>
                      <w:rFonts w:hint="default" w:ascii="Times New Roman" w:hAnsi="Times New Roman" w:eastAsia="宋体" w:cs="Times New Roman"/>
                      <w:b w:val="0"/>
                      <w:bCs w:val="0"/>
                      <w:sz w:val="21"/>
                      <w:szCs w:val="18"/>
                      <w:vertAlign w:val="baseline"/>
                      <w:lang w:eastAsia="zh-CN"/>
                    </w:rPr>
                    <w:t>田家瓦屋</w:t>
                  </w:r>
                </w:p>
              </w:tc>
              <w:tc>
                <w:tcPr>
                  <w:tcW w:w="431" w:type="pct"/>
                  <w:noWrap w:val="0"/>
                  <w:vAlign w:val="center"/>
                </w:tcPr>
                <w:p w14:paraId="732B0BC3">
                  <w:pPr>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居民</w:t>
                  </w:r>
                </w:p>
              </w:tc>
              <w:tc>
                <w:tcPr>
                  <w:tcW w:w="410" w:type="pct"/>
                  <w:noWrap w:val="0"/>
                  <w:vAlign w:val="center"/>
                </w:tcPr>
                <w:p w14:paraId="078A5FF4">
                  <w:pPr>
                    <w:jc w:val="center"/>
                    <w:rPr>
                      <w:rFonts w:hint="eastAsia" w:eastAsia="宋体"/>
                      <w:color w:val="auto"/>
                      <w:sz w:val="21"/>
                      <w:szCs w:val="21"/>
                      <w:lang w:val="en-US" w:eastAsia="zh-CN"/>
                    </w:rPr>
                  </w:pPr>
                  <w:r>
                    <w:rPr>
                      <w:rFonts w:hint="eastAsia"/>
                      <w:color w:val="auto"/>
                      <w:sz w:val="21"/>
                      <w:szCs w:val="21"/>
                      <w:lang w:val="en-US" w:eastAsia="zh-CN"/>
                    </w:rPr>
                    <w:t>SE</w:t>
                  </w:r>
                </w:p>
              </w:tc>
              <w:tc>
                <w:tcPr>
                  <w:tcW w:w="431" w:type="pct"/>
                  <w:noWrap w:val="0"/>
                  <w:vAlign w:val="center"/>
                </w:tcPr>
                <w:p w14:paraId="74FD833B">
                  <w:pPr>
                    <w:jc w:val="center"/>
                    <w:rPr>
                      <w:rFonts w:hint="default" w:eastAsia="宋体"/>
                      <w:color w:val="auto"/>
                      <w:sz w:val="21"/>
                      <w:szCs w:val="21"/>
                      <w:lang w:val="en-US" w:eastAsia="zh-CN"/>
                    </w:rPr>
                  </w:pPr>
                  <w:r>
                    <w:rPr>
                      <w:rFonts w:hint="eastAsia"/>
                      <w:color w:val="auto"/>
                      <w:sz w:val="21"/>
                      <w:szCs w:val="21"/>
                      <w:lang w:val="en-US" w:eastAsia="zh-CN"/>
                    </w:rPr>
                    <w:t>410</w:t>
                  </w:r>
                </w:p>
              </w:tc>
              <w:tc>
                <w:tcPr>
                  <w:tcW w:w="741" w:type="pct"/>
                  <w:shd w:val="clear" w:color="auto" w:fill="auto"/>
                  <w:noWrap w:val="0"/>
                  <w:vAlign w:val="center"/>
                </w:tcPr>
                <w:p w14:paraId="2DA48989">
                  <w:pPr>
                    <w:pStyle w:val="75"/>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sz w:val="21"/>
                      <w:szCs w:val="18"/>
                      <w:vertAlign w:val="baseline"/>
                      <w:lang w:eastAsia="zh-CN"/>
                    </w:rPr>
                  </w:pPr>
                  <w:r>
                    <w:rPr>
                      <w:rFonts w:hint="eastAsia" w:ascii="Times New Roman" w:hAnsi="Times New Roman" w:cs="Times New Roman"/>
                      <w:b w:val="0"/>
                      <w:bCs w:val="0"/>
                      <w:sz w:val="21"/>
                      <w:szCs w:val="18"/>
                      <w:vertAlign w:val="baseline"/>
                      <w:lang w:val="en-US" w:eastAsia="zh-CN"/>
                    </w:rPr>
                    <w:t>20</w:t>
                  </w:r>
                  <w:r>
                    <w:rPr>
                      <w:rFonts w:hint="default" w:ascii="Times New Roman" w:hAnsi="Times New Roman" w:eastAsia="宋体" w:cs="Times New Roman"/>
                      <w:b w:val="0"/>
                      <w:bCs w:val="0"/>
                      <w:sz w:val="21"/>
                      <w:szCs w:val="18"/>
                      <w:vertAlign w:val="baseline"/>
                      <w:lang w:eastAsia="zh-CN"/>
                    </w:rPr>
                    <w:t>户</w:t>
                  </w:r>
                </w:p>
                <w:p w14:paraId="713F7965">
                  <w:pPr>
                    <w:pStyle w:val="75"/>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snapToGrid w:val="0"/>
                      <w:kern w:val="0"/>
                      <w:sz w:val="21"/>
                      <w:szCs w:val="18"/>
                      <w:vertAlign w:val="baseline"/>
                      <w:lang w:val="en-US" w:eastAsia="zh-CN" w:bidi="ar-SA"/>
                    </w:rPr>
                  </w:pPr>
                  <w:r>
                    <w:rPr>
                      <w:rFonts w:hint="default" w:ascii="Times New Roman" w:hAnsi="Times New Roman" w:eastAsia="宋体" w:cs="Times New Roman"/>
                      <w:b w:val="0"/>
                      <w:bCs w:val="0"/>
                      <w:sz w:val="21"/>
                      <w:szCs w:val="18"/>
                      <w:vertAlign w:val="baseline"/>
                      <w:lang w:eastAsia="zh-CN"/>
                    </w:rPr>
                    <w:t>（约</w:t>
                  </w:r>
                  <w:r>
                    <w:rPr>
                      <w:rFonts w:hint="eastAsia" w:ascii="Times New Roman" w:hAnsi="Times New Roman" w:cs="Times New Roman"/>
                      <w:b w:val="0"/>
                      <w:bCs w:val="0"/>
                      <w:sz w:val="21"/>
                      <w:szCs w:val="18"/>
                      <w:vertAlign w:val="baseline"/>
                      <w:lang w:val="en-US" w:eastAsia="zh-CN"/>
                    </w:rPr>
                    <w:t>60</w:t>
                  </w:r>
                  <w:r>
                    <w:rPr>
                      <w:rFonts w:hint="default" w:ascii="Times New Roman" w:hAnsi="Times New Roman" w:eastAsia="宋体" w:cs="Times New Roman"/>
                      <w:b w:val="0"/>
                      <w:bCs w:val="0"/>
                      <w:sz w:val="21"/>
                      <w:szCs w:val="18"/>
                      <w:vertAlign w:val="baseline"/>
                      <w:lang w:eastAsia="zh-CN"/>
                    </w:rPr>
                    <w:t>人）</w:t>
                  </w:r>
                </w:p>
              </w:tc>
              <w:tc>
                <w:tcPr>
                  <w:tcW w:w="632" w:type="pct"/>
                  <w:vMerge w:val="continue"/>
                  <w:noWrap w:val="0"/>
                  <w:vAlign w:val="center"/>
                </w:tcPr>
                <w:p w14:paraId="3A29E645">
                  <w:pPr>
                    <w:jc w:val="center"/>
                    <w:rPr>
                      <w:rFonts w:hint="eastAsia"/>
                      <w:color w:val="auto"/>
                      <w:sz w:val="21"/>
                      <w:szCs w:val="21"/>
                    </w:rPr>
                  </w:pPr>
                </w:p>
              </w:tc>
            </w:tr>
            <w:tr w14:paraId="296A2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305" w:type="pct"/>
                  <w:vMerge w:val="continue"/>
                  <w:noWrap w:val="0"/>
                  <w:vAlign w:val="center"/>
                </w:tcPr>
                <w:p w14:paraId="781E1606">
                  <w:pPr>
                    <w:jc w:val="center"/>
                    <w:rPr>
                      <w:rFonts w:hint="eastAsia"/>
                      <w:color w:val="auto"/>
                      <w:sz w:val="21"/>
                      <w:szCs w:val="21"/>
                    </w:rPr>
                  </w:pPr>
                </w:p>
              </w:tc>
              <w:tc>
                <w:tcPr>
                  <w:tcW w:w="764" w:type="pct"/>
                  <w:shd w:val="clear" w:color="auto" w:fill="auto"/>
                  <w:noWrap w:val="0"/>
                  <w:vAlign w:val="center"/>
                </w:tcPr>
                <w:p w14:paraId="1F852550">
                  <w:pPr>
                    <w:pStyle w:val="75"/>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snapToGrid w:val="0"/>
                      <w:kern w:val="0"/>
                      <w:sz w:val="21"/>
                      <w:szCs w:val="18"/>
                      <w:vertAlign w:val="baseline"/>
                      <w:lang w:val="en-US" w:eastAsia="zh-CN" w:bidi="ar-SA"/>
                    </w:rPr>
                  </w:pPr>
                  <w:r>
                    <w:rPr>
                      <w:rFonts w:hint="eastAsia" w:cs="Times New Roman"/>
                      <w:b w:val="0"/>
                      <w:bCs w:val="0"/>
                      <w:snapToGrid w:val="0"/>
                      <w:kern w:val="0"/>
                      <w:sz w:val="21"/>
                      <w:szCs w:val="18"/>
                      <w:vertAlign w:val="baseline"/>
                      <w:lang w:val="en-US" w:eastAsia="zh-CN" w:bidi="ar-SA"/>
                    </w:rPr>
                    <w:t>116.183559</w:t>
                  </w:r>
                </w:p>
              </w:tc>
              <w:tc>
                <w:tcPr>
                  <w:tcW w:w="741" w:type="pct"/>
                  <w:noWrap w:val="0"/>
                  <w:vAlign w:val="center"/>
                </w:tcPr>
                <w:p w14:paraId="3198588C">
                  <w:pPr>
                    <w:jc w:val="center"/>
                    <w:rPr>
                      <w:rFonts w:hint="default" w:eastAsia="宋体"/>
                      <w:color w:val="auto"/>
                      <w:sz w:val="21"/>
                      <w:szCs w:val="21"/>
                      <w:lang w:val="en-US" w:eastAsia="zh-CN"/>
                    </w:rPr>
                  </w:pPr>
                  <w:r>
                    <w:rPr>
                      <w:rFonts w:hint="eastAsia"/>
                      <w:color w:val="auto"/>
                      <w:sz w:val="21"/>
                      <w:szCs w:val="21"/>
                      <w:lang w:val="en-US" w:eastAsia="zh-CN"/>
                    </w:rPr>
                    <w:t>31.417417</w:t>
                  </w:r>
                </w:p>
              </w:tc>
              <w:tc>
                <w:tcPr>
                  <w:tcW w:w="541" w:type="pct"/>
                  <w:shd w:val="clear" w:color="auto" w:fill="auto"/>
                  <w:noWrap w:val="0"/>
                  <w:vAlign w:val="center"/>
                </w:tcPr>
                <w:p w14:paraId="67A1C99D">
                  <w:pPr>
                    <w:pStyle w:val="75"/>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snapToGrid w:val="0"/>
                      <w:kern w:val="0"/>
                      <w:sz w:val="21"/>
                      <w:szCs w:val="18"/>
                      <w:vertAlign w:val="baseline"/>
                      <w:lang w:val="en-US" w:eastAsia="zh-CN" w:bidi="ar-SA"/>
                    </w:rPr>
                  </w:pPr>
                  <w:r>
                    <w:rPr>
                      <w:rFonts w:hint="eastAsia" w:cs="Times New Roman"/>
                      <w:b w:val="0"/>
                      <w:bCs w:val="0"/>
                      <w:sz w:val="21"/>
                      <w:szCs w:val="18"/>
                      <w:vertAlign w:val="baseline"/>
                      <w:lang w:eastAsia="zh-CN"/>
                    </w:rPr>
                    <w:t>深山村</w:t>
                  </w:r>
                </w:p>
              </w:tc>
              <w:tc>
                <w:tcPr>
                  <w:tcW w:w="431" w:type="pct"/>
                  <w:noWrap w:val="0"/>
                  <w:vAlign w:val="center"/>
                </w:tcPr>
                <w:p w14:paraId="33E752F3">
                  <w:pPr>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居民</w:t>
                  </w:r>
                </w:p>
              </w:tc>
              <w:tc>
                <w:tcPr>
                  <w:tcW w:w="410" w:type="pct"/>
                  <w:noWrap w:val="0"/>
                  <w:vAlign w:val="center"/>
                </w:tcPr>
                <w:p w14:paraId="74F0D01B">
                  <w:pPr>
                    <w:jc w:val="center"/>
                    <w:rPr>
                      <w:rFonts w:hint="default" w:eastAsia="宋体"/>
                      <w:color w:val="auto"/>
                      <w:sz w:val="21"/>
                      <w:szCs w:val="21"/>
                      <w:lang w:val="en-US" w:eastAsia="zh-CN"/>
                    </w:rPr>
                  </w:pPr>
                  <w:r>
                    <w:rPr>
                      <w:rFonts w:hint="eastAsia"/>
                      <w:color w:val="auto"/>
                      <w:sz w:val="21"/>
                      <w:szCs w:val="21"/>
                      <w:lang w:val="en-US" w:eastAsia="zh-CN"/>
                    </w:rPr>
                    <w:t>NW</w:t>
                  </w:r>
                </w:p>
              </w:tc>
              <w:tc>
                <w:tcPr>
                  <w:tcW w:w="431" w:type="pct"/>
                  <w:noWrap w:val="0"/>
                  <w:vAlign w:val="center"/>
                </w:tcPr>
                <w:p w14:paraId="3A3DE558">
                  <w:pPr>
                    <w:jc w:val="center"/>
                    <w:rPr>
                      <w:rFonts w:hint="default" w:eastAsia="宋体"/>
                      <w:color w:val="auto"/>
                      <w:sz w:val="21"/>
                      <w:szCs w:val="21"/>
                      <w:lang w:val="en-US" w:eastAsia="zh-CN"/>
                    </w:rPr>
                  </w:pPr>
                  <w:r>
                    <w:rPr>
                      <w:rFonts w:hint="eastAsia"/>
                      <w:color w:val="auto"/>
                      <w:sz w:val="21"/>
                      <w:szCs w:val="21"/>
                      <w:lang w:val="en-US" w:eastAsia="zh-CN"/>
                    </w:rPr>
                    <w:t>400</w:t>
                  </w:r>
                </w:p>
              </w:tc>
              <w:tc>
                <w:tcPr>
                  <w:tcW w:w="741" w:type="pct"/>
                  <w:shd w:val="clear" w:color="auto" w:fill="auto"/>
                  <w:noWrap w:val="0"/>
                  <w:vAlign w:val="center"/>
                </w:tcPr>
                <w:p w14:paraId="6327F270">
                  <w:pPr>
                    <w:pStyle w:val="75"/>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b w:val="0"/>
                      <w:bCs w:val="0"/>
                      <w:sz w:val="21"/>
                      <w:szCs w:val="18"/>
                      <w:vertAlign w:val="baseline"/>
                      <w:lang w:val="en-US" w:eastAsia="zh-CN"/>
                    </w:rPr>
                  </w:pPr>
                  <w:r>
                    <w:rPr>
                      <w:rFonts w:hint="eastAsia" w:cs="Times New Roman"/>
                      <w:b w:val="0"/>
                      <w:bCs w:val="0"/>
                      <w:sz w:val="21"/>
                      <w:szCs w:val="18"/>
                      <w:vertAlign w:val="baseline"/>
                      <w:lang w:val="en-US" w:eastAsia="zh-CN"/>
                    </w:rPr>
                    <w:t>30户</w:t>
                  </w:r>
                </w:p>
                <w:p w14:paraId="368EC585">
                  <w:pPr>
                    <w:pStyle w:val="75"/>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snapToGrid w:val="0"/>
                      <w:kern w:val="0"/>
                      <w:sz w:val="21"/>
                      <w:szCs w:val="18"/>
                      <w:vertAlign w:val="baseline"/>
                      <w:lang w:val="en-US" w:eastAsia="zh-CN" w:bidi="ar-SA"/>
                    </w:rPr>
                  </w:pPr>
                  <w:r>
                    <w:rPr>
                      <w:rFonts w:hint="eastAsia" w:cs="Times New Roman"/>
                      <w:b w:val="0"/>
                      <w:bCs w:val="0"/>
                      <w:sz w:val="21"/>
                      <w:szCs w:val="18"/>
                      <w:vertAlign w:val="baseline"/>
                      <w:lang w:val="en-US" w:eastAsia="zh-CN"/>
                    </w:rPr>
                    <w:t>（约80人）</w:t>
                  </w:r>
                </w:p>
              </w:tc>
              <w:tc>
                <w:tcPr>
                  <w:tcW w:w="632" w:type="pct"/>
                  <w:vMerge w:val="continue"/>
                  <w:noWrap w:val="0"/>
                  <w:vAlign w:val="center"/>
                </w:tcPr>
                <w:p w14:paraId="04344862">
                  <w:pPr>
                    <w:jc w:val="center"/>
                    <w:rPr>
                      <w:rFonts w:hint="eastAsia"/>
                      <w:color w:val="auto"/>
                      <w:sz w:val="21"/>
                      <w:szCs w:val="21"/>
                    </w:rPr>
                  </w:pPr>
                </w:p>
              </w:tc>
            </w:tr>
            <w:tr w14:paraId="766F2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305" w:type="pct"/>
                  <w:vMerge w:val="continue"/>
                  <w:noWrap w:val="0"/>
                  <w:vAlign w:val="center"/>
                </w:tcPr>
                <w:p w14:paraId="6C9D0138">
                  <w:pPr>
                    <w:jc w:val="center"/>
                    <w:rPr>
                      <w:rFonts w:hint="eastAsia"/>
                      <w:color w:val="auto"/>
                      <w:sz w:val="21"/>
                      <w:szCs w:val="21"/>
                    </w:rPr>
                  </w:pPr>
                </w:p>
              </w:tc>
              <w:tc>
                <w:tcPr>
                  <w:tcW w:w="764" w:type="pct"/>
                  <w:shd w:val="clear" w:color="auto" w:fill="auto"/>
                  <w:noWrap w:val="0"/>
                  <w:vAlign w:val="center"/>
                </w:tcPr>
                <w:p w14:paraId="74D36916">
                  <w:pPr>
                    <w:jc w:val="center"/>
                    <w:rPr>
                      <w:rFonts w:hint="default" w:ascii="Times New Roman" w:hAnsi="Times New Roman" w:eastAsia="宋体" w:cs="黑体"/>
                      <w:color w:val="auto"/>
                      <w:kern w:val="2"/>
                      <w:sz w:val="21"/>
                      <w:szCs w:val="21"/>
                      <w:lang w:val="en-US" w:eastAsia="zh-CN" w:bidi="ar-SA"/>
                    </w:rPr>
                  </w:pPr>
                  <w:r>
                    <w:rPr>
                      <w:rFonts w:hint="eastAsia" w:cs="黑体"/>
                      <w:color w:val="auto"/>
                      <w:kern w:val="2"/>
                      <w:sz w:val="21"/>
                      <w:szCs w:val="21"/>
                      <w:lang w:val="en-US" w:eastAsia="zh-CN" w:bidi="ar-SA"/>
                    </w:rPr>
                    <w:t>116.181864</w:t>
                  </w:r>
                </w:p>
              </w:tc>
              <w:tc>
                <w:tcPr>
                  <w:tcW w:w="741" w:type="pct"/>
                  <w:shd w:val="clear" w:color="auto" w:fill="auto"/>
                  <w:noWrap w:val="0"/>
                  <w:vAlign w:val="center"/>
                </w:tcPr>
                <w:p w14:paraId="7AC57652">
                  <w:pPr>
                    <w:jc w:val="center"/>
                    <w:rPr>
                      <w:rFonts w:hint="default" w:ascii="Times New Roman" w:hAnsi="Times New Roman" w:eastAsia="宋体" w:cs="黑体"/>
                      <w:color w:val="auto"/>
                      <w:kern w:val="2"/>
                      <w:sz w:val="21"/>
                      <w:szCs w:val="21"/>
                      <w:lang w:val="en-US" w:eastAsia="zh-CN" w:bidi="ar-SA"/>
                    </w:rPr>
                  </w:pPr>
                  <w:r>
                    <w:rPr>
                      <w:rFonts w:hint="eastAsia" w:cs="黑体"/>
                      <w:color w:val="auto"/>
                      <w:kern w:val="2"/>
                      <w:sz w:val="21"/>
                      <w:szCs w:val="21"/>
                      <w:lang w:val="en-US" w:eastAsia="zh-CN" w:bidi="ar-SA"/>
                    </w:rPr>
                    <w:t>31.409692</w:t>
                  </w:r>
                </w:p>
              </w:tc>
              <w:tc>
                <w:tcPr>
                  <w:tcW w:w="541" w:type="pct"/>
                  <w:shd w:val="clear" w:color="auto" w:fill="auto"/>
                  <w:noWrap w:val="0"/>
                  <w:vAlign w:val="center"/>
                </w:tcPr>
                <w:p w14:paraId="14C12A79">
                  <w:pPr>
                    <w:jc w:val="center"/>
                    <w:rPr>
                      <w:rFonts w:hint="default" w:ascii="Times New Roman" w:hAnsi="Times New Roman" w:eastAsia="宋体" w:cs="黑体"/>
                      <w:color w:val="auto"/>
                      <w:kern w:val="2"/>
                      <w:sz w:val="21"/>
                      <w:szCs w:val="21"/>
                      <w:lang w:val="en-US" w:eastAsia="zh-CN" w:bidi="ar-SA"/>
                    </w:rPr>
                  </w:pPr>
                  <w:r>
                    <w:rPr>
                      <w:rFonts w:hint="eastAsia" w:cs="黑体"/>
                      <w:color w:val="auto"/>
                      <w:kern w:val="2"/>
                      <w:sz w:val="21"/>
                      <w:szCs w:val="21"/>
                      <w:lang w:val="en-US" w:eastAsia="zh-CN" w:bidi="ar-SA"/>
                    </w:rPr>
                    <w:t>银孔</w:t>
                  </w:r>
                </w:p>
              </w:tc>
              <w:tc>
                <w:tcPr>
                  <w:tcW w:w="431" w:type="pct"/>
                  <w:shd w:val="clear" w:color="auto" w:fill="auto"/>
                  <w:noWrap w:val="0"/>
                  <w:vAlign w:val="center"/>
                </w:tcPr>
                <w:p w14:paraId="42A520D6">
                  <w:pPr>
                    <w:jc w:val="center"/>
                    <w:rPr>
                      <w:rFonts w:hint="eastAsia" w:ascii="Times New Roman" w:hAnsi="Times New Roman" w:eastAsia="宋体" w:cs="黑体"/>
                      <w:color w:val="auto"/>
                      <w:kern w:val="2"/>
                      <w:sz w:val="21"/>
                      <w:szCs w:val="21"/>
                      <w:lang w:val="en-US" w:eastAsia="zh-CN" w:bidi="ar-SA"/>
                    </w:rPr>
                  </w:pPr>
                  <w:r>
                    <w:rPr>
                      <w:rFonts w:hint="eastAsia"/>
                      <w:color w:val="auto"/>
                      <w:sz w:val="21"/>
                      <w:szCs w:val="21"/>
                    </w:rPr>
                    <w:t>居民</w:t>
                  </w:r>
                </w:p>
              </w:tc>
              <w:tc>
                <w:tcPr>
                  <w:tcW w:w="410" w:type="pct"/>
                  <w:shd w:val="clear" w:color="auto" w:fill="auto"/>
                  <w:noWrap w:val="0"/>
                  <w:vAlign w:val="center"/>
                </w:tcPr>
                <w:p w14:paraId="3DC29AC0">
                  <w:pPr>
                    <w:jc w:val="center"/>
                    <w:rPr>
                      <w:rFonts w:hint="eastAsia" w:ascii="Times New Roman" w:hAnsi="Times New Roman" w:eastAsia="宋体" w:cs="黑体"/>
                      <w:color w:val="auto"/>
                      <w:kern w:val="2"/>
                      <w:sz w:val="21"/>
                      <w:szCs w:val="21"/>
                      <w:lang w:val="en-US" w:eastAsia="zh-CN" w:bidi="ar-SA"/>
                    </w:rPr>
                  </w:pPr>
                  <w:r>
                    <w:rPr>
                      <w:rFonts w:hint="eastAsia"/>
                      <w:color w:val="auto"/>
                      <w:sz w:val="21"/>
                      <w:szCs w:val="21"/>
                      <w:lang w:val="en-US" w:eastAsia="zh-CN"/>
                    </w:rPr>
                    <w:t>SW</w:t>
                  </w:r>
                </w:p>
              </w:tc>
              <w:tc>
                <w:tcPr>
                  <w:tcW w:w="431" w:type="pct"/>
                  <w:shd w:val="clear" w:color="auto" w:fill="auto"/>
                  <w:noWrap w:val="0"/>
                  <w:vAlign w:val="center"/>
                </w:tcPr>
                <w:p w14:paraId="08B86908">
                  <w:pPr>
                    <w:jc w:val="center"/>
                    <w:rPr>
                      <w:rFonts w:hint="default" w:ascii="Times New Roman" w:hAnsi="Times New Roman" w:eastAsia="宋体" w:cs="黑体"/>
                      <w:color w:val="auto"/>
                      <w:kern w:val="2"/>
                      <w:sz w:val="21"/>
                      <w:szCs w:val="21"/>
                      <w:lang w:val="en-US" w:eastAsia="zh-CN" w:bidi="ar-SA"/>
                    </w:rPr>
                  </w:pPr>
                  <w:r>
                    <w:rPr>
                      <w:rFonts w:hint="eastAsia" w:cs="黑体"/>
                      <w:color w:val="auto"/>
                      <w:kern w:val="2"/>
                      <w:sz w:val="21"/>
                      <w:szCs w:val="21"/>
                      <w:lang w:val="en-US" w:eastAsia="zh-CN" w:bidi="ar-SA"/>
                    </w:rPr>
                    <w:t>460</w:t>
                  </w:r>
                </w:p>
              </w:tc>
              <w:tc>
                <w:tcPr>
                  <w:tcW w:w="741" w:type="pct"/>
                  <w:shd w:val="clear" w:color="auto" w:fill="auto"/>
                  <w:noWrap w:val="0"/>
                  <w:vAlign w:val="center"/>
                </w:tcPr>
                <w:p w14:paraId="07417400">
                  <w:pPr>
                    <w:pStyle w:val="75"/>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b w:val="0"/>
                      <w:bCs w:val="0"/>
                      <w:sz w:val="21"/>
                      <w:szCs w:val="18"/>
                      <w:vertAlign w:val="baseline"/>
                      <w:lang w:val="en-US" w:eastAsia="zh-CN"/>
                    </w:rPr>
                  </w:pPr>
                  <w:r>
                    <w:rPr>
                      <w:rFonts w:hint="eastAsia" w:cs="Times New Roman"/>
                      <w:b w:val="0"/>
                      <w:bCs w:val="0"/>
                      <w:sz w:val="21"/>
                      <w:szCs w:val="18"/>
                      <w:vertAlign w:val="baseline"/>
                      <w:lang w:val="en-US" w:eastAsia="zh-CN"/>
                    </w:rPr>
                    <w:t>16户</w:t>
                  </w:r>
                </w:p>
                <w:p w14:paraId="252D4CFA">
                  <w:pPr>
                    <w:jc w:val="center"/>
                    <w:rPr>
                      <w:rFonts w:hint="eastAsia" w:ascii="Times New Roman" w:hAnsi="Times New Roman" w:eastAsia="宋体" w:cs="黑体"/>
                      <w:color w:val="auto"/>
                      <w:kern w:val="2"/>
                      <w:sz w:val="21"/>
                      <w:szCs w:val="21"/>
                      <w:lang w:val="en-US" w:eastAsia="zh-CN" w:bidi="ar-SA"/>
                    </w:rPr>
                  </w:pPr>
                  <w:r>
                    <w:rPr>
                      <w:rFonts w:hint="eastAsia" w:cs="Times New Roman"/>
                      <w:b w:val="0"/>
                      <w:bCs w:val="0"/>
                      <w:sz w:val="21"/>
                      <w:szCs w:val="18"/>
                      <w:vertAlign w:val="baseline"/>
                      <w:lang w:val="en-US" w:eastAsia="zh-CN"/>
                    </w:rPr>
                    <w:t>（约50人）</w:t>
                  </w:r>
                </w:p>
              </w:tc>
              <w:tc>
                <w:tcPr>
                  <w:tcW w:w="632" w:type="pct"/>
                  <w:vMerge w:val="continue"/>
                  <w:noWrap w:val="0"/>
                  <w:vAlign w:val="center"/>
                </w:tcPr>
                <w:p w14:paraId="7747636E">
                  <w:pPr>
                    <w:jc w:val="center"/>
                    <w:rPr>
                      <w:rFonts w:hint="eastAsia"/>
                      <w:color w:val="auto"/>
                      <w:sz w:val="21"/>
                      <w:szCs w:val="21"/>
                    </w:rPr>
                  </w:pPr>
                </w:p>
              </w:tc>
            </w:tr>
          </w:tbl>
          <w:p w14:paraId="33C20E9E">
            <w:pPr>
              <w:spacing w:line="360" w:lineRule="auto"/>
              <w:ind w:firstLine="480" w:firstLineChars="200"/>
              <w:jc w:val="both"/>
              <w:rPr>
                <w:rFonts w:hint="default"/>
                <w:lang w:val="en-US" w:eastAsia="zh-CN"/>
              </w:rPr>
            </w:pPr>
            <w:r>
              <w:rPr>
                <w:rFonts w:hint="eastAsia"/>
                <w:lang w:val="en-US" w:eastAsia="zh-CN"/>
              </w:rPr>
              <w:t>2、</w:t>
            </w:r>
            <w:r>
              <w:rPr>
                <w:rFonts w:hint="default"/>
                <w:lang w:val="en-US" w:eastAsia="zh-CN"/>
              </w:rPr>
              <w:t>声环境</w:t>
            </w:r>
          </w:p>
          <w:p w14:paraId="6FE8C2F2">
            <w:pPr>
              <w:spacing w:line="360" w:lineRule="auto"/>
              <w:ind w:firstLine="480" w:firstLineChars="200"/>
              <w:jc w:val="both"/>
              <w:rPr>
                <w:rFonts w:hint="default"/>
                <w:lang w:val="en-US" w:eastAsia="zh-CN"/>
              </w:rPr>
            </w:pPr>
            <w:r>
              <w:rPr>
                <w:rFonts w:hint="eastAsia"/>
              </w:rPr>
              <w:t>根据《建设项目环境影响报告表编制技术指南（污染影响类）（试行）》，需明确厂界外</w:t>
            </w:r>
            <w:r>
              <w:t>50米范围内</w:t>
            </w:r>
            <w:r>
              <w:rPr>
                <w:color w:val="auto"/>
              </w:rPr>
              <w:t>声环境保护目标</w:t>
            </w:r>
            <w:r>
              <w:rPr>
                <w:rFonts w:hint="eastAsia"/>
                <w:color w:val="auto"/>
              </w:rPr>
              <w:t>，根据现场勘查，项目厂界外50m范围内声环境保护目标为穆家畈</w:t>
            </w:r>
            <w:r>
              <w:rPr>
                <w:rFonts w:hint="default"/>
                <w:color w:val="auto"/>
                <w:lang w:val="en-US" w:eastAsia="zh-CN"/>
              </w:rPr>
              <w:t>。</w:t>
            </w:r>
          </w:p>
          <w:p w14:paraId="0D5E2D84">
            <w:pPr>
              <w:jc w:val="center"/>
              <w:rPr>
                <w:rFonts w:hint="eastAsia"/>
                <w:sz w:val="24"/>
                <w:szCs w:val="24"/>
              </w:rPr>
            </w:pPr>
            <w:r>
              <w:rPr>
                <w:rFonts w:hint="eastAsia" w:ascii="Times New Roman" w:hAnsi="Times New Roman" w:eastAsia="宋体" w:cs="Times New Roman"/>
                <w:b/>
                <w:color w:val="000000"/>
                <w:kern w:val="0"/>
                <w:sz w:val="24"/>
                <w:szCs w:val="24"/>
              </w:rPr>
              <w:t>表</w:t>
            </w:r>
            <w:r>
              <w:rPr>
                <w:rFonts w:hint="eastAsia" w:ascii="Times New Roman" w:hAnsi="Times New Roman" w:eastAsia="宋体" w:cs="Times New Roman"/>
                <w:b/>
                <w:color w:val="000000"/>
                <w:kern w:val="0"/>
                <w:sz w:val="24"/>
                <w:szCs w:val="24"/>
                <w:lang w:val="en-US" w:eastAsia="zh-CN"/>
              </w:rPr>
              <w:t>3</w:t>
            </w:r>
            <w:r>
              <w:rPr>
                <w:rFonts w:hint="eastAsia" w:cs="Times New Roman"/>
                <w:b/>
                <w:color w:val="000000"/>
                <w:kern w:val="0"/>
                <w:sz w:val="24"/>
                <w:szCs w:val="24"/>
                <w:lang w:val="en-US" w:eastAsia="zh-CN"/>
              </w:rPr>
              <w:t>-4</w:t>
            </w:r>
            <w:r>
              <w:rPr>
                <w:rFonts w:ascii="Times New Roman" w:hAnsi="Times New Roman" w:eastAsia="宋体" w:cs="Times New Roman"/>
                <w:b/>
                <w:color w:val="000000"/>
                <w:kern w:val="0"/>
                <w:sz w:val="24"/>
                <w:szCs w:val="24"/>
              </w:rPr>
              <w:t xml:space="preserve">  </w:t>
            </w:r>
            <w:r>
              <w:rPr>
                <w:rFonts w:hint="eastAsia" w:ascii="Times New Roman" w:hAnsi="Times New Roman" w:eastAsia="宋体" w:cs="Times New Roman"/>
                <w:b/>
                <w:color w:val="000000"/>
                <w:kern w:val="0"/>
                <w:sz w:val="24"/>
                <w:szCs w:val="24"/>
              </w:rPr>
              <w:t>声环境保护目标一览表</w:t>
            </w:r>
          </w:p>
          <w:tbl>
            <w:tblPr>
              <w:tblStyle w:val="27"/>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9"/>
              <w:gridCol w:w="929"/>
              <w:gridCol w:w="1004"/>
              <w:gridCol w:w="894"/>
              <w:gridCol w:w="1235"/>
              <w:gridCol w:w="1657"/>
              <w:gridCol w:w="784"/>
              <w:gridCol w:w="784"/>
            </w:tblGrid>
            <w:tr w14:paraId="62654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8" w:type="pct"/>
                  <w:vMerge w:val="restart"/>
                  <w:vAlign w:val="center"/>
                </w:tcPr>
                <w:p w14:paraId="2413B7A3">
                  <w:pPr>
                    <w:pStyle w:val="75"/>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sz w:val="21"/>
                      <w:szCs w:val="18"/>
                      <w:vertAlign w:val="baseline"/>
                      <w:lang w:eastAsia="zh-CN"/>
                    </w:rPr>
                  </w:pPr>
                  <w:r>
                    <w:rPr>
                      <w:rFonts w:hint="default" w:ascii="Times New Roman" w:hAnsi="Times New Roman" w:eastAsia="宋体" w:cs="Times New Roman"/>
                      <w:b/>
                      <w:bCs/>
                      <w:sz w:val="21"/>
                      <w:szCs w:val="18"/>
                      <w:vertAlign w:val="baseline"/>
                      <w:lang w:eastAsia="zh-CN"/>
                    </w:rPr>
                    <w:t>保护</w:t>
                  </w:r>
                </w:p>
                <w:p w14:paraId="0C6B0B66">
                  <w:pPr>
                    <w:pStyle w:val="75"/>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sz w:val="21"/>
                      <w:szCs w:val="18"/>
                      <w:vertAlign w:val="baseline"/>
                      <w:lang w:eastAsia="zh-CN"/>
                    </w:rPr>
                  </w:pPr>
                  <w:r>
                    <w:rPr>
                      <w:rFonts w:hint="default" w:ascii="Times New Roman" w:hAnsi="Times New Roman" w:eastAsia="宋体" w:cs="Times New Roman"/>
                      <w:b/>
                      <w:bCs/>
                      <w:sz w:val="21"/>
                      <w:szCs w:val="18"/>
                      <w:vertAlign w:val="baseline"/>
                      <w:lang w:eastAsia="zh-CN"/>
                    </w:rPr>
                    <w:t>对象</w:t>
                  </w:r>
                </w:p>
              </w:tc>
              <w:tc>
                <w:tcPr>
                  <w:tcW w:w="1162" w:type="pct"/>
                  <w:gridSpan w:val="2"/>
                  <w:vAlign w:val="center"/>
                </w:tcPr>
                <w:p w14:paraId="1F36C365">
                  <w:pPr>
                    <w:pStyle w:val="75"/>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sz w:val="21"/>
                      <w:szCs w:val="18"/>
                      <w:vertAlign w:val="baseline"/>
                      <w:lang w:eastAsia="zh-CN"/>
                    </w:rPr>
                  </w:pPr>
                  <w:r>
                    <w:rPr>
                      <w:rFonts w:hint="default" w:ascii="Times New Roman" w:hAnsi="Times New Roman" w:eastAsia="宋体" w:cs="Times New Roman"/>
                      <w:b/>
                      <w:bCs/>
                      <w:sz w:val="21"/>
                      <w:szCs w:val="18"/>
                      <w:vertAlign w:val="baseline"/>
                      <w:lang w:eastAsia="zh-CN"/>
                    </w:rPr>
                    <w:t>坐标</w:t>
                  </w:r>
                </w:p>
              </w:tc>
              <w:tc>
                <w:tcPr>
                  <w:tcW w:w="537" w:type="pct"/>
                  <w:vMerge w:val="restart"/>
                  <w:vAlign w:val="center"/>
                </w:tcPr>
                <w:p w14:paraId="2472DEC8">
                  <w:pPr>
                    <w:pStyle w:val="75"/>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sz w:val="21"/>
                      <w:szCs w:val="18"/>
                      <w:vertAlign w:val="baseline"/>
                      <w:lang w:eastAsia="zh-CN"/>
                    </w:rPr>
                  </w:pPr>
                  <w:r>
                    <w:rPr>
                      <w:rFonts w:hint="default" w:ascii="Times New Roman" w:hAnsi="Times New Roman" w:eastAsia="宋体" w:cs="Times New Roman"/>
                      <w:b/>
                      <w:bCs/>
                      <w:sz w:val="21"/>
                      <w:szCs w:val="18"/>
                      <w:vertAlign w:val="baseline"/>
                      <w:lang w:eastAsia="zh-CN"/>
                    </w:rPr>
                    <w:t>保护</w:t>
                  </w:r>
                </w:p>
                <w:p w14:paraId="6E1391FF">
                  <w:pPr>
                    <w:pStyle w:val="75"/>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sz w:val="21"/>
                      <w:szCs w:val="18"/>
                      <w:vertAlign w:val="baseline"/>
                      <w:lang w:val="en-US" w:eastAsia="zh-CN"/>
                    </w:rPr>
                  </w:pPr>
                  <w:r>
                    <w:rPr>
                      <w:rFonts w:hint="eastAsia" w:cs="Times New Roman"/>
                      <w:b/>
                      <w:bCs/>
                      <w:sz w:val="21"/>
                      <w:szCs w:val="18"/>
                      <w:vertAlign w:val="baseline"/>
                      <w:lang w:val="en-US" w:eastAsia="zh-CN"/>
                    </w:rPr>
                    <w:t>内容</w:t>
                  </w:r>
                </w:p>
              </w:tc>
              <w:tc>
                <w:tcPr>
                  <w:tcW w:w="742" w:type="pct"/>
                  <w:vMerge w:val="restart"/>
                  <w:vAlign w:val="center"/>
                </w:tcPr>
                <w:p w14:paraId="64AA1708">
                  <w:pPr>
                    <w:pStyle w:val="75"/>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sz w:val="21"/>
                      <w:szCs w:val="18"/>
                      <w:vertAlign w:val="baseline"/>
                      <w:lang w:eastAsia="zh-CN"/>
                    </w:rPr>
                  </w:pPr>
                  <w:r>
                    <w:rPr>
                      <w:rFonts w:hint="default" w:ascii="Times New Roman" w:hAnsi="Times New Roman" w:eastAsia="宋体" w:cs="Times New Roman"/>
                      <w:b/>
                      <w:bCs/>
                      <w:sz w:val="21"/>
                      <w:szCs w:val="18"/>
                      <w:vertAlign w:val="baseline"/>
                      <w:lang w:eastAsia="zh-CN"/>
                    </w:rPr>
                    <w:t>规模</w:t>
                  </w:r>
                </w:p>
              </w:tc>
              <w:tc>
                <w:tcPr>
                  <w:tcW w:w="996" w:type="pct"/>
                  <w:vMerge w:val="restart"/>
                  <w:vAlign w:val="center"/>
                </w:tcPr>
                <w:p w14:paraId="25270EF8">
                  <w:pPr>
                    <w:pStyle w:val="75"/>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sz w:val="21"/>
                      <w:szCs w:val="18"/>
                      <w:vertAlign w:val="baseline"/>
                      <w:lang w:eastAsia="zh-CN"/>
                    </w:rPr>
                  </w:pPr>
                  <w:r>
                    <w:rPr>
                      <w:rFonts w:hint="default" w:ascii="Times New Roman" w:hAnsi="Times New Roman" w:eastAsia="宋体" w:cs="Times New Roman"/>
                      <w:b/>
                      <w:bCs/>
                      <w:sz w:val="21"/>
                      <w:szCs w:val="18"/>
                      <w:vertAlign w:val="baseline"/>
                      <w:lang w:eastAsia="zh-CN"/>
                    </w:rPr>
                    <w:t>环境</w:t>
                  </w:r>
                </w:p>
                <w:p w14:paraId="73034E8D">
                  <w:pPr>
                    <w:pStyle w:val="75"/>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sz w:val="21"/>
                      <w:szCs w:val="18"/>
                      <w:vertAlign w:val="baseline"/>
                      <w:lang w:eastAsia="zh-CN"/>
                    </w:rPr>
                  </w:pPr>
                  <w:r>
                    <w:rPr>
                      <w:rFonts w:hint="default" w:ascii="Times New Roman" w:hAnsi="Times New Roman" w:eastAsia="宋体" w:cs="Times New Roman"/>
                      <w:b/>
                      <w:bCs/>
                      <w:sz w:val="21"/>
                      <w:szCs w:val="18"/>
                      <w:vertAlign w:val="baseline"/>
                      <w:lang w:eastAsia="zh-CN"/>
                    </w:rPr>
                    <w:t>功能区</w:t>
                  </w:r>
                </w:p>
              </w:tc>
              <w:tc>
                <w:tcPr>
                  <w:tcW w:w="471" w:type="pct"/>
                  <w:vMerge w:val="restart"/>
                  <w:vAlign w:val="center"/>
                </w:tcPr>
                <w:p w14:paraId="427441D1">
                  <w:pPr>
                    <w:pStyle w:val="75"/>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sz w:val="21"/>
                      <w:szCs w:val="18"/>
                      <w:vertAlign w:val="baseline"/>
                      <w:lang w:eastAsia="zh-CN"/>
                    </w:rPr>
                  </w:pPr>
                  <w:r>
                    <w:rPr>
                      <w:rFonts w:hint="default" w:ascii="Times New Roman" w:hAnsi="Times New Roman" w:eastAsia="宋体" w:cs="Times New Roman"/>
                      <w:b/>
                      <w:bCs/>
                      <w:sz w:val="21"/>
                      <w:szCs w:val="18"/>
                      <w:vertAlign w:val="baseline"/>
                      <w:lang w:eastAsia="zh-CN"/>
                    </w:rPr>
                    <w:t>相对厂址方位</w:t>
                  </w:r>
                </w:p>
              </w:tc>
              <w:tc>
                <w:tcPr>
                  <w:tcW w:w="471" w:type="pct"/>
                  <w:vMerge w:val="restart"/>
                  <w:vAlign w:val="center"/>
                </w:tcPr>
                <w:p w14:paraId="37FD7C57">
                  <w:pPr>
                    <w:pStyle w:val="75"/>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sz w:val="21"/>
                      <w:szCs w:val="18"/>
                      <w:vertAlign w:val="baseline"/>
                      <w:lang w:eastAsia="zh-CN"/>
                    </w:rPr>
                  </w:pPr>
                  <w:r>
                    <w:rPr>
                      <w:rFonts w:hint="default" w:ascii="Times New Roman" w:hAnsi="Times New Roman" w:eastAsia="宋体" w:cs="Times New Roman"/>
                      <w:b/>
                      <w:bCs/>
                      <w:sz w:val="21"/>
                      <w:szCs w:val="18"/>
                      <w:vertAlign w:val="baseline"/>
                      <w:lang w:eastAsia="zh-CN"/>
                    </w:rPr>
                    <w:t>相对</w:t>
                  </w:r>
                </w:p>
                <w:p w14:paraId="07358AD7">
                  <w:pPr>
                    <w:pStyle w:val="75"/>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sz w:val="21"/>
                      <w:szCs w:val="18"/>
                      <w:vertAlign w:val="baseline"/>
                      <w:lang w:eastAsia="zh-CN"/>
                    </w:rPr>
                  </w:pPr>
                  <w:r>
                    <w:rPr>
                      <w:rFonts w:hint="default" w:ascii="Times New Roman" w:hAnsi="Times New Roman" w:eastAsia="宋体" w:cs="Times New Roman"/>
                      <w:b/>
                      <w:bCs/>
                      <w:sz w:val="21"/>
                      <w:szCs w:val="18"/>
                      <w:vertAlign w:val="baseline"/>
                      <w:lang w:eastAsia="zh-CN"/>
                    </w:rPr>
                    <w:t>厂址</w:t>
                  </w:r>
                </w:p>
                <w:p w14:paraId="361A6EFB">
                  <w:pPr>
                    <w:pStyle w:val="75"/>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sz w:val="21"/>
                      <w:szCs w:val="18"/>
                      <w:vertAlign w:val="baseline"/>
                      <w:lang w:val="en-US" w:eastAsia="zh-CN"/>
                    </w:rPr>
                  </w:pPr>
                  <w:r>
                    <w:rPr>
                      <w:rFonts w:hint="default" w:ascii="Times New Roman" w:hAnsi="Times New Roman" w:eastAsia="宋体" w:cs="Times New Roman"/>
                      <w:b/>
                      <w:bCs/>
                      <w:sz w:val="21"/>
                      <w:szCs w:val="18"/>
                      <w:vertAlign w:val="baseline"/>
                      <w:lang w:eastAsia="zh-CN"/>
                    </w:rPr>
                    <w:t>距离</w:t>
                  </w:r>
                  <w:r>
                    <w:rPr>
                      <w:rFonts w:hint="default" w:ascii="Times New Roman" w:hAnsi="Times New Roman" w:eastAsia="宋体" w:cs="Times New Roman"/>
                      <w:b/>
                      <w:bCs/>
                      <w:sz w:val="21"/>
                      <w:szCs w:val="18"/>
                      <w:vertAlign w:val="baseline"/>
                      <w:lang w:val="en-US" w:eastAsia="zh-CN"/>
                    </w:rPr>
                    <w:t>/m</w:t>
                  </w:r>
                </w:p>
              </w:tc>
            </w:tr>
            <w:tr w14:paraId="32070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8" w:type="pct"/>
                  <w:vMerge w:val="continue"/>
                  <w:vAlign w:val="center"/>
                </w:tcPr>
                <w:p w14:paraId="5FF87309">
                  <w:pPr>
                    <w:pStyle w:val="75"/>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sz w:val="21"/>
                      <w:szCs w:val="18"/>
                      <w:vertAlign w:val="baseline"/>
                      <w:lang w:eastAsia="zh-CN"/>
                    </w:rPr>
                  </w:pPr>
                </w:p>
              </w:tc>
              <w:tc>
                <w:tcPr>
                  <w:tcW w:w="558" w:type="pct"/>
                  <w:vAlign w:val="center"/>
                </w:tcPr>
                <w:p w14:paraId="2A169D18">
                  <w:pPr>
                    <w:pStyle w:val="75"/>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sz w:val="21"/>
                      <w:szCs w:val="18"/>
                      <w:vertAlign w:val="baseline"/>
                      <w:lang w:eastAsia="zh-CN"/>
                    </w:rPr>
                  </w:pPr>
                  <w:r>
                    <w:rPr>
                      <w:rFonts w:hint="default" w:ascii="Times New Roman" w:hAnsi="Times New Roman" w:eastAsia="宋体" w:cs="Times New Roman"/>
                      <w:b/>
                      <w:bCs/>
                      <w:sz w:val="21"/>
                      <w:szCs w:val="18"/>
                      <w:vertAlign w:val="baseline"/>
                      <w:lang w:eastAsia="zh-CN"/>
                    </w:rPr>
                    <w:t>经度</w:t>
                  </w:r>
                </w:p>
              </w:tc>
              <w:tc>
                <w:tcPr>
                  <w:tcW w:w="603" w:type="pct"/>
                  <w:vAlign w:val="center"/>
                </w:tcPr>
                <w:p w14:paraId="272A67C9">
                  <w:pPr>
                    <w:pStyle w:val="75"/>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sz w:val="21"/>
                      <w:szCs w:val="18"/>
                      <w:vertAlign w:val="baseline"/>
                      <w:lang w:eastAsia="zh-CN"/>
                    </w:rPr>
                  </w:pPr>
                  <w:r>
                    <w:rPr>
                      <w:rFonts w:hint="default" w:ascii="Times New Roman" w:hAnsi="Times New Roman" w:eastAsia="宋体" w:cs="Times New Roman"/>
                      <w:b/>
                      <w:bCs/>
                      <w:sz w:val="21"/>
                      <w:szCs w:val="18"/>
                      <w:vertAlign w:val="baseline"/>
                      <w:lang w:eastAsia="zh-CN"/>
                    </w:rPr>
                    <w:t>纬度</w:t>
                  </w:r>
                </w:p>
              </w:tc>
              <w:tc>
                <w:tcPr>
                  <w:tcW w:w="537" w:type="pct"/>
                  <w:vMerge w:val="continue"/>
                  <w:vAlign w:val="center"/>
                </w:tcPr>
                <w:p w14:paraId="032C89FE">
                  <w:pPr>
                    <w:pStyle w:val="75"/>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sz w:val="21"/>
                      <w:szCs w:val="18"/>
                      <w:vertAlign w:val="baseline"/>
                      <w:lang w:eastAsia="zh-CN"/>
                    </w:rPr>
                  </w:pPr>
                </w:p>
              </w:tc>
              <w:tc>
                <w:tcPr>
                  <w:tcW w:w="742" w:type="pct"/>
                  <w:vMerge w:val="continue"/>
                  <w:vAlign w:val="center"/>
                </w:tcPr>
                <w:p w14:paraId="192B7D19">
                  <w:pPr>
                    <w:pStyle w:val="75"/>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sz w:val="21"/>
                      <w:szCs w:val="18"/>
                      <w:vertAlign w:val="baseline"/>
                      <w:lang w:eastAsia="zh-CN"/>
                    </w:rPr>
                  </w:pPr>
                </w:p>
              </w:tc>
              <w:tc>
                <w:tcPr>
                  <w:tcW w:w="996" w:type="pct"/>
                  <w:vMerge w:val="continue"/>
                  <w:vAlign w:val="center"/>
                </w:tcPr>
                <w:p w14:paraId="43018D5A">
                  <w:pPr>
                    <w:pStyle w:val="75"/>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sz w:val="21"/>
                      <w:szCs w:val="18"/>
                      <w:vertAlign w:val="baseline"/>
                      <w:lang w:eastAsia="zh-CN"/>
                    </w:rPr>
                  </w:pPr>
                </w:p>
              </w:tc>
              <w:tc>
                <w:tcPr>
                  <w:tcW w:w="471" w:type="pct"/>
                  <w:vMerge w:val="continue"/>
                  <w:vAlign w:val="center"/>
                </w:tcPr>
                <w:p w14:paraId="794F2734">
                  <w:pPr>
                    <w:pStyle w:val="75"/>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sz w:val="21"/>
                      <w:szCs w:val="18"/>
                      <w:vertAlign w:val="baseline"/>
                      <w:lang w:eastAsia="zh-CN"/>
                    </w:rPr>
                  </w:pPr>
                </w:p>
              </w:tc>
              <w:tc>
                <w:tcPr>
                  <w:tcW w:w="471" w:type="pct"/>
                  <w:vMerge w:val="continue"/>
                  <w:vAlign w:val="center"/>
                </w:tcPr>
                <w:p w14:paraId="17C10C8F">
                  <w:pPr>
                    <w:pStyle w:val="75"/>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sz w:val="21"/>
                      <w:szCs w:val="18"/>
                      <w:vertAlign w:val="baseline"/>
                      <w:lang w:eastAsia="zh-CN"/>
                    </w:rPr>
                  </w:pPr>
                </w:p>
              </w:tc>
            </w:tr>
            <w:tr w14:paraId="0E601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18" w:type="pct"/>
                  <w:vAlign w:val="center"/>
                </w:tcPr>
                <w:p w14:paraId="7A2679BC">
                  <w:pPr>
                    <w:pStyle w:val="75"/>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sz w:val="21"/>
                      <w:szCs w:val="18"/>
                      <w:vertAlign w:val="baseline"/>
                      <w:lang w:eastAsia="zh-CN"/>
                    </w:rPr>
                  </w:pPr>
                  <w:r>
                    <w:rPr>
                      <w:rFonts w:hint="eastAsia" w:ascii="Times New Roman" w:hAnsi="Times New Roman" w:cs="Times New Roman"/>
                      <w:b w:val="0"/>
                      <w:bCs w:val="0"/>
                      <w:sz w:val="21"/>
                      <w:szCs w:val="18"/>
                      <w:vertAlign w:val="baseline"/>
                      <w:lang w:val="en-US" w:eastAsia="zh-CN"/>
                    </w:rPr>
                    <w:t>狮山村</w:t>
                  </w:r>
                  <w:r>
                    <w:rPr>
                      <w:rFonts w:hint="default" w:ascii="Times New Roman" w:hAnsi="Times New Roman" w:eastAsia="宋体" w:cs="Times New Roman"/>
                      <w:b w:val="0"/>
                      <w:bCs w:val="0"/>
                      <w:sz w:val="21"/>
                      <w:szCs w:val="18"/>
                      <w:vertAlign w:val="baseline"/>
                      <w:lang w:eastAsia="zh-CN"/>
                    </w:rPr>
                    <w:t>穆家畈</w:t>
                  </w:r>
                  <w:r>
                    <w:rPr>
                      <w:rFonts w:hint="eastAsia" w:ascii="Times New Roman" w:hAnsi="Times New Roman" w:cs="Times New Roman"/>
                      <w:b w:val="0"/>
                      <w:bCs w:val="0"/>
                      <w:sz w:val="21"/>
                      <w:szCs w:val="18"/>
                      <w:vertAlign w:val="baseline"/>
                      <w:lang w:val="en-US" w:eastAsia="zh-CN"/>
                    </w:rPr>
                    <w:t>组</w:t>
                  </w:r>
                </w:p>
              </w:tc>
              <w:tc>
                <w:tcPr>
                  <w:tcW w:w="558" w:type="pct"/>
                  <w:shd w:val="clear" w:color="auto" w:fill="auto"/>
                  <w:vAlign w:val="center"/>
                </w:tcPr>
                <w:p w14:paraId="387E8EF8">
                  <w:pPr>
                    <w:pStyle w:val="75"/>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snapToGrid w:val="0"/>
                      <w:kern w:val="0"/>
                      <w:sz w:val="21"/>
                      <w:szCs w:val="18"/>
                      <w:vertAlign w:val="baseline"/>
                      <w:lang w:val="en-US" w:eastAsia="zh-CN" w:bidi="ar-SA"/>
                    </w:rPr>
                  </w:pPr>
                  <w:r>
                    <w:rPr>
                      <w:rFonts w:hint="eastAsia" w:cs="Times New Roman"/>
                      <w:b w:val="0"/>
                      <w:bCs w:val="0"/>
                      <w:snapToGrid w:val="0"/>
                      <w:kern w:val="0"/>
                      <w:sz w:val="21"/>
                      <w:szCs w:val="18"/>
                      <w:vertAlign w:val="baseline"/>
                      <w:lang w:val="en-US" w:eastAsia="zh-CN" w:bidi="ar-SA"/>
                    </w:rPr>
                    <w:t>116.185984</w:t>
                  </w:r>
                </w:p>
              </w:tc>
              <w:tc>
                <w:tcPr>
                  <w:tcW w:w="603" w:type="pct"/>
                  <w:shd w:val="clear" w:color="auto" w:fill="auto"/>
                  <w:vAlign w:val="center"/>
                </w:tcPr>
                <w:p w14:paraId="13DD7EFC">
                  <w:pPr>
                    <w:jc w:val="center"/>
                    <w:rPr>
                      <w:rFonts w:hint="default" w:ascii="Times New Roman" w:hAnsi="Times New Roman" w:eastAsia="宋体" w:cs="Times New Roman"/>
                      <w:color w:val="auto"/>
                      <w:sz w:val="21"/>
                      <w:szCs w:val="21"/>
                      <w:lang w:val="en-US" w:eastAsia="zh-CN" w:bidi="ar-SA"/>
                    </w:rPr>
                  </w:pPr>
                  <w:r>
                    <w:rPr>
                      <w:rFonts w:hint="eastAsia"/>
                      <w:color w:val="auto"/>
                      <w:sz w:val="21"/>
                      <w:szCs w:val="21"/>
                      <w:lang w:val="en-US" w:eastAsia="zh-CN"/>
                    </w:rPr>
                    <w:t>31.413211</w:t>
                  </w:r>
                </w:p>
              </w:tc>
              <w:tc>
                <w:tcPr>
                  <w:tcW w:w="537" w:type="pct"/>
                  <w:vAlign w:val="center"/>
                </w:tcPr>
                <w:p w14:paraId="356D1C11">
                  <w:pPr>
                    <w:pStyle w:val="75"/>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sz w:val="21"/>
                      <w:szCs w:val="18"/>
                      <w:vertAlign w:val="baseline"/>
                      <w:lang w:eastAsia="zh-CN"/>
                    </w:rPr>
                  </w:pPr>
                  <w:r>
                    <w:rPr>
                      <w:rFonts w:hint="eastAsia" w:ascii="Times New Roman" w:hAnsi="Times New Roman" w:eastAsia="宋体" w:cs="Times New Roman"/>
                      <w:b w:val="0"/>
                      <w:bCs w:val="0"/>
                      <w:sz w:val="21"/>
                      <w:szCs w:val="18"/>
                      <w:vertAlign w:val="baseline"/>
                      <w:lang w:eastAsia="zh-CN"/>
                    </w:rPr>
                    <w:t>居民区</w:t>
                  </w:r>
                </w:p>
                <w:p w14:paraId="3A9C3A15">
                  <w:pPr>
                    <w:pStyle w:val="75"/>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sz w:val="21"/>
                      <w:szCs w:val="18"/>
                      <w:vertAlign w:val="baseline"/>
                      <w:lang w:eastAsia="zh-CN"/>
                    </w:rPr>
                  </w:pPr>
                  <w:r>
                    <w:rPr>
                      <w:rFonts w:hint="eastAsia" w:ascii="Times New Roman" w:hAnsi="Times New Roman" w:eastAsia="宋体" w:cs="Times New Roman"/>
                      <w:b w:val="0"/>
                      <w:bCs w:val="0"/>
                      <w:sz w:val="21"/>
                      <w:szCs w:val="18"/>
                      <w:vertAlign w:val="baseline"/>
                      <w:lang w:eastAsia="zh-CN"/>
                    </w:rPr>
                    <w:t>人群</w:t>
                  </w:r>
                </w:p>
              </w:tc>
              <w:tc>
                <w:tcPr>
                  <w:tcW w:w="742" w:type="pct"/>
                  <w:vAlign w:val="center"/>
                </w:tcPr>
                <w:p w14:paraId="1C7CEC46">
                  <w:pPr>
                    <w:pStyle w:val="75"/>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sz w:val="21"/>
                      <w:szCs w:val="18"/>
                      <w:vertAlign w:val="baseline"/>
                      <w:lang w:eastAsia="zh-CN"/>
                    </w:rPr>
                  </w:pPr>
                  <w:r>
                    <w:rPr>
                      <w:rFonts w:hint="default" w:ascii="Times New Roman" w:hAnsi="Times New Roman" w:eastAsia="宋体" w:cs="Times New Roman"/>
                      <w:b w:val="0"/>
                      <w:bCs w:val="0"/>
                      <w:sz w:val="21"/>
                      <w:szCs w:val="18"/>
                      <w:vertAlign w:val="baseline"/>
                      <w:lang w:eastAsia="zh-CN"/>
                    </w:rPr>
                    <w:t>13户</w:t>
                  </w:r>
                </w:p>
                <w:p w14:paraId="70067826">
                  <w:pPr>
                    <w:pStyle w:val="75"/>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sz w:val="21"/>
                      <w:szCs w:val="18"/>
                      <w:vertAlign w:val="baseline"/>
                      <w:lang w:eastAsia="zh-CN"/>
                    </w:rPr>
                  </w:pPr>
                  <w:r>
                    <w:rPr>
                      <w:rFonts w:hint="default" w:ascii="Times New Roman" w:hAnsi="Times New Roman" w:eastAsia="宋体" w:cs="Times New Roman"/>
                      <w:b w:val="0"/>
                      <w:bCs w:val="0"/>
                      <w:sz w:val="21"/>
                      <w:szCs w:val="18"/>
                      <w:vertAlign w:val="baseline"/>
                      <w:lang w:eastAsia="zh-CN"/>
                    </w:rPr>
                    <w:t>（约</w:t>
                  </w:r>
                  <w:r>
                    <w:rPr>
                      <w:rFonts w:hint="eastAsia" w:cs="Times New Roman"/>
                      <w:b w:val="0"/>
                      <w:bCs w:val="0"/>
                      <w:sz w:val="21"/>
                      <w:szCs w:val="18"/>
                      <w:vertAlign w:val="baseline"/>
                      <w:lang w:val="en-US" w:eastAsia="zh-CN"/>
                    </w:rPr>
                    <w:t>40</w:t>
                  </w:r>
                  <w:r>
                    <w:rPr>
                      <w:rFonts w:hint="default" w:ascii="Times New Roman" w:hAnsi="Times New Roman" w:eastAsia="宋体" w:cs="Times New Roman"/>
                      <w:b w:val="0"/>
                      <w:bCs w:val="0"/>
                      <w:sz w:val="21"/>
                      <w:szCs w:val="18"/>
                      <w:vertAlign w:val="baseline"/>
                      <w:lang w:eastAsia="zh-CN"/>
                    </w:rPr>
                    <w:t>人）</w:t>
                  </w:r>
                </w:p>
              </w:tc>
              <w:tc>
                <w:tcPr>
                  <w:tcW w:w="996" w:type="pct"/>
                  <w:vAlign w:val="center"/>
                </w:tcPr>
                <w:p w14:paraId="4CB4D4C2">
                  <w:pPr>
                    <w:pStyle w:val="75"/>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sz w:val="21"/>
                      <w:szCs w:val="18"/>
                      <w:vertAlign w:val="baseline"/>
                      <w:lang w:eastAsia="zh-CN"/>
                    </w:rPr>
                  </w:pPr>
                  <w:r>
                    <w:rPr>
                      <w:rFonts w:hint="default" w:ascii="Times New Roman" w:hAnsi="Times New Roman" w:eastAsia="宋体" w:cs="Times New Roman"/>
                      <w:b w:val="0"/>
                      <w:bCs w:val="0"/>
                      <w:sz w:val="21"/>
                      <w:szCs w:val="18"/>
                      <w:vertAlign w:val="baseline"/>
                      <w:lang w:eastAsia="zh-CN"/>
                    </w:rPr>
                    <w:t>《声环境质量标准》（GB3096-2008）中的</w:t>
                  </w:r>
                  <w:r>
                    <w:rPr>
                      <w:rFonts w:hint="eastAsia" w:cs="Times New Roman"/>
                      <w:b w:val="0"/>
                      <w:bCs w:val="0"/>
                      <w:sz w:val="21"/>
                      <w:szCs w:val="18"/>
                      <w:vertAlign w:val="baseline"/>
                      <w:lang w:val="en-US" w:eastAsia="zh-CN"/>
                    </w:rPr>
                    <w:t>2</w:t>
                  </w:r>
                  <w:r>
                    <w:rPr>
                      <w:rFonts w:hint="default" w:ascii="Times New Roman" w:hAnsi="Times New Roman" w:eastAsia="宋体" w:cs="Times New Roman"/>
                      <w:b w:val="0"/>
                      <w:bCs w:val="0"/>
                      <w:sz w:val="21"/>
                      <w:szCs w:val="18"/>
                      <w:vertAlign w:val="baseline"/>
                      <w:lang w:eastAsia="zh-CN"/>
                    </w:rPr>
                    <w:t>类标准</w:t>
                  </w:r>
                </w:p>
              </w:tc>
              <w:tc>
                <w:tcPr>
                  <w:tcW w:w="471" w:type="pct"/>
                  <w:vAlign w:val="center"/>
                </w:tcPr>
                <w:p w14:paraId="3C48DA5D">
                  <w:pPr>
                    <w:pStyle w:val="75"/>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sz w:val="21"/>
                      <w:szCs w:val="18"/>
                      <w:vertAlign w:val="baseline"/>
                      <w:lang w:val="en-US" w:eastAsia="zh-CN"/>
                    </w:rPr>
                  </w:pPr>
                  <w:r>
                    <w:rPr>
                      <w:rFonts w:hint="eastAsia" w:cs="Times New Roman"/>
                      <w:b w:val="0"/>
                      <w:bCs w:val="0"/>
                      <w:sz w:val="21"/>
                      <w:szCs w:val="18"/>
                      <w:vertAlign w:val="baseline"/>
                      <w:lang w:val="en-US" w:eastAsia="zh-CN"/>
                    </w:rPr>
                    <w:t>N</w:t>
                  </w:r>
                </w:p>
              </w:tc>
              <w:tc>
                <w:tcPr>
                  <w:tcW w:w="471" w:type="pct"/>
                  <w:vAlign w:val="center"/>
                </w:tcPr>
                <w:p w14:paraId="168A013F">
                  <w:pPr>
                    <w:pStyle w:val="75"/>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sz w:val="21"/>
                      <w:szCs w:val="18"/>
                      <w:vertAlign w:val="baseline"/>
                      <w:lang w:val="en-US" w:eastAsia="zh-CN"/>
                    </w:rPr>
                  </w:pPr>
                  <w:r>
                    <w:rPr>
                      <w:rFonts w:hint="eastAsia" w:cs="Times New Roman"/>
                      <w:b w:val="0"/>
                      <w:bCs w:val="0"/>
                      <w:sz w:val="21"/>
                      <w:szCs w:val="18"/>
                      <w:vertAlign w:val="baseline"/>
                      <w:lang w:val="en-US" w:eastAsia="zh-CN"/>
                    </w:rPr>
                    <w:t>10</w:t>
                  </w:r>
                </w:p>
              </w:tc>
            </w:tr>
          </w:tbl>
          <w:p w14:paraId="48A03024">
            <w:pPr>
              <w:spacing w:line="360" w:lineRule="auto"/>
              <w:ind w:firstLine="480" w:firstLineChars="200"/>
              <w:jc w:val="both"/>
              <w:rPr>
                <w:rFonts w:hint="default"/>
                <w:lang w:val="en-US" w:eastAsia="zh-CN"/>
              </w:rPr>
            </w:pPr>
            <w:r>
              <w:rPr>
                <w:rFonts w:hint="eastAsia"/>
                <w:lang w:val="en-US" w:eastAsia="zh-CN"/>
              </w:rPr>
              <w:t>3、</w:t>
            </w:r>
            <w:r>
              <w:rPr>
                <w:rFonts w:hint="default"/>
                <w:lang w:val="en-US" w:eastAsia="zh-CN"/>
              </w:rPr>
              <w:t>地下水环境</w:t>
            </w:r>
          </w:p>
          <w:p w14:paraId="1B41D744">
            <w:pPr>
              <w:spacing w:line="360" w:lineRule="auto"/>
              <w:ind w:firstLine="480" w:firstLineChars="200"/>
              <w:jc w:val="both"/>
              <w:rPr>
                <w:rFonts w:hint="default"/>
                <w:lang w:val="en-US" w:eastAsia="zh-CN"/>
              </w:rPr>
            </w:pPr>
            <w:r>
              <w:rPr>
                <w:rFonts w:hint="default"/>
                <w:lang w:val="en-US" w:eastAsia="zh-CN"/>
              </w:rPr>
              <w:t>根据现场勘查，项目厂界外500m范围内无集中式饮用水水源和热水、矿泉水、温泉等特殊地下资源。</w:t>
            </w:r>
          </w:p>
          <w:p w14:paraId="64126EC9">
            <w:pPr>
              <w:spacing w:line="360" w:lineRule="auto"/>
              <w:ind w:firstLine="480" w:firstLineChars="200"/>
              <w:jc w:val="both"/>
              <w:rPr>
                <w:rFonts w:hint="default"/>
                <w:lang w:val="en-US" w:eastAsia="zh-CN"/>
              </w:rPr>
            </w:pPr>
            <w:r>
              <w:rPr>
                <w:rFonts w:hint="eastAsia"/>
                <w:lang w:val="en-US" w:eastAsia="zh-CN"/>
              </w:rPr>
              <w:t>4、</w:t>
            </w:r>
            <w:r>
              <w:rPr>
                <w:rFonts w:hint="default"/>
                <w:lang w:val="en-US" w:eastAsia="zh-CN"/>
              </w:rPr>
              <w:t>生态环境</w:t>
            </w:r>
          </w:p>
          <w:p w14:paraId="7AE7653E">
            <w:pPr>
              <w:spacing w:line="360" w:lineRule="auto"/>
              <w:ind w:firstLine="480" w:firstLineChars="200"/>
              <w:jc w:val="both"/>
              <w:rPr>
                <w:rFonts w:hint="default"/>
                <w:lang w:val="en-US" w:eastAsia="zh-CN"/>
              </w:rPr>
            </w:pPr>
            <w:r>
              <w:rPr>
                <w:rFonts w:hint="default"/>
                <w:lang w:val="en-US" w:eastAsia="zh-CN"/>
              </w:rPr>
              <w:t>项目选址位于</w:t>
            </w:r>
            <w:r>
              <w:rPr>
                <w:rFonts w:hint="eastAsia"/>
                <w:lang w:val="en-US" w:eastAsia="zh-CN"/>
              </w:rPr>
              <w:t>霍山县诸佛庵镇狮山村穆家畈组</w:t>
            </w:r>
            <w:r>
              <w:rPr>
                <w:rFonts w:hint="default"/>
                <w:lang w:val="en-US" w:eastAsia="zh-CN"/>
              </w:rPr>
              <w:t>，</w:t>
            </w:r>
            <w:r>
              <w:rPr>
                <w:rFonts w:hint="eastAsia" w:ascii="Times New Roman" w:hAnsi="Times New Roman" w:cs="Times New Roman"/>
                <w:color w:val="auto"/>
                <w:sz w:val="24"/>
                <w:szCs w:val="24"/>
                <w:lang w:val="en-US" w:eastAsia="zh-CN"/>
              </w:rPr>
              <w:t>项目用地为工业用地，</w:t>
            </w:r>
            <w:r>
              <w:rPr>
                <w:rFonts w:hint="default"/>
                <w:lang w:val="en-US" w:eastAsia="zh-CN"/>
              </w:rPr>
              <w:t>无新增用地</w:t>
            </w:r>
            <w:r>
              <w:rPr>
                <w:rFonts w:hint="eastAsia"/>
                <w:lang w:val="en-US" w:eastAsia="zh-CN"/>
              </w:rPr>
              <w:t>，</w:t>
            </w:r>
            <w:r>
              <w:rPr>
                <w:rFonts w:hint="default"/>
                <w:lang w:val="en-US" w:eastAsia="zh-CN"/>
              </w:rPr>
              <w:t>项目用地范围内无生态环境保护目标</w:t>
            </w:r>
            <w:r>
              <w:rPr>
                <w:rFonts w:hint="eastAsia"/>
                <w:lang w:val="en-US" w:eastAsia="zh-CN"/>
              </w:rPr>
              <w:t>。</w:t>
            </w:r>
          </w:p>
        </w:tc>
      </w:tr>
      <w:tr w14:paraId="74E93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jc w:val="center"/>
        </w:trPr>
        <w:tc>
          <w:tcPr>
            <w:tcW w:w="738" w:type="dxa"/>
            <w:noWrap w:val="0"/>
            <w:vAlign w:val="center"/>
          </w:tcPr>
          <w:p w14:paraId="6B49E89D">
            <w:pPr>
              <w:jc w:val="center"/>
              <w:rPr>
                <w:rFonts w:hint="default" w:ascii="Times New Roman" w:hAnsi="Times New Roman" w:cs="Times New Roman"/>
                <w:color w:val="auto"/>
                <w:sz w:val="24"/>
                <w:szCs w:val="22"/>
                <w:vertAlign w:val="baseline"/>
              </w:rPr>
            </w:pPr>
            <w:r>
              <w:rPr>
                <w:rFonts w:hint="default" w:ascii="Times New Roman" w:hAnsi="Times New Roman" w:cs="Times New Roman"/>
                <w:color w:val="auto"/>
                <w:sz w:val="24"/>
                <w:szCs w:val="22"/>
                <w:vertAlign w:val="baseline"/>
              </w:rPr>
              <w:t>污染</w:t>
            </w:r>
          </w:p>
          <w:p w14:paraId="2A5E86E1">
            <w:pPr>
              <w:jc w:val="center"/>
              <w:rPr>
                <w:rFonts w:hint="default" w:ascii="Times New Roman" w:hAnsi="Times New Roman" w:cs="Times New Roman"/>
                <w:color w:val="auto"/>
                <w:sz w:val="24"/>
                <w:szCs w:val="22"/>
                <w:vertAlign w:val="baseline"/>
              </w:rPr>
            </w:pPr>
            <w:r>
              <w:rPr>
                <w:rFonts w:hint="default" w:ascii="Times New Roman" w:hAnsi="Times New Roman" w:cs="Times New Roman"/>
                <w:color w:val="auto"/>
                <w:sz w:val="24"/>
                <w:szCs w:val="22"/>
                <w:vertAlign w:val="baseline"/>
              </w:rPr>
              <w:t>物排</w:t>
            </w:r>
          </w:p>
          <w:p w14:paraId="488918E5">
            <w:pPr>
              <w:jc w:val="center"/>
              <w:rPr>
                <w:rFonts w:hint="default" w:ascii="Times New Roman" w:hAnsi="Times New Roman" w:cs="Times New Roman"/>
                <w:color w:val="auto"/>
                <w:sz w:val="24"/>
                <w:szCs w:val="22"/>
                <w:vertAlign w:val="baseline"/>
              </w:rPr>
            </w:pPr>
            <w:r>
              <w:rPr>
                <w:rFonts w:hint="default" w:ascii="Times New Roman" w:hAnsi="Times New Roman" w:cs="Times New Roman"/>
                <w:color w:val="auto"/>
                <w:sz w:val="24"/>
                <w:szCs w:val="22"/>
                <w:vertAlign w:val="baseline"/>
              </w:rPr>
              <w:t>放控</w:t>
            </w:r>
          </w:p>
          <w:p w14:paraId="2D16A6D8">
            <w:pPr>
              <w:jc w:val="center"/>
              <w:rPr>
                <w:rFonts w:hint="default" w:ascii="Times New Roman" w:hAnsi="Times New Roman" w:cs="Times New Roman"/>
                <w:color w:val="auto"/>
                <w:sz w:val="24"/>
                <w:szCs w:val="22"/>
                <w:vertAlign w:val="baseline"/>
              </w:rPr>
            </w:pPr>
            <w:r>
              <w:rPr>
                <w:rFonts w:hint="default" w:ascii="Times New Roman" w:hAnsi="Times New Roman" w:cs="Times New Roman"/>
                <w:color w:val="auto"/>
                <w:sz w:val="24"/>
                <w:szCs w:val="22"/>
                <w:vertAlign w:val="baseline"/>
              </w:rPr>
              <w:t>制标</w:t>
            </w:r>
          </w:p>
          <w:p w14:paraId="49A2A33B">
            <w:pPr>
              <w:jc w:val="center"/>
              <w:rPr>
                <w:rFonts w:hint="default" w:ascii="Times New Roman" w:hAnsi="Times New Roman" w:cs="Times New Roman"/>
                <w:color w:val="0000FF"/>
                <w:sz w:val="24"/>
                <w:szCs w:val="22"/>
                <w:vertAlign w:val="baseline"/>
              </w:rPr>
            </w:pPr>
            <w:r>
              <w:rPr>
                <w:rFonts w:hint="default" w:ascii="Times New Roman" w:hAnsi="Times New Roman" w:cs="Times New Roman"/>
                <w:color w:val="auto"/>
                <w:sz w:val="24"/>
                <w:szCs w:val="22"/>
                <w:vertAlign w:val="baseline"/>
              </w:rPr>
              <w:t>准</w:t>
            </w:r>
          </w:p>
        </w:tc>
        <w:tc>
          <w:tcPr>
            <w:tcW w:w="8550" w:type="dxa"/>
            <w:noWrap w:val="0"/>
            <w:vAlign w:val="top"/>
          </w:tcPr>
          <w:p w14:paraId="3D7CB16D">
            <w:pPr>
              <w:keepNext w:val="0"/>
              <w:keepLines w:val="0"/>
              <w:pageBreakBefore w:val="0"/>
              <w:widowControl w:val="0"/>
              <w:kinsoku/>
              <w:wordWrap/>
              <w:overflowPunct/>
              <w:topLinePunct w:val="0"/>
              <w:autoSpaceDE/>
              <w:autoSpaceDN/>
              <w:bidi w:val="0"/>
              <w:spacing w:line="360" w:lineRule="auto"/>
              <w:ind w:firstLine="482" w:firstLineChars="200"/>
              <w:jc w:val="both"/>
              <w:textAlignment w:val="baseline"/>
              <w:rPr>
                <w:rFonts w:hint="default" w:ascii="Times New Roman" w:hAnsi="Times New Roman" w:cs="Times New Roman"/>
                <w:b/>
                <w:bCs/>
                <w:color w:val="auto"/>
                <w:sz w:val="24"/>
                <w:lang w:val="en-US" w:eastAsia="zh-CN"/>
              </w:rPr>
            </w:pPr>
            <w:r>
              <w:rPr>
                <w:rFonts w:hint="eastAsia" w:ascii="Times New Roman" w:hAnsi="Times New Roman" w:cs="Times New Roman"/>
                <w:b/>
                <w:bCs/>
                <w:color w:val="auto"/>
                <w:sz w:val="24"/>
                <w:lang w:val="en-US" w:eastAsia="zh-CN"/>
              </w:rPr>
              <w:t>1</w:t>
            </w:r>
            <w:r>
              <w:rPr>
                <w:rFonts w:hint="default" w:ascii="Times New Roman" w:hAnsi="Times New Roman" w:cs="Times New Roman"/>
                <w:b/>
                <w:bCs/>
                <w:color w:val="auto"/>
                <w:sz w:val="24"/>
                <w:lang w:val="en-US" w:eastAsia="zh-CN"/>
              </w:rPr>
              <w:t>、废气排放标准</w:t>
            </w:r>
          </w:p>
          <w:p w14:paraId="6F779A7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lang w:val="en-US" w:eastAsia="zh-CN"/>
              </w:rPr>
            </w:pPr>
            <w:bookmarkStart w:id="11" w:name="_Hlk74080029"/>
            <w:r>
              <w:rPr>
                <w:rFonts w:hint="default" w:ascii="Times New Roman" w:hAnsi="Times New Roman" w:cs="Times New Roman"/>
                <w:color w:val="auto"/>
                <w:sz w:val="24"/>
                <w:lang w:eastAsia="zh-CN"/>
              </w:rPr>
              <w:t>本项目挤塑</w:t>
            </w:r>
            <w:r>
              <w:rPr>
                <w:rFonts w:hint="eastAsia" w:cs="Times New Roman"/>
                <w:color w:val="auto"/>
                <w:sz w:val="24"/>
                <w:lang w:eastAsia="zh-CN"/>
              </w:rPr>
              <w:t>、</w:t>
            </w:r>
            <w:r>
              <w:rPr>
                <w:rFonts w:hint="eastAsia" w:cs="Times New Roman"/>
                <w:color w:val="auto"/>
                <w:sz w:val="24"/>
                <w:lang w:val="en-US" w:eastAsia="zh-CN"/>
              </w:rPr>
              <w:t>注塑、热熔焊接等工序产生的有机</w:t>
            </w:r>
            <w:r>
              <w:rPr>
                <w:rFonts w:hint="default" w:ascii="Times New Roman" w:hAnsi="Times New Roman" w:cs="Times New Roman"/>
                <w:color w:val="auto"/>
                <w:sz w:val="24"/>
                <w:lang w:eastAsia="zh-CN"/>
              </w:rPr>
              <w:t>废气</w:t>
            </w:r>
            <w:r>
              <w:rPr>
                <w:rFonts w:hint="eastAsia" w:cs="Times New Roman"/>
                <w:color w:val="auto"/>
                <w:sz w:val="24"/>
                <w:lang w:eastAsia="zh-CN"/>
              </w:rPr>
              <w:t>，</w:t>
            </w:r>
            <w:r>
              <w:rPr>
                <w:rFonts w:hint="eastAsia" w:cs="Times New Roman"/>
                <w:color w:val="auto"/>
                <w:sz w:val="24"/>
                <w:lang w:val="en-US" w:eastAsia="zh-CN"/>
              </w:rPr>
              <w:t>其</w:t>
            </w:r>
            <w:r>
              <w:rPr>
                <w:rFonts w:hint="eastAsia" w:ascii="Times New Roman" w:hAnsi="Times New Roman" w:cs="Times New Roman"/>
                <w:color w:val="auto"/>
                <w:sz w:val="24"/>
                <w:lang w:val="en-US" w:eastAsia="zh-CN"/>
              </w:rPr>
              <w:t>中非甲烷总烃</w:t>
            </w:r>
            <w:r>
              <w:rPr>
                <w:rFonts w:hint="default" w:ascii="Times New Roman" w:hAnsi="Times New Roman" w:cs="Times New Roman"/>
                <w:color w:val="auto"/>
                <w:sz w:val="24"/>
                <w:lang w:eastAsia="zh-CN"/>
              </w:rPr>
              <w:t>排放执行</w:t>
            </w:r>
            <w:r>
              <w:rPr>
                <w:rFonts w:hint="default" w:ascii="Times New Roman" w:hAnsi="Times New Roman" w:eastAsia="宋体" w:cs="Times New Roman"/>
                <w:color w:val="auto"/>
                <w:kern w:val="2"/>
                <w:sz w:val="24"/>
                <w:szCs w:val="24"/>
                <w:lang w:val="en-US" w:eastAsia="zh-CN" w:bidi="ar"/>
              </w:rPr>
              <w:t>《固定源挥发性有机物综合排放标准第6部分：其他行业》（DB34/4812.6-2024）</w:t>
            </w:r>
            <w:r>
              <w:rPr>
                <w:rFonts w:hint="eastAsia" w:cs="Times New Roman"/>
                <w:color w:val="auto"/>
                <w:kern w:val="2"/>
                <w:sz w:val="24"/>
                <w:szCs w:val="24"/>
                <w:lang w:val="en-US" w:eastAsia="zh-CN" w:bidi="ar"/>
              </w:rPr>
              <w:t>和</w:t>
            </w:r>
            <w:bookmarkStart w:id="12" w:name="OLE_LINK14"/>
            <w:r>
              <w:rPr>
                <w:rFonts w:hint="default" w:ascii="Times New Roman" w:hAnsi="Times New Roman" w:cs="Times New Roman"/>
                <w:color w:val="auto"/>
                <w:sz w:val="24"/>
                <w:lang w:eastAsia="zh-CN"/>
              </w:rPr>
              <w:t>《合成树脂工业污染物排放标准》</w:t>
            </w:r>
            <w:r>
              <w:rPr>
                <w:rFonts w:hint="eastAsia" w:cs="Times New Roman"/>
                <w:color w:val="auto"/>
                <w:sz w:val="24"/>
                <w:lang w:eastAsia="zh-CN"/>
              </w:rPr>
              <w:t>（</w:t>
            </w:r>
            <w:r>
              <w:rPr>
                <w:rFonts w:hint="default" w:ascii="Times New Roman" w:hAnsi="Times New Roman" w:cs="Times New Roman"/>
                <w:color w:val="auto"/>
                <w:sz w:val="24"/>
                <w:lang w:eastAsia="zh-CN"/>
              </w:rPr>
              <w:t>GB31572-2015</w:t>
            </w:r>
            <w:r>
              <w:rPr>
                <w:rFonts w:hint="eastAsia" w:cs="Times New Roman"/>
                <w:color w:val="auto"/>
                <w:sz w:val="24"/>
                <w:lang w:eastAsia="zh-CN"/>
              </w:rPr>
              <w:t>）</w:t>
            </w:r>
            <w:bookmarkEnd w:id="12"/>
            <w:r>
              <w:rPr>
                <w:rFonts w:hint="default" w:ascii="Times New Roman" w:hAnsi="Times New Roman" w:eastAsia="宋体" w:cs="Times New Roman"/>
                <w:color w:val="auto"/>
                <w:sz w:val="24"/>
                <w:szCs w:val="24"/>
              </w:rPr>
              <w:t>及其修改单（公告2024年第17号）</w:t>
            </w:r>
            <w:r>
              <w:rPr>
                <w:rFonts w:hint="default" w:ascii="Times New Roman" w:hAnsi="Times New Roman" w:eastAsia="宋体" w:cs="Times New Roman"/>
                <w:color w:val="auto"/>
                <w:kern w:val="2"/>
                <w:sz w:val="24"/>
                <w:szCs w:val="24"/>
                <w:lang w:val="en-US" w:eastAsia="zh-CN" w:bidi="ar"/>
              </w:rPr>
              <w:t>中的较严值</w:t>
            </w:r>
            <w:r>
              <w:rPr>
                <w:rFonts w:hint="eastAsia" w:cs="Times New Roman"/>
                <w:color w:val="auto"/>
                <w:kern w:val="2"/>
                <w:sz w:val="24"/>
                <w:szCs w:val="24"/>
                <w:lang w:val="en-US" w:eastAsia="zh-CN" w:bidi="ar"/>
              </w:rPr>
              <w:t>；</w:t>
            </w:r>
            <w:r>
              <w:rPr>
                <w:rFonts w:hint="eastAsia" w:ascii="Times New Roman" w:hAnsi="Times New Roman"/>
                <w:sz w:val="24"/>
                <w:szCs w:val="24"/>
                <w:lang w:val="en-US" w:eastAsia="zh-CN"/>
              </w:rPr>
              <w:t>颗粒物</w:t>
            </w:r>
            <w:r>
              <w:rPr>
                <w:rFonts w:hint="eastAsia" w:ascii="Times New Roman" w:hAnsi="Times New Roman"/>
                <w:sz w:val="24"/>
                <w:szCs w:val="24"/>
                <w:lang w:eastAsia="zh-CN"/>
              </w:rPr>
              <w:t>排放执行《合成树脂工业污染物排放标准》(GB31572-2015)（</w:t>
            </w:r>
            <w:r>
              <w:rPr>
                <w:rFonts w:hint="eastAsia" w:ascii="Times New Roman" w:hAnsi="Times New Roman"/>
                <w:sz w:val="24"/>
                <w:szCs w:val="24"/>
                <w:lang w:val="en-US" w:eastAsia="zh-CN"/>
              </w:rPr>
              <w:t>含2024年修改单</w:t>
            </w:r>
            <w:r>
              <w:rPr>
                <w:rFonts w:hint="eastAsia" w:ascii="Times New Roman" w:hAnsi="Times New Roman"/>
                <w:sz w:val="24"/>
                <w:szCs w:val="24"/>
                <w:lang w:eastAsia="zh-CN"/>
              </w:rPr>
              <w:t>）表</w:t>
            </w:r>
            <w:r>
              <w:rPr>
                <w:rFonts w:hint="eastAsia" w:ascii="Times New Roman" w:hAnsi="Times New Roman"/>
                <w:sz w:val="24"/>
                <w:szCs w:val="24"/>
                <w:lang w:val="en-US" w:eastAsia="zh-CN"/>
              </w:rPr>
              <w:t>4</w:t>
            </w:r>
            <w:r>
              <w:rPr>
                <w:rFonts w:hint="eastAsia" w:ascii="Times New Roman" w:hAnsi="Times New Roman"/>
                <w:sz w:val="24"/>
                <w:szCs w:val="24"/>
                <w:lang w:eastAsia="zh-CN"/>
              </w:rPr>
              <w:t>大气污染物排放限值和表9企业边界大气污染物浓度限值要求</w:t>
            </w:r>
            <w:r>
              <w:rPr>
                <w:rFonts w:hint="default" w:ascii="Times New Roman" w:hAnsi="Times New Roman" w:cs="Times New Roman"/>
                <w:color w:val="auto"/>
                <w:sz w:val="24"/>
                <w:lang w:eastAsia="zh-CN"/>
              </w:rPr>
              <w:t>。</w:t>
            </w:r>
            <w:r>
              <w:rPr>
                <w:rFonts w:hint="eastAsia" w:ascii="Times New Roman" w:hAnsi="Times New Roman" w:cs="Times New Roman"/>
                <w:color w:val="auto"/>
                <w:sz w:val="24"/>
                <w:lang w:eastAsia="zh-CN"/>
              </w:rPr>
              <w:t>本项目大气污染物排放标准如下</w:t>
            </w:r>
            <w:r>
              <w:rPr>
                <w:rFonts w:hint="eastAsia" w:ascii="Times New Roman" w:hAnsi="Times New Roman" w:cs="Times New Roman"/>
                <w:color w:val="auto"/>
                <w:sz w:val="24"/>
                <w:lang w:val="en-US" w:eastAsia="zh-CN"/>
              </w:rPr>
              <w:t>表所示。</w:t>
            </w:r>
          </w:p>
          <w:bookmarkEnd w:id="11"/>
          <w:p w14:paraId="0EE99A59">
            <w:pPr>
              <w:pStyle w:val="45"/>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cs="Times New Roman"/>
                <w:b/>
                <w:bCs/>
                <w:color w:val="auto"/>
                <w:sz w:val="24"/>
                <w:szCs w:val="24"/>
                <w:lang w:val="en-US" w:eastAsia="zh-CN"/>
              </w:rPr>
            </w:pPr>
            <w:r>
              <w:rPr>
                <w:rFonts w:hint="default" w:cs="Times New Roman"/>
                <w:b/>
                <w:bCs/>
                <w:color w:val="auto"/>
                <w:sz w:val="24"/>
                <w:szCs w:val="24"/>
                <w:lang w:val="en-US" w:eastAsia="zh-CN"/>
              </w:rPr>
              <w:t>表3-</w:t>
            </w:r>
            <w:r>
              <w:rPr>
                <w:rFonts w:hint="eastAsia" w:cs="Times New Roman"/>
                <w:b/>
                <w:bCs/>
                <w:color w:val="auto"/>
                <w:sz w:val="24"/>
                <w:szCs w:val="24"/>
                <w:lang w:val="en-US" w:eastAsia="zh-CN"/>
              </w:rPr>
              <w:t>5</w:t>
            </w:r>
            <w:r>
              <w:rPr>
                <w:rFonts w:hint="default" w:cs="Times New Roman"/>
                <w:b/>
                <w:bCs/>
                <w:color w:val="auto"/>
                <w:sz w:val="24"/>
                <w:szCs w:val="24"/>
                <w:lang w:val="en-US" w:eastAsia="zh-CN"/>
              </w:rPr>
              <w:t xml:space="preserve">  </w:t>
            </w:r>
            <w:r>
              <w:rPr>
                <w:rFonts w:hint="eastAsia" w:cs="Times New Roman"/>
                <w:b/>
                <w:bCs/>
                <w:color w:val="auto"/>
                <w:sz w:val="24"/>
                <w:szCs w:val="24"/>
                <w:lang w:val="en-US" w:eastAsia="zh-CN"/>
              </w:rPr>
              <w:t>大气</w:t>
            </w:r>
            <w:r>
              <w:rPr>
                <w:rFonts w:hint="default" w:cs="Times New Roman"/>
                <w:b/>
                <w:bCs/>
                <w:color w:val="auto"/>
                <w:sz w:val="24"/>
                <w:szCs w:val="24"/>
                <w:lang w:val="en-US" w:eastAsia="zh-CN"/>
              </w:rPr>
              <w:t>污染物排放限值</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4"/>
              <w:gridCol w:w="1404"/>
              <w:gridCol w:w="1479"/>
              <w:gridCol w:w="1757"/>
              <w:gridCol w:w="2180"/>
            </w:tblGrid>
            <w:tr w14:paraId="7D575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03" w:type="pct"/>
                  <w:noWrap w:val="0"/>
                  <w:vAlign w:val="center"/>
                </w:tcPr>
                <w:p w14:paraId="2272E5A8">
                  <w:pPr>
                    <w:pStyle w:val="65"/>
                    <w:keepNext w:val="0"/>
                    <w:keepLines w:val="0"/>
                    <w:pageBreakBefore w:val="0"/>
                    <w:kinsoku/>
                    <w:wordWrap/>
                    <w:overflowPunct/>
                    <w:topLinePunct w:val="0"/>
                    <w:autoSpaceDE/>
                    <w:autoSpaceDN/>
                    <w:bidi w:val="0"/>
                    <w:adjustRightInd/>
                    <w:snapToGrid/>
                    <w:spacing w:line="240" w:lineRule="auto"/>
                    <w:ind w:left="-72" w:leftChars="-30" w:right="-72" w:rightChars="-30"/>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污染物种类</w:t>
                  </w:r>
                </w:p>
              </w:tc>
              <w:tc>
                <w:tcPr>
                  <w:tcW w:w="843" w:type="pct"/>
                  <w:noWrap w:val="0"/>
                  <w:vAlign w:val="center"/>
                </w:tcPr>
                <w:p w14:paraId="46843EF8">
                  <w:pPr>
                    <w:pStyle w:val="65"/>
                    <w:keepNext w:val="0"/>
                    <w:keepLines w:val="0"/>
                    <w:pageBreakBefore w:val="0"/>
                    <w:kinsoku/>
                    <w:wordWrap/>
                    <w:overflowPunct/>
                    <w:topLinePunct w:val="0"/>
                    <w:autoSpaceDE/>
                    <w:autoSpaceDN/>
                    <w:bidi w:val="0"/>
                    <w:adjustRightInd/>
                    <w:snapToGrid/>
                    <w:spacing w:line="240" w:lineRule="auto"/>
                    <w:ind w:left="-72" w:leftChars="-30" w:right="-72" w:rightChars="-30"/>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最高允许排放浓度（mg/m</w:t>
                  </w:r>
                  <w:r>
                    <w:rPr>
                      <w:rFonts w:hint="default" w:ascii="Times New Roman" w:hAnsi="Times New Roman" w:cs="Times New Roman"/>
                      <w:b w:val="0"/>
                      <w:bCs w:val="0"/>
                      <w:color w:val="auto"/>
                      <w:sz w:val="21"/>
                      <w:szCs w:val="21"/>
                      <w:vertAlign w:val="superscript"/>
                    </w:rPr>
                    <w:t>3</w:t>
                  </w:r>
                  <w:r>
                    <w:rPr>
                      <w:rFonts w:hint="default" w:ascii="Times New Roman" w:hAnsi="Times New Roman" w:cs="Times New Roman"/>
                      <w:b w:val="0"/>
                      <w:bCs w:val="0"/>
                      <w:color w:val="auto"/>
                      <w:sz w:val="21"/>
                      <w:szCs w:val="21"/>
                    </w:rPr>
                    <w:t>）</w:t>
                  </w:r>
                </w:p>
              </w:tc>
              <w:tc>
                <w:tcPr>
                  <w:tcW w:w="888" w:type="pct"/>
                  <w:noWrap w:val="0"/>
                  <w:vAlign w:val="center"/>
                </w:tcPr>
                <w:p w14:paraId="1E2E499E">
                  <w:pPr>
                    <w:pStyle w:val="65"/>
                    <w:keepNext w:val="0"/>
                    <w:keepLines w:val="0"/>
                    <w:pageBreakBefore w:val="0"/>
                    <w:kinsoku/>
                    <w:wordWrap/>
                    <w:overflowPunct/>
                    <w:topLinePunct w:val="0"/>
                    <w:autoSpaceDE/>
                    <w:autoSpaceDN/>
                    <w:bidi w:val="0"/>
                    <w:adjustRightInd/>
                    <w:snapToGrid/>
                    <w:spacing w:line="240" w:lineRule="auto"/>
                    <w:ind w:left="-72" w:leftChars="-30" w:right="-72" w:rightChars="-30"/>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最高允许排放速率（kg/h）</w:t>
                  </w:r>
                </w:p>
              </w:tc>
              <w:tc>
                <w:tcPr>
                  <w:tcW w:w="1055" w:type="pct"/>
                  <w:noWrap w:val="0"/>
                  <w:vAlign w:val="center"/>
                </w:tcPr>
                <w:p w14:paraId="668B190C">
                  <w:pPr>
                    <w:pStyle w:val="65"/>
                    <w:keepNext w:val="0"/>
                    <w:keepLines w:val="0"/>
                    <w:pageBreakBefore w:val="0"/>
                    <w:kinsoku/>
                    <w:wordWrap/>
                    <w:overflowPunct/>
                    <w:topLinePunct w:val="0"/>
                    <w:autoSpaceDE/>
                    <w:autoSpaceDN/>
                    <w:bidi w:val="0"/>
                    <w:adjustRightInd/>
                    <w:snapToGrid/>
                    <w:spacing w:line="240" w:lineRule="auto"/>
                    <w:ind w:left="-72" w:leftChars="-30" w:right="-72" w:rightChars="-30"/>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企业边界大气污染物浓度限值（mg/m</w:t>
                  </w:r>
                  <w:r>
                    <w:rPr>
                      <w:rFonts w:hint="default" w:ascii="Times New Roman" w:hAnsi="Times New Roman" w:cs="Times New Roman"/>
                      <w:b w:val="0"/>
                      <w:bCs w:val="0"/>
                      <w:color w:val="auto"/>
                      <w:sz w:val="21"/>
                      <w:szCs w:val="21"/>
                      <w:vertAlign w:val="superscript"/>
                    </w:rPr>
                    <w:t>3</w:t>
                  </w:r>
                  <w:r>
                    <w:rPr>
                      <w:rFonts w:hint="default" w:ascii="Times New Roman" w:hAnsi="Times New Roman" w:cs="Times New Roman"/>
                      <w:b w:val="0"/>
                      <w:bCs w:val="0"/>
                      <w:color w:val="auto"/>
                      <w:sz w:val="21"/>
                      <w:szCs w:val="21"/>
                    </w:rPr>
                    <w:t>）</w:t>
                  </w:r>
                </w:p>
              </w:tc>
              <w:tc>
                <w:tcPr>
                  <w:tcW w:w="1309" w:type="pct"/>
                  <w:noWrap w:val="0"/>
                  <w:vAlign w:val="center"/>
                </w:tcPr>
                <w:p w14:paraId="6E889C41">
                  <w:pPr>
                    <w:pStyle w:val="65"/>
                    <w:keepNext w:val="0"/>
                    <w:keepLines w:val="0"/>
                    <w:pageBreakBefore w:val="0"/>
                    <w:kinsoku/>
                    <w:wordWrap/>
                    <w:overflowPunct/>
                    <w:topLinePunct w:val="0"/>
                    <w:autoSpaceDE/>
                    <w:autoSpaceDN/>
                    <w:bidi w:val="0"/>
                    <w:adjustRightInd/>
                    <w:snapToGrid/>
                    <w:spacing w:line="240" w:lineRule="auto"/>
                    <w:ind w:left="-72" w:leftChars="-30" w:right="-72" w:rightChars="-30"/>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排放标准来源</w:t>
                  </w:r>
                </w:p>
              </w:tc>
            </w:tr>
            <w:tr w14:paraId="5AC5F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03" w:type="pct"/>
                  <w:noWrap w:val="0"/>
                  <w:vAlign w:val="center"/>
                </w:tcPr>
                <w:p w14:paraId="1AD2ECA1">
                  <w:pPr>
                    <w:pStyle w:val="65"/>
                    <w:keepNext w:val="0"/>
                    <w:keepLines w:val="0"/>
                    <w:pageBreakBefore w:val="0"/>
                    <w:kinsoku/>
                    <w:wordWrap/>
                    <w:overflowPunct/>
                    <w:topLinePunct w:val="0"/>
                    <w:autoSpaceDE/>
                    <w:autoSpaceDN/>
                    <w:bidi w:val="0"/>
                    <w:adjustRightInd/>
                    <w:snapToGrid/>
                    <w:spacing w:line="240" w:lineRule="auto"/>
                    <w:ind w:left="-72" w:leftChars="-30" w:right="-72" w:rightChars="-30"/>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非甲烷总烃</w:t>
                  </w:r>
                </w:p>
              </w:tc>
              <w:tc>
                <w:tcPr>
                  <w:tcW w:w="843" w:type="pct"/>
                  <w:noWrap w:val="0"/>
                  <w:vAlign w:val="center"/>
                </w:tcPr>
                <w:p w14:paraId="74B96B6E">
                  <w:pPr>
                    <w:pStyle w:val="65"/>
                    <w:keepNext w:val="0"/>
                    <w:keepLines w:val="0"/>
                    <w:pageBreakBefore w:val="0"/>
                    <w:kinsoku/>
                    <w:wordWrap/>
                    <w:overflowPunct/>
                    <w:topLinePunct w:val="0"/>
                    <w:autoSpaceDE/>
                    <w:autoSpaceDN/>
                    <w:bidi w:val="0"/>
                    <w:adjustRightInd/>
                    <w:snapToGrid/>
                    <w:spacing w:line="240" w:lineRule="auto"/>
                    <w:ind w:left="-72" w:leftChars="-30" w:right="-72" w:rightChars="-30"/>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40</w:t>
                  </w:r>
                </w:p>
              </w:tc>
              <w:tc>
                <w:tcPr>
                  <w:tcW w:w="888" w:type="pct"/>
                  <w:noWrap w:val="0"/>
                  <w:vAlign w:val="center"/>
                </w:tcPr>
                <w:p w14:paraId="4C922F73">
                  <w:pPr>
                    <w:pStyle w:val="65"/>
                    <w:keepNext w:val="0"/>
                    <w:keepLines w:val="0"/>
                    <w:pageBreakBefore w:val="0"/>
                    <w:kinsoku/>
                    <w:wordWrap/>
                    <w:overflowPunct/>
                    <w:topLinePunct w:val="0"/>
                    <w:autoSpaceDE/>
                    <w:autoSpaceDN/>
                    <w:bidi w:val="0"/>
                    <w:adjustRightInd/>
                    <w:snapToGrid/>
                    <w:spacing w:line="240" w:lineRule="auto"/>
                    <w:ind w:left="-72" w:leftChars="-30" w:right="-72" w:rightChars="-30"/>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1.6</w:t>
                  </w:r>
                </w:p>
              </w:tc>
              <w:tc>
                <w:tcPr>
                  <w:tcW w:w="1055" w:type="pct"/>
                  <w:noWrap w:val="0"/>
                  <w:vAlign w:val="center"/>
                </w:tcPr>
                <w:p w14:paraId="11922C5D">
                  <w:pPr>
                    <w:pStyle w:val="65"/>
                    <w:keepNext w:val="0"/>
                    <w:keepLines w:val="0"/>
                    <w:pageBreakBefore w:val="0"/>
                    <w:kinsoku/>
                    <w:wordWrap/>
                    <w:overflowPunct/>
                    <w:topLinePunct w:val="0"/>
                    <w:autoSpaceDE/>
                    <w:autoSpaceDN/>
                    <w:bidi w:val="0"/>
                    <w:adjustRightInd/>
                    <w:snapToGrid/>
                    <w:spacing w:line="240" w:lineRule="auto"/>
                    <w:ind w:left="-72" w:leftChars="-30" w:right="-72" w:rightChars="-30"/>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w:t>
                  </w:r>
                </w:p>
              </w:tc>
              <w:tc>
                <w:tcPr>
                  <w:tcW w:w="1309" w:type="pct"/>
                  <w:noWrap w:val="0"/>
                  <w:vAlign w:val="center"/>
                </w:tcPr>
                <w:p w14:paraId="4B46AE7E">
                  <w:pPr>
                    <w:pStyle w:val="65"/>
                    <w:keepNext w:val="0"/>
                    <w:keepLines w:val="0"/>
                    <w:pageBreakBefore w:val="0"/>
                    <w:kinsoku/>
                    <w:wordWrap/>
                    <w:overflowPunct/>
                    <w:topLinePunct w:val="0"/>
                    <w:autoSpaceDE/>
                    <w:autoSpaceDN/>
                    <w:bidi w:val="0"/>
                    <w:adjustRightInd/>
                    <w:snapToGrid/>
                    <w:spacing w:line="240" w:lineRule="auto"/>
                    <w:ind w:left="-72" w:leftChars="-30" w:right="-72" w:rightChars="-30"/>
                    <w:rPr>
                      <w:rFonts w:hint="default" w:ascii="Times New Roman" w:hAnsi="Times New Roman" w:cs="Times New Roman"/>
                      <w:b w:val="0"/>
                      <w:bCs w:val="0"/>
                      <w:color w:val="auto"/>
                      <w:sz w:val="21"/>
                      <w:szCs w:val="21"/>
                    </w:rPr>
                  </w:pPr>
                  <w:r>
                    <w:rPr>
                      <w:rFonts w:hint="default" w:ascii="Times New Roman" w:hAnsi="Times New Roman" w:eastAsia="宋体" w:cs="Times New Roman"/>
                      <w:color w:val="auto"/>
                      <w:kern w:val="2"/>
                      <w:sz w:val="21"/>
                      <w:szCs w:val="21"/>
                      <w:lang w:val="en-US" w:eastAsia="zh-CN" w:bidi="ar"/>
                    </w:rPr>
                    <w:t>《固定源挥发性有机物综合排放标准第6部分：其他行业》（DB34/4812.6-2024）</w:t>
                  </w:r>
                </w:p>
              </w:tc>
            </w:tr>
            <w:tr w14:paraId="0F9ED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03" w:type="pct"/>
                  <w:noWrap w:val="0"/>
                  <w:vAlign w:val="center"/>
                </w:tcPr>
                <w:p w14:paraId="77CAD732">
                  <w:pPr>
                    <w:pStyle w:val="65"/>
                    <w:keepNext w:val="0"/>
                    <w:keepLines w:val="0"/>
                    <w:pageBreakBefore w:val="0"/>
                    <w:kinsoku/>
                    <w:wordWrap/>
                    <w:overflowPunct/>
                    <w:topLinePunct w:val="0"/>
                    <w:autoSpaceDE/>
                    <w:autoSpaceDN/>
                    <w:bidi w:val="0"/>
                    <w:adjustRightInd/>
                    <w:snapToGrid/>
                    <w:spacing w:line="240" w:lineRule="auto"/>
                    <w:ind w:left="-72" w:leftChars="-30" w:right="-72" w:rightChars="-30"/>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非甲烷总烃</w:t>
                  </w:r>
                </w:p>
              </w:tc>
              <w:tc>
                <w:tcPr>
                  <w:tcW w:w="843" w:type="pct"/>
                  <w:shd w:val="clear" w:color="auto" w:fill="auto"/>
                  <w:noWrap w:val="0"/>
                  <w:vAlign w:val="center"/>
                </w:tcPr>
                <w:p w14:paraId="63167966">
                  <w:pPr>
                    <w:pStyle w:val="39"/>
                    <w:keepNext w:val="0"/>
                    <w:keepLines w:val="0"/>
                    <w:pageBreakBefore w:val="0"/>
                    <w:kinsoku/>
                    <w:wordWrap/>
                    <w:overflowPunct/>
                    <w:topLinePunct w:val="0"/>
                    <w:autoSpaceDE/>
                    <w:autoSpaceDN/>
                    <w:bidi w:val="0"/>
                    <w:adjustRightInd/>
                    <w:snapToGrid/>
                    <w:spacing w:before="24" w:after="24" w:line="240" w:lineRule="auto"/>
                    <w:ind w:left="420" w:leftChars="0" w:hanging="420" w:firstLineChars="0"/>
                    <w:rPr>
                      <w:rFonts w:hint="eastAsia" w:ascii="Times New Roman" w:hAnsi="Times New Roman" w:eastAsia="宋体" w:cs="Times New Roman"/>
                      <w:b w:val="0"/>
                      <w:bCs w:val="0"/>
                      <w:color w:val="auto"/>
                      <w:sz w:val="21"/>
                      <w:szCs w:val="21"/>
                      <w:lang w:val="en-US" w:eastAsia="zh-CN" w:bidi="ar-SA"/>
                    </w:rPr>
                  </w:pPr>
                  <w:r>
                    <w:rPr>
                      <w:rFonts w:hint="default" w:ascii="Times New Roman" w:hAnsi="Times New Roman" w:cs="Times New Roman"/>
                      <w:b w:val="0"/>
                      <w:bCs w:val="0"/>
                      <w:color w:val="auto"/>
                      <w:sz w:val="21"/>
                      <w:szCs w:val="21"/>
                      <w:lang w:val="en-US" w:eastAsia="zh-CN"/>
                    </w:rPr>
                    <w:t>60</w:t>
                  </w:r>
                </w:p>
              </w:tc>
              <w:tc>
                <w:tcPr>
                  <w:tcW w:w="888" w:type="pct"/>
                  <w:shd w:val="clear" w:color="auto" w:fill="auto"/>
                  <w:noWrap w:val="0"/>
                  <w:vAlign w:val="center"/>
                </w:tcPr>
                <w:p w14:paraId="49F7BC21">
                  <w:pPr>
                    <w:pStyle w:val="39"/>
                    <w:keepNext w:val="0"/>
                    <w:keepLines w:val="0"/>
                    <w:pageBreakBefore w:val="0"/>
                    <w:kinsoku/>
                    <w:wordWrap/>
                    <w:overflowPunct/>
                    <w:topLinePunct w:val="0"/>
                    <w:autoSpaceDE/>
                    <w:autoSpaceDN/>
                    <w:bidi w:val="0"/>
                    <w:adjustRightInd/>
                    <w:snapToGrid/>
                    <w:spacing w:before="24" w:after="24" w:line="240" w:lineRule="auto"/>
                    <w:ind w:left="420" w:leftChars="0" w:hanging="420" w:firstLineChars="0"/>
                    <w:rPr>
                      <w:rFonts w:hint="eastAsia" w:ascii="Times New Roman" w:hAnsi="Times New Roman" w:eastAsia="宋体" w:cs="Times New Roman"/>
                      <w:b w:val="0"/>
                      <w:bCs w:val="0"/>
                      <w:color w:val="auto"/>
                      <w:sz w:val="21"/>
                      <w:szCs w:val="21"/>
                      <w:lang w:val="en-US" w:eastAsia="zh-CN" w:bidi="ar-SA"/>
                    </w:rPr>
                  </w:pPr>
                  <w:r>
                    <w:rPr>
                      <w:rFonts w:hint="default" w:ascii="Times New Roman" w:hAnsi="Times New Roman" w:cs="Times New Roman"/>
                      <w:b w:val="0"/>
                      <w:bCs w:val="0"/>
                      <w:color w:val="auto"/>
                      <w:sz w:val="21"/>
                      <w:szCs w:val="21"/>
                      <w:lang w:val="en-US" w:eastAsia="zh-CN"/>
                    </w:rPr>
                    <w:t>/</w:t>
                  </w:r>
                </w:p>
              </w:tc>
              <w:tc>
                <w:tcPr>
                  <w:tcW w:w="1055" w:type="pct"/>
                  <w:shd w:val="clear" w:color="auto" w:fill="auto"/>
                  <w:noWrap w:val="0"/>
                  <w:vAlign w:val="center"/>
                </w:tcPr>
                <w:p w14:paraId="0EA30A72">
                  <w:pPr>
                    <w:pStyle w:val="39"/>
                    <w:keepNext w:val="0"/>
                    <w:keepLines w:val="0"/>
                    <w:pageBreakBefore w:val="0"/>
                    <w:kinsoku/>
                    <w:wordWrap/>
                    <w:overflowPunct/>
                    <w:topLinePunct w:val="0"/>
                    <w:autoSpaceDE/>
                    <w:autoSpaceDN/>
                    <w:bidi w:val="0"/>
                    <w:adjustRightInd/>
                    <w:snapToGrid/>
                    <w:spacing w:before="24" w:after="24" w:line="240" w:lineRule="auto"/>
                    <w:ind w:left="420" w:leftChars="0" w:hanging="420" w:firstLineChars="0"/>
                    <w:rPr>
                      <w:rFonts w:hint="eastAsia" w:ascii="Times New Roman" w:hAnsi="Times New Roman" w:eastAsia="宋体" w:cs="Times New Roman"/>
                      <w:b w:val="0"/>
                      <w:bCs w:val="0"/>
                      <w:color w:val="auto"/>
                      <w:sz w:val="21"/>
                      <w:szCs w:val="21"/>
                      <w:lang w:val="en-US" w:eastAsia="zh-CN" w:bidi="ar-SA"/>
                    </w:rPr>
                  </w:pPr>
                  <w:r>
                    <w:rPr>
                      <w:rFonts w:hint="default" w:ascii="Times New Roman" w:hAnsi="Times New Roman" w:cs="Times New Roman"/>
                      <w:b w:val="0"/>
                      <w:bCs w:val="0"/>
                      <w:color w:val="auto"/>
                      <w:sz w:val="21"/>
                      <w:szCs w:val="21"/>
                    </w:rPr>
                    <w:t>4.0</w:t>
                  </w:r>
                </w:p>
              </w:tc>
              <w:tc>
                <w:tcPr>
                  <w:tcW w:w="1309" w:type="pct"/>
                  <w:shd w:val="clear" w:color="auto" w:fill="auto"/>
                  <w:noWrap w:val="0"/>
                  <w:vAlign w:val="center"/>
                </w:tcPr>
                <w:p w14:paraId="438F2612">
                  <w:pPr>
                    <w:pStyle w:val="65"/>
                    <w:keepNext w:val="0"/>
                    <w:keepLines w:val="0"/>
                    <w:pageBreakBefore w:val="0"/>
                    <w:kinsoku/>
                    <w:wordWrap/>
                    <w:overflowPunct/>
                    <w:topLinePunct w:val="0"/>
                    <w:autoSpaceDE/>
                    <w:autoSpaceDN/>
                    <w:bidi w:val="0"/>
                    <w:adjustRightInd/>
                    <w:snapToGrid/>
                    <w:spacing w:line="240" w:lineRule="auto"/>
                    <w:ind w:left="-72" w:leftChars="-30" w:right="-72" w:rightChars="-30"/>
                    <w:rPr>
                      <w:rFonts w:hint="default" w:ascii="Times New Roman" w:hAnsi="Times New Roman" w:eastAsia="宋体" w:cs="Times New Roman"/>
                      <w:color w:val="auto"/>
                      <w:kern w:val="2"/>
                      <w:sz w:val="21"/>
                      <w:szCs w:val="21"/>
                      <w:lang w:val="en-US" w:eastAsia="zh-CN" w:bidi="ar"/>
                    </w:rPr>
                  </w:pPr>
                  <w:r>
                    <w:rPr>
                      <w:rFonts w:hint="default" w:ascii="Times New Roman" w:hAnsi="Times New Roman" w:cs="Times New Roman"/>
                      <w:b w:val="0"/>
                      <w:bCs w:val="0"/>
                      <w:color w:val="auto"/>
                      <w:sz w:val="21"/>
                      <w:szCs w:val="21"/>
                    </w:rPr>
                    <w:t>《合成树脂工业污染物排放标准》</w:t>
                  </w:r>
                  <w:r>
                    <w:rPr>
                      <w:rFonts w:hint="eastAsia" w:cs="Times New Roman"/>
                      <w:b w:val="0"/>
                      <w:bCs w:val="0"/>
                      <w:color w:val="auto"/>
                      <w:sz w:val="21"/>
                      <w:szCs w:val="21"/>
                      <w:lang w:eastAsia="zh-CN"/>
                    </w:rPr>
                    <w:t>（</w:t>
                  </w:r>
                  <w:r>
                    <w:rPr>
                      <w:rFonts w:hint="default" w:ascii="Times New Roman" w:hAnsi="Times New Roman" w:cs="Times New Roman"/>
                      <w:b w:val="0"/>
                      <w:bCs w:val="0"/>
                      <w:color w:val="auto"/>
                      <w:sz w:val="21"/>
                      <w:szCs w:val="21"/>
                    </w:rPr>
                    <w:t>GB 31572-2015</w:t>
                  </w:r>
                  <w:r>
                    <w:rPr>
                      <w:rFonts w:hint="eastAsia" w:cs="Times New Roman"/>
                      <w:b w:val="0"/>
                      <w:bCs w:val="0"/>
                      <w:color w:val="auto"/>
                      <w:sz w:val="21"/>
                      <w:szCs w:val="21"/>
                      <w:lang w:eastAsia="zh-CN"/>
                    </w:rPr>
                    <w:t>）</w:t>
                  </w:r>
                  <w:r>
                    <w:rPr>
                      <w:rFonts w:hint="eastAsia" w:cs="Times New Roman"/>
                      <w:b w:val="0"/>
                      <w:bCs w:val="0"/>
                      <w:color w:val="auto"/>
                      <w:sz w:val="21"/>
                      <w:szCs w:val="21"/>
                      <w:lang w:val="en-US" w:eastAsia="zh-CN"/>
                    </w:rPr>
                    <w:t>修改单</w:t>
                  </w:r>
                </w:p>
              </w:tc>
            </w:tr>
            <w:tr w14:paraId="18516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903" w:type="pct"/>
                  <w:noWrap w:val="0"/>
                  <w:vAlign w:val="center"/>
                </w:tcPr>
                <w:p w14:paraId="6DBCCC63">
                  <w:pPr>
                    <w:pStyle w:val="66"/>
                    <w:keepNext w:val="0"/>
                    <w:keepLines w:val="0"/>
                    <w:pageBreakBefore w:val="0"/>
                    <w:kinsoku/>
                    <w:wordWrap/>
                    <w:overflowPunct/>
                    <w:topLinePunct w:val="0"/>
                    <w:autoSpaceDE/>
                    <w:autoSpaceDN/>
                    <w:bidi w:val="0"/>
                    <w:adjustRightInd/>
                    <w:snapToGrid/>
                    <w:spacing w:line="240" w:lineRule="auto"/>
                    <w:rPr>
                      <w:rFonts w:hint="eastAsia" w:ascii="Times New Roman" w:hAnsi="Times New Roman" w:eastAsia="宋体" w:cs="Times New Roman"/>
                      <w:b w:val="0"/>
                      <w:bCs w:val="0"/>
                      <w:iCs/>
                      <w:color w:val="auto"/>
                      <w:sz w:val="21"/>
                      <w:szCs w:val="21"/>
                      <w:lang w:val="en-US" w:eastAsia="zh-CN" w:bidi="ar-SA"/>
                    </w:rPr>
                  </w:pPr>
                  <w:r>
                    <w:rPr>
                      <w:rFonts w:hint="eastAsia" w:cs="Times New Roman"/>
                      <w:b w:val="0"/>
                      <w:bCs w:val="0"/>
                      <w:color w:val="auto"/>
                      <w:sz w:val="21"/>
                      <w:szCs w:val="21"/>
                      <w:lang w:val="en-US" w:eastAsia="zh-CN"/>
                    </w:rPr>
                    <w:t>颗粒物</w:t>
                  </w:r>
                </w:p>
              </w:tc>
              <w:tc>
                <w:tcPr>
                  <w:tcW w:w="843" w:type="pct"/>
                  <w:noWrap w:val="0"/>
                  <w:vAlign w:val="center"/>
                </w:tcPr>
                <w:p w14:paraId="57089E99">
                  <w:pPr>
                    <w:pStyle w:val="39"/>
                    <w:keepNext w:val="0"/>
                    <w:keepLines w:val="0"/>
                    <w:pageBreakBefore w:val="0"/>
                    <w:kinsoku/>
                    <w:wordWrap/>
                    <w:overflowPunct/>
                    <w:topLinePunct w:val="0"/>
                    <w:autoSpaceDE/>
                    <w:autoSpaceDN/>
                    <w:bidi w:val="0"/>
                    <w:adjustRightInd/>
                    <w:snapToGrid/>
                    <w:spacing w:before="24" w:after="24" w:line="240" w:lineRule="auto"/>
                    <w:ind w:left="420" w:leftChars="0" w:hanging="420" w:firstLineChars="0"/>
                    <w:jc w:val="center"/>
                    <w:rPr>
                      <w:rFonts w:hint="default" w:ascii="Times New Roman" w:hAnsi="Times New Roman" w:eastAsia="宋体" w:cs="Times New Roman"/>
                      <w:b w:val="0"/>
                      <w:bCs w:val="0"/>
                      <w:color w:val="auto"/>
                      <w:sz w:val="21"/>
                      <w:szCs w:val="21"/>
                      <w:lang w:val="en-US" w:eastAsia="zh-CN" w:bidi="ar-SA"/>
                    </w:rPr>
                  </w:pPr>
                  <w:r>
                    <w:rPr>
                      <w:rFonts w:hint="eastAsia" w:cs="Times New Roman"/>
                      <w:b w:val="0"/>
                      <w:bCs w:val="0"/>
                      <w:color w:val="auto"/>
                      <w:sz w:val="21"/>
                      <w:szCs w:val="21"/>
                      <w:lang w:val="en-US" w:eastAsia="zh-CN"/>
                    </w:rPr>
                    <w:t>30</w:t>
                  </w:r>
                </w:p>
              </w:tc>
              <w:tc>
                <w:tcPr>
                  <w:tcW w:w="888" w:type="pct"/>
                  <w:noWrap w:val="0"/>
                  <w:vAlign w:val="center"/>
                </w:tcPr>
                <w:p w14:paraId="050437B6">
                  <w:pPr>
                    <w:pStyle w:val="39"/>
                    <w:keepNext w:val="0"/>
                    <w:keepLines w:val="0"/>
                    <w:pageBreakBefore w:val="0"/>
                    <w:kinsoku/>
                    <w:wordWrap/>
                    <w:overflowPunct/>
                    <w:topLinePunct w:val="0"/>
                    <w:autoSpaceDE/>
                    <w:autoSpaceDN/>
                    <w:bidi w:val="0"/>
                    <w:adjustRightInd/>
                    <w:snapToGrid/>
                    <w:spacing w:before="24" w:after="24" w:line="240" w:lineRule="auto"/>
                    <w:ind w:left="420" w:leftChars="0" w:hanging="420" w:firstLineChars="0"/>
                    <w:jc w:val="center"/>
                    <w:rPr>
                      <w:rFonts w:hint="eastAsia" w:ascii="Times New Roman" w:hAnsi="Times New Roman" w:eastAsia="宋体" w:cs="Times New Roman"/>
                      <w:b w:val="0"/>
                      <w:bCs w:val="0"/>
                      <w:color w:val="auto"/>
                      <w:sz w:val="21"/>
                      <w:szCs w:val="21"/>
                      <w:lang w:val="en-US" w:eastAsia="zh-CN" w:bidi="ar-SA"/>
                    </w:rPr>
                  </w:pPr>
                  <w:r>
                    <w:rPr>
                      <w:rFonts w:hint="default" w:ascii="Times New Roman" w:hAnsi="Times New Roman" w:cs="Times New Roman"/>
                      <w:b w:val="0"/>
                      <w:bCs w:val="0"/>
                      <w:color w:val="auto"/>
                      <w:sz w:val="21"/>
                      <w:szCs w:val="21"/>
                      <w:lang w:val="en-US" w:eastAsia="zh-CN"/>
                    </w:rPr>
                    <w:t>/</w:t>
                  </w:r>
                </w:p>
              </w:tc>
              <w:tc>
                <w:tcPr>
                  <w:tcW w:w="1055" w:type="pct"/>
                  <w:noWrap w:val="0"/>
                  <w:vAlign w:val="center"/>
                </w:tcPr>
                <w:p w14:paraId="73071F66">
                  <w:pPr>
                    <w:pStyle w:val="39"/>
                    <w:keepNext w:val="0"/>
                    <w:keepLines w:val="0"/>
                    <w:pageBreakBefore w:val="0"/>
                    <w:kinsoku/>
                    <w:wordWrap/>
                    <w:overflowPunct/>
                    <w:topLinePunct w:val="0"/>
                    <w:autoSpaceDE/>
                    <w:autoSpaceDN/>
                    <w:bidi w:val="0"/>
                    <w:adjustRightInd/>
                    <w:snapToGrid/>
                    <w:spacing w:before="24" w:after="24" w:line="240" w:lineRule="auto"/>
                    <w:ind w:left="420" w:leftChars="0" w:hanging="420" w:firstLineChars="0"/>
                    <w:jc w:val="center"/>
                    <w:rPr>
                      <w:rFonts w:hint="default" w:ascii="Times New Roman" w:hAnsi="Times New Roman" w:eastAsia="宋体" w:cs="Times New Roman"/>
                      <w:b w:val="0"/>
                      <w:bCs w:val="0"/>
                      <w:color w:val="auto"/>
                      <w:sz w:val="21"/>
                      <w:szCs w:val="21"/>
                      <w:lang w:val="en-US" w:eastAsia="zh-CN" w:bidi="ar-SA"/>
                    </w:rPr>
                  </w:pPr>
                  <w:r>
                    <w:rPr>
                      <w:rFonts w:hint="eastAsia" w:cs="Times New Roman"/>
                      <w:b w:val="0"/>
                      <w:bCs w:val="0"/>
                      <w:color w:val="auto"/>
                      <w:sz w:val="21"/>
                      <w:szCs w:val="21"/>
                      <w:lang w:val="en-US" w:eastAsia="zh-CN"/>
                    </w:rPr>
                    <w:t>1.0</w:t>
                  </w:r>
                </w:p>
              </w:tc>
              <w:tc>
                <w:tcPr>
                  <w:tcW w:w="1309" w:type="pct"/>
                  <w:noWrap w:val="0"/>
                  <w:vAlign w:val="center"/>
                </w:tcPr>
                <w:p w14:paraId="3DDBEC3D">
                  <w:pPr>
                    <w:pStyle w:val="65"/>
                    <w:keepNext w:val="0"/>
                    <w:keepLines w:val="0"/>
                    <w:pageBreakBefore w:val="0"/>
                    <w:kinsoku/>
                    <w:wordWrap/>
                    <w:overflowPunct/>
                    <w:topLinePunct w:val="0"/>
                    <w:autoSpaceDE/>
                    <w:autoSpaceDN/>
                    <w:bidi w:val="0"/>
                    <w:adjustRightInd/>
                    <w:snapToGrid/>
                    <w:spacing w:line="240" w:lineRule="auto"/>
                    <w:ind w:left="-72" w:leftChars="-30" w:right="-72" w:rightChars="-30"/>
                    <w:rPr>
                      <w:rFonts w:hint="default" w:ascii="Times New Roman" w:hAnsi="Times New Roman" w:eastAsia="宋体" w:cs="Times New Roman"/>
                      <w:color w:val="auto"/>
                      <w:kern w:val="2"/>
                      <w:sz w:val="21"/>
                      <w:szCs w:val="21"/>
                      <w:lang w:val="en-US" w:eastAsia="zh-CN" w:bidi="ar"/>
                    </w:rPr>
                  </w:pPr>
                  <w:bookmarkStart w:id="13" w:name="OLE_LINK8"/>
                  <w:r>
                    <w:rPr>
                      <w:rFonts w:hint="default" w:ascii="Times New Roman" w:hAnsi="Times New Roman" w:cs="Times New Roman"/>
                      <w:b w:val="0"/>
                      <w:bCs w:val="0"/>
                      <w:color w:val="auto"/>
                      <w:sz w:val="21"/>
                      <w:szCs w:val="21"/>
                    </w:rPr>
                    <w:t>《合成树脂工业污染物排放标准》</w:t>
                  </w:r>
                  <w:r>
                    <w:rPr>
                      <w:rFonts w:hint="eastAsia" w:cs="Times New Roman"/>
                      <w:b w:val="0"/>
                      <w:bCs w:val="0"/>
                      <w:color w:val="auto"/>
                      <w:sz w:val="21"/>
                      <w:szCs w:val="21"/>
                      <w:lang w:eastAsia="zh-CN"/>
                    </w:rPr>
                    <w:t>（</w:t>
                  </w:r>
                  <w:r>
                    <w:rPr>
                      <w:rFonts w:hint="default" w:ascii="Times New Roman" w:hAnsi="Times New Roman" w:cs="Times New Roman"/>
                      <w:b w:val="0"/>
                      <w:bCs w:val="0"/>
                      <w:color w:val="auto"/>
                      <w:sz w:val="21"/>
                      <w:szCs w:val="21"/>
                    </w:rPr>
                    <w:t>GB 31572-2015</w:t>
                  </w:r>
                  <w:r>
                    <w:rPr>
                      <w:rFonts w:hint="eastAsia" w:cs="Times New Roman"/>
                      <w:b w:val="0"/>
                      <w:bCs w:val="0"/>
                      <w:color w:val="auto"/>
                      <w:sz w:val="21"/>
                      <w:szCs w:val="21"/>
                      <w:lang w:eastAsia="zh-CN"/>
                    </w:rPr>
                    <w:t>）</w:t>
                  </w:r>
                  <w:bookmarkEnd w:id="13"/>
                  <w:r>
                    <w:rPr>
                      <w:rFonts w:hint="eastAsia" w:cs="Times New Roman"/>
                      <w:b w:val="0"/>
                      <w:bCs w:val="0"/>
                      <w:color w:val="auto"/>
                      <w:sz w:val="21"/>
                      <w:szCs w:val="21"/>
                      <w:lang w:val="en-US" w:eastAsia="zh-CN"/>
                    </w:rPr>
                    <w:t>修改单</w:t>
                  </w:r>
                </w:p>
              </w:tc>
            </w:tr>
          </w:tbl>
          <w:p w14:paraId="66F61B46">
            <w:pPr>
              <w:autoSpaceDE w:val="0"/>
              <w:autoSpaceDN w:val="0"/>
              <w:adjustRightInd w:val="0"/>
              <w:spacing w:line="360" w:lineRule="auto"/>
              <w:ind w:firstLine="480" w:firstLineChars="200"/>
              <w:jc w:val="both"/>
              <w:rPr>
                <w:rFonts w:hint="eastAsia" w:cs="Times New Roman"/>
                <w:b w:val="0"/>
                <w:bCs w:val="0"/>
                <w:color w:val="auto"/>
                <w:sz w:val="24"/>
                <w:szCs w:val="24"/>
                <w:vertAlign w:val="baseline"/>
                <w:lang w:val="en-US" w:eastAsia="zh-CN"/>
              </w:rPr>
            </w:pPr>
            <w:r>
              <w:rPr>
                <w:rFonts w:hint="default" w:ascii="Times New Roman" w:hAnsi="Times New Roman" w:cs="Times New Roman"/>
                <w:color w:val="auto"/>
                <w:spacing w:val="0"/>
                <w:kern w:val="0"/>
                <w:position w:val="0"/>
                <w:sz w:val="24"/>
                <w:szCs w:val="24"/>
              </w:rPr>
              <w:t>厂区内</w:t>
            </w:r>
            <w:r>
              <w:rPr>
                <w:rFonts w:hint="eastAsia" w:cs="Times New Roman"/>
                <w:color w:val="auto"/>
                <w:spacing w:val="0"/>
                <w:kern w:val="0"/>
                <w:position w:val="0"/>
                <w:sz w:val="24"/>
                <w:szCs w:val="24"/>
                <w:lang w:val="en-US" w:eastAsia="zh-CN"/>
              </w:rPr>
              <w:t>VOCs</w:t>
            </w:r>
            <w:r>
              <w:rPr>
                <w:rFonts w:hint="default" w:ascii="Times New Roman" w:hAnsi="Times New Roman" w:cs="Times New Roman"/>
                <w:color w:val="auto"/>
                <w:spacing w:val="0"/>
                <w:kern w:val="0"/>
                <w:position w:val="0"/>
                <w:sz w:val="24"/>
                <w:szCs w:val="24"/>
              </w:rPr>
              <w:t>无组织排放</w:t>
            </w:r>
            <w:r>
              <w:rPr>
                <w:rFonts w:hint="eastAsia" w:cs="Times New Roman"/>
                <w:color w:val="auto"/>
                <w:spacing w:val="0"/>
                <w:kern w:val="0"/>
                <w:position w:val="0"/>
                <w:sz w:val="24"/>
                <w:szCs w:val="24"/>
                <w:lang w:val="en-US" w:eastAsia="zh-CN"/>
              </w:rPr>
              <w:t>限值</w:t>
            </w:r>
            <w:r>
              <w:rPr>
                <w:rFonts w:hint="default" w:ascii="Times New Roman" w:hAnsi="Times New Roman" w:cs="Times New Roman"/>
                <w:color w:val="auto"/>
                <w:spacing w:val="0"/>
                <w:kern w:val="0"/>
                <w:position w:val="0"/>
                <w:sz w:val="24"/>
                <w:szCs w:val="24"/>
              </w:rPr>
              <w:t>执行</w:t>
            </w:r>
            <w:r>
              <w:rPr>
                <w:rFonts w:hint="default" w:ascii="Times New Roman" w:hAnsi="Times New Roman" w:eastAsia="宋体" w:cs="Times New Roman"/>
                <w:color w:val="auto"/>
                <w:kern w:val="2"/>
                <w:sz w:val="24"/>
                <w:szCs w:val="24"/>
                <w:lang w:val="en-US" w:eastAsia="zh-CN" w:bidi="ar"/>
              </w:rPr>
              <w:t>《固定源挥发性有机物综合排放标准第6部分：其他行业》（DB34/4812.6-2024）</w:t>
            </w:r>
            <w:r>
              <w:rPr>
                <w:rFonts w:hint="eastAsia" w:cs="Times New Roman"/>
                <w:color w:val="auto"/>
                <w:spacing w:val="0"/>
                <w:kern w:val="0"/>
                <w:position w:val="0"/>
                <w:sz w:val="24"/>
                <w:szCs w:val="24"/>
                <w:lang w:val="en-US" w:eastAsia="zh-CN"/>
              </w:rPr>
              <w:t>表4规定，</w:t>
            </w:r>
            <w:r>
              <w:rPr>
                <w:rFonts w:ascii="Times New Roman" w:hAnsi="Times New Roman"/>
                <w:color w:val="auto"/>
                <w:spacing w:val="0"/>
                <w:sz w:val="24"/>
                <w:szCs w:val="24"/>
              </w:rPr>
              <w:t>其相应标准</w:t>
            </w:r>
            <w:r>
              <w:rPr>
                <w:rFonts w:ascii="Times New Roman" w:hAnsi="Times New Roman"/>
                <w:color w:val="000000"/>
                <w:spacing w:val="0"/>
                <w:sz w:val="24"/>
                <w:szCs w:val="24"/>
              </w:rPr>
              <w:t>限值见下表</w:t>
            </w:r>
            <w:r>
              <w:rPr>
                <w:rFonts w:hint="eastAsia" w:ascii="Times New Roman" w:hAnsi="Times New Roman"/>
                <w:color w:val="000000"/>
                <w:spacing w:val="0"/>
                <w:sz w:val="24"/>
                <w:szCs w:val="24"/>
                <w:lang w:eastAsia="zh-CN"/>
              </w:rPr>
              <w:t>。</w:t>
            </w:r>
          </w:p>
          <w:p w14:paraId="3EBC18E5">
            <w:pPr>
              <w:keepNext w:val="0"/>
              <w:keepLines w:val="0"/>
              <w:pageBreakBefore w:val="0"/>
              <w:widowControl w:val="0"/>
              <w:kinsoku/>
              <w:wordWrap/>
              <w:overflowPunct/>
              <w:topLinePunct w:val="0"/>
              <w:autoSpaceDE w:val="0"/>
              <w:autoSpaceDN w:val="0"/>
              <w:bidi w:val="0"/>
              <w:adjustRightInd w:val="0"/>
              <w:snapToGrid/>
              <w:spacing w:line="360" w:lineRule="auto"/>
              <w:ind w:firstLine="0" w:firstLineChars="0"/>
              <w:jc w:val="center"/>
              <w:textAlignment w:val="auto"/>
              <w:rPr>
                <w:rFonts w:hint="default" w:ascii="Times New Roman" w:hAnsi="Times New Roman" w:cs="Times New Roman"/>
                <w:b/>
                <w:color w:val="auto"/>
                <w:kern w:val="0"/>
                <w:sz w:val="24"/>
                <w:szCs w:val="24"/>
                <w:vertAlign w:val="superscript"/>
              </w:rPr>
            </w:pPr>
            <w:r>
              <w:rPr>
                <w:rFonts w:hint="default" w:ascii="Times New Roman" w:hAnsi="Times New Roman" w:cs="Times New Roman"/>
                <w:b/>
                <w:color w:val="auto"/>
                <w:kern w:val="0"/>
                <w:sz w:val="24"/>
                <w:szCs w:val="24"/>
              </w:rPr>
              <w:t>表</w:t>
            </w:r>
            <w:r>
              <w:rPr>
                <w:rFonts w:hint="default" w:ascii="Times New Roman" w:hAnsi="Times New Roman" w:cs="Times New Roman"/>
                <w:b/>
                <w:color w:val="auto"/>
                <w:kern w:val="0"/>
                <w:sz w:val="24"/>
                <w:szCs w:val="24"/>
                <w:lang w:val="en-US" w:eastAsia="zh-CN"/>
              </w:rPr>
              <w:t>3-</w:t>
            </w:r>
            <w:r>
              <w:rPr>
                <w:rFonts w:hint="eastAsia" w:cs="Times New Roman"/>
                <w:b/>
                <w:color w:val="auto"/>
                <w:kern w:val="0"/>
                <w:sz w:val="24"/>
                <w:szCs w:val="24"/>
                <w:lang w:val="en-US" w:eastAsia="zh-CN"/>
              </w:rPr>
              <w:t>6</w:t>
            </w:r>
            <w:r>
              <w:rPr>
                <w:rFonts w:hint="default" w:ascii="Times New Roman" w:hAnsi="Times New Roman" w:cs="Times New Roman"/>
                <w:b/>
                <w:color w:val="auto"/>
                <w:kern w:val="0"/>
                <w:sz w:val="24"/>
                <w:szCs w:val="24"/>
                <w:lang w:val="en-US" w:eastAsia="zh-CN"/>
              </w:rPr>
              <w:t xml:space="preserve">  </w:t>
            </w:r>
            <w:r>
              <w:rPr>
                <w:rFonts w:hint="default" w:ascii="Times New Roman" w:hAnsi="Times New Roman" w:cs="Times New Roman"/>
                <w:b/>
                <w:color w:val="auto"/>
                <w:kern w:val="0"/>
                <w:sz w:val="24"/>
                <w:szCs w:val="24"/>
              </w:rPr>
              <w:t>厂区内</w:t>
            </w:r>
            <w:r>
              <w:rPr>
                <w:rFonts w:hint="eastAsia" w:cs="Times New Roman"/>
                <w:b/>
                <w:color w:val="auto"/>
                <w:kern w:val="0"/>
                <w:sz w:val="24"/>
                <w:szCs w:val="24"/>
                <w:lang w:val="en-US" w:eastAsia="zh-CN"/>
              </w:rPr>
              <w:t>VOCs</w:t>
            </w:r>
            <w:r>
              <w:rPr>
                <w:rFonts w:hint="default" w:ascii="Times New Roman" w:hAnsi="Times New Roman" w:cs="Times New Roman"/>
                <w:b/>
                <w:color w:val="auto"/>
                <w:kern w:val="0"/>
                <w:sz w:val="24"/>
                <w:szCs w:val="24"/>
              </w:rPr>
              <w:t>无组织排放限值</w:t>
            </w:r>
          </w:p>
          <w:tbl>
            <w:tblPr>
              <w:tblStyle w:val="26"/>
              <w:tblW w:w="4995"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88"/>
              <w:gridCol w:w="2718"/>
              <w:gridCol w:w="2598"/>
              <w:gridCol w:w="2113"/>
            </w:tblGrid>
            <w:tr w14:paraId="0C7D958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72" w:hRule="atLeast"/>
                <w:jc w:val="center"/>
              </w:trPr>
              <w:tc>
                <w:tcPr>
                  <w:tcW w:w="533" w:type="pct"/>
                  <w:noWrap w:val="0"/>
                  <w:vAlign w:val="center"/>
                </w:tcPr>
                <w:p w14:paraId="3EBFEDF1">
                  <w:pPr>
                    <w:autoSpaceDE w:val="0"/>
                    <w:autoSpaceDN w:val="0"/>
                    <w:adjustRightInd w:val="0"/>
                    <w:spacing w:line="240" w:lineRule="exact"/>
                    <w:jc w:val="center"/>
                    <w:rPr>
                      <w:rFonts w:hint="default" w:ascii="Times New Roman" w:hAnsi="Times New Roman" w:eastAsia="宋体" w:cs="Times New Roman"/>
                      <w:b w:val="0"/>
                      <w:bCs w:val="0"/>
                      <w:color w:val="000000"/>
                      <w:spacing w:val="0"/>
                      <w:sz w:val="21"/>
                      <w:szCs w:val="21"/>
                    </w:rPr>
                  </w:pPr>
                  <w:r>
                    <w:rPr>
                      <w:rFonts w:hint="default" w:ascii="Times New Roman" w:hAnsi="Times New Roman" w:eastAsia="宋体" w:cs="Times New Roman"/>
                      <w:b w:val="0"/>
                      <w:bCs w:val="0"/>
                      <w:color w:val="000000"/>
                      <w:spacing w:val="0"/>
                      <w:sz w:val="21"/>
                      <w:szCs w:val="21"/>
                    </w:rPr>
                    <w:t>污染物</w:t>
                  </w:r>
                </w:p>
              </w:tc>
              <w:tc>
                <w:tcPr>
                  <w:tcW w:w="1634" w:type="pct"/>
                  <w:noWrap w:val="0"/>
                  <w:vAlign w:val="center"/>
                </w:tcPr>
                <w:p w14:paraId="5D35EC4B">
                  <w:pPr>
                    <w:autoSpaceDE w:val="0"/>
                    <w:autoSpaceDN w:val="0"/>
                    <w:adjustRightInd w:val="0"/>
                    <w:spacing w:line="240" w:lineRule="exact"/>
                    <w:jc w:val="center"/>
                    <w:rPr>
                      <w:rFonts w:hint="default" w:ascii="Times New Roman" w:hAnsi="Times New Roman" w:eastAsia="宋体" w:cs="Times New Roman"/>
                      <w:b w:val="0"/>
                      <w:bCs w:val="0"/>
                      <w:color w:val="000000"/>
                      <w:spacing w:val="0"/>
                      <w:sz w:val="21"/>
                      <w:szCs w:val="21"/>
                    </w:rPr>
                  </w:pPr>
                  <w:r>
                    <w:rPr>
                      <w:rFonts w:hint="eastAsia" w:cs="Times New Roman"/>
                      <w:b w:val="0"/>
                      <w:bCs w:val="0"/>
                      <w:color w:val="000000"/>
                      <w:spacing w:val="0"/>
                      <w:sz w:val="21"/>
                      <w:szCs w:val="21"/>
                      <w:lang w:val="en-US" w:eastAsia="zh-CN"/>
                    </w:rPr>
                    <w:t>最高允许排放浓度</w:t>
                  </w:r>
                  <w:r>
                    <w:rPr>
                      <w:rFonts w:hint="default" w:ascii="Times New Roman" w:hAnsi="Times New Roman" w:cs="Times New Roman"/>
                      <w:b w:val="0"/>
                      <w:bCs w:val="0"/>
                      <w:color w:val="auto"/>
                      <w:sz w:val="21"/>
                      <w:szCs w:val="21"/>
                    </w:rPr>
                    <w:t>（mg/m</w:t>
                  </w:r>
                  <w:r>
                    <w:rPr>
                      <w:rFonts w:hint="default" w:ascii="Times New Roman" w:hAnsi="Times New Roman" w:cs="Times New Roman"/>
                      <w:b w:val="0"/>
                      <w:bCs w:val="0"/>
                      <w:color w:val="auto"/>
                      <w:sz w:val="21"/>
                      <w:szCs w:val="21"/>
                      <w:vertAlign w:val="superscript"/>
                    </w:rPr>
                    <w:t>3</w:t>
                  </w:r>
                  <w:r>
                    <w:rPr>
                      <w:rFonts w:hint="default" w:ascii="Times New Roman" w:hAnsi="Times New Roman" w:cs="Times New Roman"/>
                      <w:b w:val="0"/>
                      <w:bCs w:val="0"/>
                      <w:color w:val="auto"/>
                      <w:sz w:val="21"/>
                      <w:szCs w:val="21"/>
                    </w:rPr>
                    <w:t>）</w:t>
                  </w:r>
                </w:p>
              </w:tc>
              <w:tc>
                <w:tcPr>
                  <w:tcW w:w="1561" w:type="pct"/>
                  <w:noWrap w:val="0"/>
                  <w:vAlign w:val="center"/>
                </w:tcPr>
                <w:p w14:paraId="025734D3">
                  <w:pPr>
                    <w:autoSpaceDE w:val="0"/>
                    <w:autoSpaceDN w:val="0"/>
                    <w:adjustRightInd w:val="0"/>
                    <w:spacing w:line="240" w:lineRule="exact"/>
                    <w:jc w:val="center"/>
                    <w:rPr>
                      <w:rFonts w:hint="default" w:ascii="Times New Roman" w:hAnsi="Times New Roman" w:eastAsia="宋体" w:cs="Times New Roman"/>
                      <w:b w:val="0"/>
                      <w:bCs w:val="0"/>
                      <w:color w:val="000000"/>
                      <w:spacing w:val="0"/>
                      <w:sz w:val="21"/>
                      <w:szCs w:val="21"/>
                    </w:rPr>
                  </w:pPr>
                  <w:r>
                    <w:rPr>
                      <w:rFonts w:hint="eastAsia" w:cs="Times New Roman"/>
                      <w:b w:val="0"/>
                      <w:bCs w:val="0"/>
                      <w:color w:val="000000"/>
                      <w:spacing w:val="0"/>
                      <w:sz w:val="21"/>
                      <w:szCs w:val="21"/>
                      <w:lang w:val="en-US" w:eastAsia="zh-CN"/>
                    </w:rPr>
                    <w:t>排放</w:t>
                  </w:r>
                  <w:r>
                    <w:rPr>
                      <w:rFonts w:hint="default" w:ascii="Times New Roman" w:hAnsi="Times New Roman" w:eastAsia="宋体" w:cs="Times New Roman"/>
                      <w:b w:val="0"/>
                      <w:bCs w:val="0"/>
                      <w:color w:val="000000"/>
                      <w:spacing w:val="0"/>
                      <w:sz w:val="21"/>
                      <w:szCs w:val="21"/>
                    </w:rPr>
                    <w:t>限值含义</w:t>
                  </w:r>
                </w:p>
              </w:tc>
              <w:tc>
                <w:tcPr>
                  <w:tcW w:w="1270" w:type="pct"/>
                  <w:noWrap w:val="0"/>
                  <w:vAlign w:val="center"/>
                </w:tcPr>
                <w:p w14:paraId="5425ACA0">
                  <w:pPr>
                    <w:autoSpaceDE w:val="0"/>
                    <w:autoSpaceDN w:val="0"/>
                    <w:adjustRightInd w:val="0"/>
                    <w:spacing w:line="240" w:lineRule="exact"/>
                    <w:jc w:val="center"/>
                    <w:rPr>
                      <w:rFonts w:hint="default" w:ascii="Times New Roman" w:hAnsi="Times New Roman" w:eastAsia="宋体" w:cs="Times New Roman"/>
                      <w:b w:val="0"/>
                      <w:bCs w:val="0"/>
                      <w:color w:val="000000"/>
                      <w:spacing w:val="0"/>
                      <w:sz w:val="21"/>
                      <w:szCs w:val="21"/>
                    </w:rPr>
                  </w:pPr>
                  <w:r>
                    <w:rPr>
                      <w:rFonts w:hint="default" w:ascii="Times New Roman" w:hAnsi="Times New Roman" w:eastAsia="宋体" w:cs="Times New Roman"/>
                      <w:b w:val="0"/>
                      <w:bCs w:val="0"/>
                      <w:color w:val="000000"/>
                      <w:spacing w:val="0"/>
                      <w:sz w:val="21"/>
                      <w:szCs w:val="21"/>
                    </w:rPr>
                    <w:t>无组织排放监控位置</w:t>
                  </w:r>
                </w:p>
              </w:tc>
            </w:tr>
            <w:tr w14:paraId="41AD8A2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75" w:hRule="atLeast"/>
                <w:jc w:val="center"/>
              </w:trPr>
              <w:tc>
                <w:tcPr>
                  <w:tcW w:w="533" w:type="pct"/>
                  <w:vMerge w:val="restart"/>
                  <w:noWrap w:val="0"/>
                  <w:vAlign w:val="center"/>
                </w:tcPr>
                <w:p w14:paraId="4605AEEB">
                  <w:pPr>
                    <w:autoSpaceDE w:val="0"/>
                    <w:autoSpaceDN w:val="0"/>
                    <w:adjustRightInd w:val="0"/>
                    <w:spacing w:line="240" w:lineRule="exact"/>
                    <w:jc w:val="center"/>
                    <w:rPr>
                      <w:rFonts w:hint="default" w:ascii="Times New Roman" w:hAnsi="Times New Roman" w:eastAsia="宋体" w:cs="Times New Roman"/>
                      <w:b w:val="0"/>
                      <w:bCs w:val="0"/>
                      <w:color w:val="000000"/>
                      <w:spacing w:val="0"/>
                      <w:sz w:val="21"/>
                      <w:szCs w:val="21"/>
                    </w:rPr>
                  </w:pPr>
                  <w:r>
                    <w:rPr>
                      <w:rFonts w:hint="default" w:ascii="Times New Roman" w:hAnsi="Times New Roman" w:eastAsia="宋体" w:cs="Times New Roman"/>
                      <w:b w:val="0"/>
                      <w:bCs w:val="0"/>
                      <w:color w:val="000000"/>
                      <w:spacing w:val="0"/>
                      <w:sz w:val="21"/>
                      <w:szCs w:val="21"/>
                    </w:rPr>
                    <w:t>NMHC</w:t>
                  </w:r>
                </w:p>
              </w:tc>
              <w:tc>
                <w:tcPr>
                  <w:tcW w:w="1634" w:type="pct"/>
                  <w:noWrap w:val="0"/>
                  <w:vAlign w:val="center"/>
                </w:tcPr>
                <w:p w14:paraId="1306ECD4">
                  <w:pPr>
                    <w:autoSpaceDE w:val="0"/>
                    <w:autoSpaceDN w:val="0"/>
                    <w:adjustRightInd w:val="0"/>
                    <w:spacing w:line="240" w:lineRule="exact"/>
                    <w:jc w:val="center"/>
                    <w:rPr>
                      <w:rFonts w:hint="default" w:ascii="Times New Roman" w:hAnsi="Times New Roman" w:eastAsia="宋体" w:cs="Times New Roman"/>
                      <w:b w:val="0"/>
                      <w:bCs w:val="0"/>
                      <w:color w:val="000000"/>
                      <w:spacing w:val="0"/>
                      <w:sz w:val="21"/>
                      <w:szCs w:val="21"/>
                    </w:rPr>
                  </w:pPr>
                  <w:r>
                    <w:rPr>
                      <w:rFonts w:hint="default" w:ascii="Times New Roman" w:hAnsi="Times New Roman" w:eastAsia="宋体" w:cs="Times New Roman"/>
                      <w:b w:val="0"/>
                      <w:bCs w:val="0"/>
                      <w:color w:val="000000"/>
                      <w:spacing w:val="0"/>
                      <w:sz w:val="21"/>
                      <w:szCs w:val="21"/>
                    </w:rPr>
                    <w:t>6</w:t>
                  </w:r>
                </w:p>
              </w:tc>
              <w:tc>
                <w:tcPr>
                  <w:tcW w:w="1561" w:type="pct"/>
                  <w:noWrap w:val="0"/>
                  <w:vAlign w:val="center"/>
                </w:tcPr>
                <w:p w14:paraId="22ECA562">
                  <w:pPr>
                    <w:autoSpaceDE w:val="0"/>
                    <w:autoSpaceDN w:val="0"/>
                    <w:adjustRightInd w:val="0"/>
                    <w:spacing w:line="240" w:lineRule="exact"/>
                    <w:jc w:val="center"/>
                    <w:rPr>
                      <w:rFonts w:hint="default" w:ascii="Times New Roman" w:hAnsi="Times New Roman" w:eastAsia="宋体" w:cs="Times New Roman"/>
                      <w:b w:val="0"/>
                      <w:bCs w:val="0"/>
                      <w:color w:val="000000"/>
                      <w:spacing w:val="0"/>
                      <w:sz w:val="21"/>
                      <w:szCs w:val="21"/>
                    </w:rPr>
                  </w:pPr>
                  <w:r>
                    <w:rPr>
                      <w:rFonts w:hint="default" w:ascii="Times New Roman" w:hAnsi="Times New Roman" w:eastAsia="宋体" w:cs="Times New Roman"/>
                      <w:b w:val="0"/>
                      <w:bCs w:val="0"/>
                      <w:color w:val="000000"/>
                      <w:spacing w:val="0"/>
                      <w:sz w:val="21"/>
                      <w:szCs w:val="21"/>
                    </w:rPr>
                    <w:t>监控点处1h平均浓度值</w:t>
                  </w:r>
                </w:p>
              </w:tc>
              <w:tc>
                <w:tcPr>
                  <w:tcW w:w="1270" w:type="pct"/>
                  <w:vMerge w:val="restart"/>
                  <w:noWrap w:val="0"/>
                  <w:vAlign w:val="center"/>
                </w:tcPr>
                <w:p w14:paraId="7022B06B">
                  <w:pPr>
                    <w:autoSpaceDE w:val="0"/>
                    <w:autoSpaceDN w:val="0"/>
                    <w:adjustRightInd w:val="0"/>
                    <w:spacing w:line="240" w:lineRule="exact"/>
                    <w:jc w:val="center"/>
                    <w:rPr>
                      <w:rFonts w:hint="default" w:ascii="Times New Roman" w:hAnsi="Times New Roman" w:eastAsia="宋体" w:cs="Times New Roman"/>
                      <w:b w:val="0"/>
                      <w:bCs w:val="0"/>
                      <w:color w:val="000000"/>
                      <w:spacing w:val="0"/>
                      <w:sz w:val="21"/>
                      <w:szCs w:val="21"/>
                    </w:rPr>
                  </w:pPr>
                  <w:r>
                    <w:rPr>
                      <w:rFonts w:hint="default" w:ascii="Times New Roman" w:hAnsi="Times New Roman" w:eastAsia="宋体" w:cs="Times New Roman"/>
                      <w:b w:val="0"/>
                      <w:bCs w:val="0"/>
                      <w:color w:val="000000"/>
                      <w:spacing w:val="0"/>
                      <w:sz w:val="21"/>
                      <w:szCs w:val="21"/>
                    </w:rPr>
                    <w:t>在</w:t>
                  </w:r>
                  <w:r>
                    <w:rPr>
                      <w:rFonts w:hint="eastAsia" w:cs="Times New Roman"/>
                      <w:b w:val="0"/>
                      <w:bCs w:val="0"/>
                      <w:color w:val="000000"/>
                      <w:spacing w:val="0"/>
                      <w:sz w:val="21"/>
                      <w:szCs w:val="21"/>
                      <w:lang w:val="en-US" w:eastAsia="zh-CN"/>
                    </w:rPr>
                    <w:t>厂房外</w:t>
                  </w:r>
                  <w:r>
                    <w:rPr>
                      <w:rFonts w:hint="default" w:ascii="Times New Roman" w:hAnsi="Times New Roman" w:eastAsia="宋体" w:cs="Times New Roman"/>
                      <w:b w:val="0"/>
                      <w:bCs w:val="0"/>
                      <w:color w:val="000000"/>
                      <w:spacing w:val="0"/>
                      <w:sz w:val="21"/>
                      <w:szCs w:val="21"/>
                    </w:rPr>
                    <w:t>设置监控点</w:t>
                  </w:r>
                </w:p>
              </w:tc>
            </w:tr>
            <w:tr w14:paraId="32D4626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8" w:hRule="atLeast"/>
                <w:jc w:val="center"/>
              </w:trPr>
              <w:tc>
                <w:tcPr>
                  <w:tcW w:w="533" w:type="pct"/>
                  <w:vMerge w:val="continue"/>
                  <w:noWrap w:val="0"/>
                  <w:vAlign w:val="center"/>
                </w:tcPr>
                <w:p w14:paraId="1B37586B">
                  <w:pPr>
                    <w:autoSpaceDE w:val="0"/>
                    <w:autoSpaceDN w:val="0"/>
                    <w:adjustRightInd w:val="0"/>
                    <w:spacing w:line="240" w:lineRule="exact"/>
                    <w:jc w:val="center"/>
                    <w:rPr>
                      <w:rFonts w:hint="default" w:ascii="Times New Roman" w:hAnsi="Times New Roman" w:eastAsia="宋体" w:cs="Times New Roman"/>
                      <w:b w:val="0"/>
                      <w:bCs w:val="0"/>
                      <w:color w:val="000000"/>
                      <w:spacing w:val="0"/>
                      <w:sz w:val="21"/>
                      <w:szCs w:val="21"/>
                    </w:rPr>
                  </w:pPr>
                </w:p>
              </w:tc>
              <w:tc>
                <w:tcPr>
                  <w:tcW w:w="1634" w:type="pct"/>
                  <w:noWrap w:val="0"/>
                  <w:vAlign w:val="center"/>
                </w:tcPr>
                <w:p w14:paraId="06B21D0C">
                  <w:pPr>
                    <w:autoSpaceDE w:val="0"/>
                    <w:autoSpaceDN w:val="0"/>
                    <w:adjustRightInd w:val="0"/>
                    <w:spacing w:line="240" w:lineRule="exact"/>
                    <w:jc w:val="center"/>
                    <w:rPr>
                      <w:rFonts w:hint="default" w:ascii="Times New Roman" w:hAnsi="Times New Roman" w:eastAsia="宋体" w:cs="Times New Roman"/>
                      <w:b w:val="0"/>
                      <w:bCs w:val="0"/>
                      <w:color w:val="000000"/>
                      <w:spacing w:val="0"/>
                      <w:sz w:val="21"/>
                      <w:szCs w:val="21"/>
                    </w:rPr>
                  </w:pPr>
                  <w:r>
                    <w:rPr>
                      <w:rFonts w:hint="default" w:ascii="Times New Roman" w:hAnsi="Times New Roman" w:eastAsia="宋体" w:cs="Times New Roman"/>
                      <w:b w:val="0"/>
                      <w:bCs w:val="0"/>
                      <w:color w:val="000000"/>
                      <w:spacing w:val="0"/>
                      <w:sz w:val="21"/>
                      <w:szCs w:val="21"/>
                    </w:rPr>
                    <w:t>20</w:t>
                  </w:r>
                </w:p>
              </w:tc>
              <w:tc>
                <w:tcPr>
                  <w:tcW w:w="1561" w:type="pct"/>
                  <w:noWrap w:val="0"/>
                  <w:vAlign w:val="center"/>
                </w:tcPr>
                <w:p w14:paraId="5FA14D85">
                  <w:pPr>
                    <w:autoSpaceDE w:val="0"/>
                    <w:autoSpaceDN w:val="0"/>
                    <w:adjustRightInd w:val="0"/>
                    <w:spacing w:line="240" w:lineRule="exact"/>
                    <w:jc w:val="center"/>
                    <w:rPr>
                      <w:rFonts w:hint="default" w:ascii="Times New Roman" w:hAnsi="Times New Roman" w:eastAsia="宋体" w:cs="Times New Roman"/>
                      <w:b w:val="0"/>
                      <w:bCs w:val="0"/>
                      <w:color w:val="000000"/>
                      <w:spacing w:val="0"/>
                      <w:sz w:val="21"/>
                      <w:szCs w:val="21"/>
                    </w:rPr>
                  </w:pPr>
                  <w:r>
                    <w:rPr>
                      <w:rFonts w:hint="default" w:ascii="Times New Roman" w:hAnsi="Times New Roman" w:eastAsia="宋体" w:cs="Times New Roman"/>
                      <w:b w:val="0"/>
                      <w:bCs w:val="0"/>
                      <w:color w:val="000000"/>
                      <w:spacing w:val="0"/>
                      <w:sz w:val="21"/>
                      <w:szCs w:val="21"/>
                    </w:rPr>
                    <w:t>监控点处任意一次浓度值</w:t>
                  </w:r>
                </w:p>
              </w:tc>
              <w:tc>
                <w:tcPr>
                  <w:tcW w:w="1270" w:type="pct"/>
                  <w:vMerge w:val="continue"/>
                  <w:noWrap w:val="0"/>
                  <w:vAlign w:val="center"/>
                </w:tcPr>
                <w:p w14:paraId="788C6E9D">
                  <w:pPr>
                    <w:autoSpaceDE w:val="0"/>
                    <w:autoSpaceDN w:val="0"/>
                    <w:adjustRightInd w:val="0"/>
                    <w:spacing w:line="240" w:lineRule="exact"/>
                    <w:jc w:val="center"/>
                    <w:rPr>
                      <w:rFonts w:hint="default" w:ascii="Times New Roman" w:hAnsi="Times New Roman" w:eastAsia="宋体" w:cs="Times New Roman"/>
                      <w:b w:val="0"/>
                      <w:bCs w:val="0"/>
                      <w:color w:val="000000"/>
                      <w:spacing w:val="0"/>
                      <w:sz w:val="21"/>
                      <w:szCs w:val="21"/>
                    </w:rPr>
                  </w:pPr>
                </w:p>
              </w:tc>
            </w:tr>
          </w:tbl>
          <w:p w14:paraId="5845F4B5">
            <w:pPr>
              <w:keepNext w:val="0"/>
              <w:keepLines w:val="0"/>
              <w:suppressLineNumbers w:val="0"/>
              <w:autoSpaceDE w:val="0"/>
              <w:autoSpaceDN w:val="0"/>
              <w:adjustRightInd w:val="0"/>
              <w:spacing w:before="0" w:beforeAutospacing="0" w:after="0" w:afterAutospacing="0" w:line="480" w:lineRule="exact"/>
              <w:ind w:left="0" w:right="0" w:firstLine="482"/>
              <w:jc w:val="both"/>
              <w:rPr>
                <w:rFonts w:hint="default"/>
                <w:b/>
                <w:kern w:val="44"/>
                <w:sz w:val="24"/>
              </w:rPr>
            </w:pPr>
            <w:r>
              <w:rPr>
                <w:rFonts w:hint="default"/>
                <w:sz w:val="24"/>
              </w:rPr>
              <w:t>餐饮油烟执行《饮食业油烟排放标准（试行）》(GB18483-2001)中的</w:t>
            </w:r>
            <w:r>
              <w:rPr>
                <w:rFonts w:hint="eastAsia"/>
                <w:sz w:val="24"/>
                <w:lang w:val="en-US" w:eastAsia="zh-CN"/>
              </w:rPr>
              <w:t>小型</w:t>
            </w:r>
            <w:r>
              <w:rPr>
                <w:rFonts w:hint="default"/>
                <w:sz w:val="24"/>
              </w:rPr>
              <w:t>食堂标准，具体见表</w:t>
            </w:r>
            <w:r>
              <w:rPr>
                <w:rFonts w:hint="eastAsia"/>
                <w:sz w:val="24"/>
              </w:rPr>
              <w:t>3-</w:t>
            </w:r>
            <w:r>
              <w:rPr>
                <w:rFonts w:hint="eastAsia"/>
                <w:sz w:val="24"/>
                <w:lang w:val="en-US" w:eastAsia="zh-CN"/>
              </w:rPr>
              <w:t>7</w:t>
            </w:r>
            <w:r>
              <w:rPr>
                <w:rFonts w:hint="default"/>
                <w:sz w:val="24"/>
              </w:rPr>
              <w:t>。</w:t>
            </w:r>
          </w:p>
          <w:p w14:paraId="230D530C">
            <w:pPr>
              <w:keepNext w:val="0"/>
              <w:keepLines w:val="0"/>
              <w:suppressLineNumbers w:val="0"/>
              <w:spacing w:before="0" w:beforeAutospacing="0" w:after="0" w:afterAutospacing="0" w:line="360" w:lineRule="auto"/>
              <w:ind w:left="0" w:right="0"/>
              <w:jc w:val="center"/>
              <w:rPr>
                <w:rFonts w:hint="default"/>
                <w:b/>
                <w:color w:val="000000"/>
                <w:sz w:val="24"/>
                <w:lang w:bidi="ar"/>
              </w:rPr>
            </w:pPr>
            <w:r>
              <w:rPr>
                <w:rFonts w:hint="default"/>
                <w:b/>
                <w:color w:val="000000"/>
                <w:sz w:val="24"/>
                <w:lang w:bidi="ar"/>
              </w:rPr>
              <w:t>表</w:t>
            </w:r>
            <w:r>
              <w:rPr>
                <w:rFonts w:hint="eastAsia"/>
                <w:b/>
                <w:color w:val="000000"/>
                <w:sz w:val="24"/>
                <w:lang w:bidi="ar"/>
              </w:rPr>
              <w:t>3-</w:t>
            </w:r>
            <w:r>
              <w:rPr>
                <w:rFonts w:hint="eastAsia"/>
                <w:b/>
                <w:color w:val="000000"/>
                <w:sz w:val="24"/>
                <w:lang w:val="en-US" w:eastAsia="zh-CN" w:bidi="ar"/>
              </w:rPr>
              <w:t>7</w:t>
            </w:r>
            <w:r>
              <w:rPr>
                <w:rFonts w:hint="default"/>
                <w:b/>
                <w:color w:val="000000"/>
                <w:sz w:val="24"/>
                <w:lang w:bidi="ar"/>
              </w:rPr>
              <w:t xml:space="preserve">  饮食油烟排放标准值</w:t>
            </w:r>
          </w:p>
          <w:tbl>
            <w:tblPr>
              <w:tblStyle w:val="26"/>
              <w:tblW w:w="8555" w:type="dxa"/>
              <w:tblInd w:w="0" w:type="dxa"/>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0" w:type="dxa"/>
                <w:left w:w="108" w:type="dxa"/>
                <w:bottom w:w="0" w:type="dxa"/>
                <w:right w:w="108" w:type="dxa"/>
              </w:tblCellMar>
            </w:tblPr>
            <w:tblGrid>
              <w:gridCol w:w="3005"/>
              <w:gridCol w:w="2042"/>
              <w:gridCol w:w="1872"/>
              <w:gridCol w:w="1636"/>
            </w:tblGrid>
            <w:tr w14:paraId="04F94F96">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283" w:hRule="atLeast"/>
              </w:trPr>
              <w:tc>
                <w:tcPr>
                  <w:tcW w:w="3005" w:type="dxa"/>
                  <w:tcBorders>
                    <w:bottom w:val="single" w:color="auto" w:sz="4" w:space="0"/>
                  </w:tcBorders>
                  <w:noWrap w:val="0"/>
                  <w:vAlign w:val="center"/>
                </w:tcPr>
                <w:p w14:paraId="45688C7F">
                  <w:pPr>
                    <w:keepNext w:val="0"/>
                    <w:keepLines w:val="0"/>
                    <w:suppressLineNumbers w:val="0"/>
                    <w:spacing w:before="0" w:beforeAutospacing="0" w:after="0" w:afterAutospacing="0"/>
                    <w:ind w:left="0" w:right="0"/>
                    <w:jc w:val="center"/>
                    <w:rPr>
                      <w:rFonts w:hint="default"/>
                      <w:b/>
                      <w:bCs/>
                      <w:szCs w:val="21"/>
                    </w:rPr>
                  </w:pPr>
                  <w:r>
                    <w:rPr>
                      <w:rFonts w:hint="default"/>
                      <w:b/>
                      <w:bCs/>
                      <w:szCs w:val="21"/>
                    </w:rPr>
                    <w:t>规模</w:t>
                  </w:r>
                </w:p>
              </w:tc>
              <w:tc>
                <w:tcPr>
                  <w:tcW w:w="2042" w:type="dxa"/>
                  <w:tcBorders>
                    <w:bottom w:val="single" w:color="auto" w:sz="4" w:space="0"/>
                  </w:tcBorders>
                  <w:noWrap w:val="0"/>
                  <w:vAlign w:val="center"/>
                </w:tcPr>
                <w:p w14:paraId="7715359E">
                  <w:pPr>
                    <w:keepNext w:val="0"/>
                    <w:keepLines w:val="0"/>
                    <w:suppressLineNumbers w:val="0"/>
                    <w:spacing w:before="0" w:beforeAutospacing="0" w:after="0" w:afterAutospacing="0"/>
                    <w:ind w:left="0" w:right="0"/>
                    <w:jc w:val="center"/>
                    <w:rPr>
                      <w:rFonts w:hint="default"/>
                      <w:b/>
                      <w:bCs/>
                      <w:szCs w:val="21"/>
                    </w:rPr>
                  </w:pPr>
                  <w:r>
                    <w:rPr>
                      <w:rFonts w:hint="default"/>
                      <w:b/>
                      <w:bCs/>
                      <w:szCs w:val="21"/>
                    </w:rPr>
                    <w:t>小型</w:t>
                  </w:r>
                </w:p>
              </w:tc>
              <w:tc>
                <w:tcPr>
                  <w:tcW w:w="1872" w:type="dxa"/>
                  <w:tcBorders>
                    <w:bottom w:val="single" w:color="auto" w:sz="4" w:space="0"/>
                  </w:tcBorders>
                  <w:noWrap w:val="0"/>
                  <w:vAlign w:val="center"/>
                </w:tcPr>
                <w:p w14:paraId="2B4C5B76">
                  <w:pPr>
                    <w:keepNext w:val="0"/>
                    <w:keepLines w:val="0"/>
                    <w:suppressLineNumbers w:val="0"/>
                    <w:spacing w:before="0" w:beforeAutospacing="0" w:after="0" w:afterAutospacing="0"/>
                    <w:ind w:left="0" w:right="0"/>
                    <w:jc w:val="center"/>
                    <w:rPr>
                      <w:rFonts w:hint="default"/>
                      <w:b/>
                      <w:bCs/>
                      <w:szCs w:val="21"/>
                    </w:rPr>
                  </w:pPr>
                  <w:r>
                    <w:rPr>
                      <w:rFonts w:hint="default"/>
                      <w:b/>
                      <w:bCs/>
                      <w:szCs w:val="21"/>
                    </w:rPr>
                    <w:t>中型</w:t>
                  </w:r>
                </w:p>
              </w:tc>
              <w:tc>
                <w:tcPr>
                  <w:tcW w:w="1636" w:type="dxa"/>
                  <w:tcBorders>
                    <w:bottom w:val="single" w:color="auto" w:sz="4" w:space="0"/>
                  </w:tcBorders>
                  <w:noWrap w:val="0"/>
                  <w:vAlign w:val="center"/>
                </w:tcPr>
                <w:p w14:paraId="40982C99">
                  <w:pPr>
                    <w:keepNext w:val="0"/>
                    <w:keepLines w:val="0"/>
                    <w:suppressLineNumbers w:val="0"/>
                    <w:spacing w:before="0" w:beforeAutospacing="0" w:after="0" w:afterAutospacing="0"/>
                    <w:ind w:left="0" w:right="0"/>
                    <w:jc w:val="center"/>
                    <w:rPr>
                      <w:rFonts w:hint="default"/>
                      <w:b/>
                      <w:bCs/>
                      <w:szCs w:val="21"/>
                    </w:rPr>
                  </w:pPr>
                  <w:r>
                    <w:rPr>
                      <w:rFonts w:hint="default"/>
                      <w:b/>
                      <w:bCs/>
                      <w:szCs w:val="21"/>
                    </w:rPr>
                    <w:t>大型</w:t>
                  </w:r>
                </w:p>
              </w:tc>
            </w:tr>
            <w:tr w14:paraId="3FA02019">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283" w:hRule="atLeast"/>
              </w:trPr>
              <w:tc>
                <w:tcPr>
                  <w:tcW w:w="3005" w:type="dxa"/>
                  <w:tcBorders>
                    <w:top w:val="single" w:color="auto" w:sz="4" w:space="0"/>
                    <w:bottom w:val="single" w:color="auto" w:sz="4" w:space="0"/>
                  </w:tcBorders>
                  <w:noWrap w:val="0"/>
                  <w:vAlign w:val="center"/>
                </w:tcPr>
                <w:p w14:paraId="4E60E3E3">
                  <w:pPr>
                    <w:keepNext w:val="0"/>
                    <w:keepLines w:val="0"/>
                    <w:suppressLineNumbers w:val="0"/>
                    <w:spacing w:before="0" w:beforeAutospacing="0" w:after="0" w:afterAutospacing="0"/>
                    <w:ind w:left="0" w:right="0"/>
                    <w:jc w:val="center"/>
                    <w:rPr>
                      <w:rFonts w:hint="default"/>
                      <w:szCs w:val="21"/>
                    </w:rPr>
                  </w:pPr>
                  <w:r>
                    <w:rPr>
                      <w:rFonts w:hint="default"/>
                      <w:szCs w:val="21"/>
                    </w:rPr>
                    <w:t>基准灶头数</w:t>
                  </w:r>
                </w:p>
              </w:tc>
              <w:tc>
                <w:tcPr>
                  <w:tcW w:w="2042" w:type="dxa"/>
                  <w:tcBorders>
                    <w:top w:val="single" w:color="auto" w:sz="4" w:space="0"/>
                    <w:bottom w:val="single" w:color="auto" w:sz="4" w:space="0"/>
                  </w:tcBorders>
                  <w:noWrap w:val="0"/>
                  <w:vAlign w:val="center"/>
                </w:tcPr>
                <w:p w14:paraId="01BC8535">
                  <w:pPr>
                    <w:keepNext w:val="0"/>
                    <w:keepLines w:val="0"/>
                    <w:suppressLineNumbers w:val="0"/>
                    <w:spacing w:before="0" w:beforeAutospacing="0" w:after="0" w:afterAutospacing="0"/>
                    <w:ind w:left="0" w:right="0"/>
                    <w:jc w:val="center"/>
                    <w:rPr>
                      <w:rFonts w:hint="default"/>
                      <w:szCs w:val="21"/>
                    </w:rPr>
                  </w:pPr>
                  <w:r>
                    <w:rPr>
                      <w:rFonts w:hint="default"/>
                      <w:szCs w:val="21"/>
                    </w:rPr>
                    <w:t>≥1，&lt;3</w:t>
                  </w:r>
                </w:p>
              </w:tc>
              <w:tc>
                <w:tcPr>
                  <w:tcW w:w="1872" w:type="dxa"/>
                  <w:tcBorders>
                    <w:top w:val="single" w:color="auto" w:sz="4" w:space="0"/>
                    <w:bottom w:val="single" w:color="auto" w:sz="4" w:space="0"/>
                  </w:tcBorders>
                  <w:noWrap w:val="0"/>
                  <w:vAlign w:val="center"/>
                </w:tcPr>
                <w:p w14:paraId="58B41E70">
                  <w:pPr>
                    <w:keepNext w:val="0"/>
                    <w:keepLines w:val="0"/>
                    <w:suppressLineNumbers w:val="0"/>
                    <w:spacing w:before="0" w:beforeAutospacing="0" w:after="0" w:afterAutospacing="0"/>
                    <w:ind w:left="0" w:right="0"/>
                    <w:jc w:val="center"/>
                    <w:rPr>
                      <w:rFonts w:hint="default"/>
                      <w:szCs w:val="21"/>
                    </w:rPr>
                  </w:pPr>
                  <w:r>
                    <w:rPr>
                      <w:rFonts w:hint="default"/>
                      <w:szCs w:val="21"/>
                    </w:rPr>
                    <w:t>≥3，&lt;6</w:t>
                  </w:r>
                </w:p>
              </w:tc>
              <w:tc>
                <w:tcPr>
                  <w:tcW w:w="1636" w:type="dxa"/>
                  <w:tcBorders>
                    <w:top w:val="single" w:color="auto" w:sz="4" w:space="0"/>
                    <w:bottom w:val="single" w:color="auto" w:sz="4" w:space="0"/>
                  </w:tcBorders>
                  <w:noWrap w:val="0"/>
                  <w:vAlign w:val="center"/>
                </w:tcPr>
                <w:p w14:paraId="490A7712">
                  <w:pPr>
                    <w:keepNext w:val="0"/>
                    <w:keepLines w:val="0"/>
                    <w:suppressLineNumbers w:val="0"/>
                    <w:spacing w:before="0" w:beforeAutospacing="0" w:after="0" w:afterAutospacing="0"/>
                    <w:ind w:left="0" w:right="0"/>
                    <w:jc w:val="center"/>
                    <w:rPr>
                      <w:rFonts w:hint="default"/>
                      <w:szCs w:val="21"/>
                    </w:rPr>
                  </w:pPr>
                  <w:r>
                    <w:rPr>
                      <w:rFonts w:hint="default"/>
                      <w:szCs w:val="21"/>
                    </w:rPr>
                    <w:t>≥6</w:t>
                  </w:r>
                </w:p>
              </w:tc>
            </w:tr>
            <w:tr w14:paraId="5FB2A61D">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cantSplit/>
                <w:trHeight w:val="283" w:hRule="atLeast"/>
              </w:trPr>
              <w:tc>
                <w:tcPr>
                  <w:tcW w:w="3005" w:type="dxa"/>
                  <w:tcBorders>
                    <w:top w:val="single" w:color="auto" w:sz="4" w:space="0"/>
                    <w:bottom w:val="single" w:color="auto" w:sz="4" w:space="0"/>
                  </w:tcBorders>
                  <w:noWrap w:val="0"/>
                  <w:vAlign w:val="center"/>
                </w:tcPr>
                <w:p w14:paraId="07AF953D">
                  <w:pPr>
                    <w:keepNext w:val="0"/>
                    <w:keepLines w:val="0"/>
                    <w:suppressLineNumbers w:val="0"/>
                    <w:spacing w:before="0" w:beforeAutospacing="0" w:after="0" w:afterAutospacing="0"/>
                    <w:ind w:left="0" w:right="0"/>
                    <w:jc w:val="center"/>
                    <w:rPr>
                      <w:rFonts w:hint="default"/>
                      <w:szCs w:val="21"/>
                    </w:rPr>
                  </w:pPr>
                  <w:r>
                    <w:rPr>
                      <w:rFonts w:hint="default"/>
                      <w:szCs w:val="21"/>
                    </w:rPr>
                    <w:t>最高允许排放浓度（mg/m</w:t>
                  </w:r>
                  <w:r>
                    <w:rPr>
                      <w:rFonts w:hint="default"/>
                      <w:szCs w:val="21"/>
                      <w:vertAlign w:val="superscript"/>
                    </w:rPr>
                    <w:t>3</w:t>
                  </w:r>
                  <w:r>
                    <w:rPr>
                      <w:rFonts w:hint="default"/>
                      <w:szCs w:val="21"/>
                    </w:rPr>
                    <w:t>）</w:t>
                  </w:r>
                </w:p>
              </w:tc>
              <w:tc>
                <w:tcPr>
                  <w:tcW w:w="5550" w:type="dxa"/>
                  <w:gridSpan w:val="3"/>
                  <w:tcBorders>
                    <w:top w:val="single" w:color="auto" w:sz="4" w:space="0"/>
                    <w:bottom w:val="single" w:color="auto" w:sz="4" w:space="0"/>
                  </w:tcBorders>
                  <w:noWrap w:val="0"/>
                  <w:vAlign w:val="center"/>
                </w:tcPr>
                <w:p w14:paraId="2EFA25F8">
                  <w:pPr>
                    <w:pStyle w:val="39"/>
                    <w:keepNext w:val="0"/>
                    <w:keepLines w:val="0"/>
                    <w:suppressLineNumbers w:val="0"/>
                    <w:tabs>
                      <w:tab w:val="left" w:pos="1571"/>
                    </w:tabs>
                    <w:adjustRightInd/>
                    <w:snapToGrid/>
                    <w:spacing w:before="24" w:beforeAutospacing="0" w:after="24" w:afterAutospacing="0" w:line="240" w:lineRule="auto"/>
                    <w:ind w:left="0" w:right="0"/>
                    <w:jc w:val="center"/>
                    <w:outlineLvl w:val="9"/>
                    <w:rPr>
                      <w:rFonts w:ascii="Times New Roman"/>
                      <w:spacing w:val="20"/>
                      <w:szCs w:val="21"/>
                      <w:lang w:val="en-US" w:eastAsia="zh-CN"/>
                    </w:rPr>
                  </w:pPr>
                  <w:r>
                    <w:rPr>
                      <w:rFonts w:ascii="Times New Roman"/>
                      <w:spacing w:val="20"/>
                      <w:sz w:val="21"/>
                      <w:szCs w:val="21"/>
                      <w:lang w:val="en-US" w:eastAsia="zh-CN"/>
                    </w:rPr>
                    <w:t>2.0</w:t>
                  </w:r>
                </w:p>
              </w:tc>
            </w:tr>
            <w:tr w14:paraId="24153C6C">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283" w:hRule="atLeast"/>
              </w:trPr>
              <w:tc>
                <w:tcPr>
                  <w:tcW w:w="3005" w:type="dxa"/>
                  <w:tcBorders>
                    <w:top w:val="single" w:color="auto" w:sz="4" w:space="0"/>
                  </w:tcBorders>
                  <w:noWrap w:val="0"/>
                  <w:vAlign w:val="center"/>
                </w:tcPr>
                <w:p w14:paraId="18C1A2DB">
                  <w:pPr>
                    <w:keepNext w:val="0"/>
                    <w:keepLines w:val="0"/>
                    <w:suppressLineNumbers w:val="0"/>
                    <w:spacing w:before="0" w:beforeAutospacing="0" w:after="0" w:afterAutospacing="0"/>
                    <w:ind w:left="0" w:right="0"/>
                    <w:jc w:val="center"/>
                    <w:rPr>
                      <w:rFonts w:hint="default"/>
                      <w:szCs w:val="21"/>
                    </w:rPr>
                  </w:pPr>
                  <w:r>
                    <w:rPr>
                      <w:rFonts w:hint="default"/>
                      <w:szCs w:val="21"/>
                    </w:rPr>
                    <w:t>净化设施最低去除率（%）</w:t>
                  </w:r>
                </w:p>
              </w:tc>
              <w:tc>
                <w:tcPr>
                  <w:tcW w:w="2042" w:type="dxa"/>
                  <w:tcBorders>
                    <w:top w:val="single" w:color="auto" w:sz="4" w:space="0"/>
                  </w:tcBorders>
                  <w:noWrap w:val="0"/>
                  <w:vAlign w:val="center"/>
                </w:tcPr>
                <w:p w14:paraId="51285B3A">
                  <w:pPr>
                    <w:keepNext w:val="0"/>
                    <w:keepLines w:val="0"/>
                    <w:suppressLineNumbers w:val="0"/>
                    <w:spacing w:before="0" w:beforeAutospacing="0" w:after="0" w:afterAutospacing="0"/>
                    <w:ind w:left="0" w:right="0"/>
                    <w:jc w:val="center"/>
                    <w:rPr>
                      <w:rFonts w:hint="default"/>
                      <w:szCs w:val="21"/>
                    </w:rPr>
                  </w:pPr>
                  <w:r>
                    <w:rPr>
                      <w:rFonts w:hint="default"/>
                      <w:szCs w:val="21"/>
                    </w:rPr>
                    <w:t>60</w:t>
                  </w:r>
                </w:p>
              </w:tc>
              <w:tc>
                <w:tcPr>
                  <w:tcW w:w="1872" w:type="dxa"/>
                  <w:tcBorders>
                    <w:top w:val="single" w:color="auto" w:sz="4" w:space="0"/>
                  </w:tcBorders>
                  <w:noWrap w:val="0"/>
                  <w:vAlign w:val="center"/>
                </w:tcPr>
                <w:p w14:paraId="05A2624F">
                  <w:pPr>
                    <w:keepNext w:val="0"/>
                    <w:keepLines w:val="0"/>
                    <w:suppressLineNumbers w:val="0"/>
                    <w:spacing w:before="0" w:beforeAutospacing="0" w:after="0" w:afterAutospacing="0"/>
                    <w:ind w:left="0" w:right="0"/>
                    <w:jc w:val="center"/>
                    <w:rPr>
                      <w:rFonts w:hint="default"/>
                      <w:szCs w:val="21"/>
                    </w:rPr>
                  </w:pPr>
                  <w:r>
                    <w:rPr>
                      <w:rFonts w:hint="default"/>
                      <w:szCs w:val="21"/>
                    </w:rPr>
                    <w:t>75</w:t>
                  </w:r>
                </w:p>
              </w:tc>
              <w:tc>
                <w:tcPr>
                  <w:tcW w:w="1636" w:type="dxa"/>
                  <w:tcBorders>
                    <w:top w:val="single" w:color="auto" w:sz="4" w:space="0"/>
                  </w:tcBorders>
                  <w:noWrap w:val="0"/>
                  <w:vAlign w:val="center"/>
                </w:tcPr>
                <w:p w14:paraId="71EB4BFB">
                  <w:pPr>
                    <w:keepNext w:val="0"/>
                    <w:keepLines w:val="0"/>
                    <w:suppressLineNumbers w:val="0"/>
                    <w:spacing w:before="0" w:beforeAutospacing="0" w:after="0" w:afterAutospacing="0"/>
                    <w:ind w:left="0" w:right="0"/>
                    <w:jc w:val="center"/>
                    <w:rPr>
                      <w:rFonts w:hint="default"/>
                      <w:szCs w:val="21"/>
                    </w:rPr>
                  </w:pPr>
                  <w:r>
                    <w:rPr>
                      <w:rFonts w:hint="default"/>
                      <w:szCs w:val="21"/>
                    </w:rPr>
                    <w:t>85</w:t>
                  </w:r>
                </w:p>
              </w:tc>
            </w:tr>
          </w:tbl>
          <w:p w14:paraId="4C84AAE8">
            <w:pPr>
              <w:spacing w:line="360" w:lineRule="auto"/>
              <w:ind w:firstLine="482" w:firstLineChars="200"/>
              <w:jc w:val="both"/>
              <w:rPr>
                <w:rFonts w:hint="default" w:ascii="Times New Roman" w:hAnsi="Times New Roman" w:cs="Times New Roman"/>
                <w:b/>
                <w:bCs/>
                <w:color w:val="auto"/>
                <w:sz w:val="24"/>
                <w:lang w:val="en-US" w:eastAsia="zh-CN"/>
              </w:rPr>
            </w:pPr>
            <w:r>
              <w:rPr>
                <w:rFonts w:hint="eastAsia" w:cs="Times New Roman"/>
                <w:b/>
                <w:bCs/>
                <w:color w:val="auto"/>
                <w:sz w:val="24"/>
                <w:lang w:val="en-US" w:eastAsia="zh-CN"/>
              </w:rPr>
              <w:t>2</w:t>
            </w:r>
            <w:r>
              <w:rPr>
                <w:rFonts w:hint="default" w:ascii="Times New Roman" w:hAnsi="Times New Roman" w:cs="Times New Roman"/>
                <w:b/>
                <w:bCs/>
                <w:color w:val="auto"/>
                <w:sz w:val="24"/>
                <w:lang w:val="en-US" w:eastAsia="zh-CN"/>
              </w:rPr>
              <w:t>、废水排放标准</w:t>
            </w:r>
          </w:p>
          <w:p w14:paraId="1BB0246C">
            <w:pPr>
              <w:numPr>
                <w:ilvl w:val="0"/>
                <w:numId w:val="0"/>
              </w:numPr>
              <w:adjustRightInd w:val="0"/>
              <w:spacing w:line="360" w:lineRule="auto"/>
              <w:ind w:firstLine="480" w:firstLineChars="200"/>
              <w:jc w:val="left"/>
              <w:rPr>
                <w:rFonts w:hint="eastAsia" w:eastAsia="宋体" w:cs="Times New Roman"/>
                <w:color w:val="auto"/>
                <w:sz w:val="24"/>
                <w:lang w:val="en-US" w:eastAsia="zh-CN"/>
              </w:rPr>
            </w:pPr>
            <w:r>
              <w:rPr>
                <w:rFonts w:hint="eastAsia" w:eastAsia="宋体" w:cs="Times New Roman"/>
                <w:color w:val="auto"/>
                <w:sz w:val="24"/>
                <w:lang w:val="en-US" w:eastAsia="zh-CN"/>
              </w:rPr>
              <w:t>项目排水采用雨、污分流制</w:t>
            </w:r>
            <w:r>
              <w:rPr>
                <w:rFonts w:hint="eastAsia" w:cs="Times New Roman"/>
                <w:color w:val="auto"/>
                <w:sz w:val="24"/>
                <w:lang w:val="en-US" w:eastAsia="zh-CN"/>
              </w:rPr>
              <w:t>，生活污水经厂区隔油池+化粪池预处理后定期清掏，用于周边肥田，不外排；冷却水循环使用，不外排</w:t>
            </w:r>
            <w:r>
              <w:rPr>
                <w:rFonts w:hint="eastAsia"/>
                <w:color w:val="auto"/>
                <w:sz w:val="24"/>
                <w:highlight w:val="none"/>
                <w:lang w:val="en-US" w:eastAsia="zh-CN"/>
              </w:rPr>
              <w:t>。</w:t>
            </w:r>
          </w:p>
          <w:p w14:paraId="114C892E">
            <w:pPr>
              <w:spacing w:line="360" w:lineRule="auto"/>
              <w:ind w:firstLine="482" w:firstLineChars="200"/>
              <w:jc w:val="both"/>
              <w:rPr>
                <w:rFonts w:hint="default" w:ascii="Times New Roman" w:hAnsi="Times New Roman" w:cs="Times New Roman"/>
                <w:b/>
                <w:bCs/>
                <w:color w:val="auto"/>
                <w:sz w:val="24"/>
              </w:rPr>
            </w:pPr>
            <w:r>
              <w:rPr>
                <w:rFonts w:hint="eastAsia" w:cs="Times New Roman"/>
                <w:b/>
                <w:bCs/>
                <w:color w:val="auto"/>
                <w:sz w:val="24"/>
                <w:lang w:val="en-US" w:eastAsia="zh-CN"/>
              </w:rPr>
              <w:t>3</w:t>
            </w:r>
            <w:r>
              <w:rPr>
                <w:rFonts w:hint="default" w:ascii="Times New Roman" w:hAnsi="Times New Roman" w:cs="Times New Roman"/>
                <w:b/>
                <w:bCs/>
                <w:color w:val="auto"/>
                <w:sz w:val="24"/>
              </w:rPr>
              <w:t>、噪声排放标准</w:t>
            </w:r>
          </w:p>
          <w:p w14:paraId="1CC84100">
            <w:pPr>
              <w:keepNext w:val="0"/>
              <w:keepLines w:val="0"/>
              <w:suppressLineNumbers w:val="0"/>
              <w:tabs>
                <w:tab w:val="left" w:pos="5142"/>
              </w:tabs>
              <w:snapToGrid w:val="0"/>
              <w:spacing w:before="0" w:beforeAutospacing="0" w:after="0" w:afterAutospacing="0" w:line="360" w:lineRule="auto"/>
              <w:ind w:left="0" w:right="0" w:firstLine="480" w:firstLineChars="200"/>
              <w:jc w:val="both"/>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施工期</w:t>
            </w:r>
            <w:r>
              <w:rPr>
                <w:rFonts w:hint="default" w:ascii="Times New Roman" w:hAnsi="Times New Roman" w:eastAsia="宋体" w:cs="Times New Roman"/>
                <w:sz w:val="24"/>
                <w:szCs w:val="24"/>
              </w:rPr>
              <w:t>施工场地执行《建筑施工场界环境噪声排放标准》</w:t>
            </w:r>
            <w:r>
              <w:rPr>
                <w:rFonts w:hint="default" w:ascii="Times New Roman" w:hAnsi="Times New Roman" w:eastAsia="宋体"/>
                <w:sz w:val="24"/>
                <w:szCs w:val="24"/>
              </w:rPr>
              <w:t>（</w:t>
            </w:r>
            <w:r>
              <w:rPr>
                <w:rFonts w:hint="default" w:ascii="Times New Roman" w:hAnsi="Times New Roman" w:eastAsia="宋体" w:cs="Times New Roman"/>
                <w:sz w:val="24"/>
                <w:szCs w:val="24"/>
              </w:rPr>
              <w:t>GB12523-2011</w:t>
            </w:r>
            <w:r>
              <w:rPr>
                <w:rFonts w:hint="default" w:ascii="Times New Roman" w:hAnsi="Times New Roman" w:eastAsia="宋体"/>
                <w:sz w:val="24"/>
                <w:szCs w:val="24"/>
              </w:rPr>
              <w:t>）</w:t>
            </w:r>
            <w:r>
              <w:rPr>
                <w:rFonts w:hint="default" w:ascii="Times New Roman" w:hAnsi="Times New Roman" w:eastAsia="宋体" w:cs="Times New Roman"/>
                <w:sz w:val="24"/>
                <w:szCs w:val="24"/>
              </w:rPr>
              <w:t>中相关规定。</w:t>
            </w:r>
          </w:p>
          <w:p w14:paraId="180B6567">
            <w:pPr>
              <w:keepNext w:val="0"/>
              <w:keepLines w:val="0"/>
              <w:suppressLineNumbers w:val="0"/>
              <w:snapToGrid w:val="0"/>
              <w:spacing w:before="0" w:beforeAutospacing="0" w:after="0" w:afterAutospacing="0" w:line="360" w:lineRule="auto"/>
              <w:ind w:left="0" w:right="0"/>
              <w:jc w:val="center"/>
              <w:rPr>
                <w:rFonts w:hint="default" w:ascii="Times New Roman" w:hAnsi="Times New Roman" w:eastAsia="宋体" w:cs="Times New Roman"/>
                <w:b/>
                <w:bCs/>
                <w:color w:val="auto"/>
                <w:sz w:val="24"/>
                <w:szCs w:val="24"/>
                <w:lang w:val="zh-CN"/>
              </w:rPr>
            </w:pPr>
            <w:r>
              <w:rPr>
                <w:rFonts w:hint="default" w:ascii="Times New Roman" w:hAnsi="Times New Roman" w:eastAsia="宋体" w:cs="Times New Roman"/>
                <w:b/>
                <w:bCs/>
                <w:color w:val="auto"/>
                <w:sz w:val="24"/>
                <w:szCs w:val="24"/>
                <w:lang w:val="zh-CN"/>
              </w:rPr>
              <w:t>表</w:t>
            </w:r>
            <w:r>
              <w:rPr>
                <w:rFonts w:hint="default" w:ascii="Times New Roman" w:hAnsi="Times New Roman" w:eastAsia="宋体" w:cs="Times New Roman"/>
                <w:b/>
                <w:bCs/>
                <w:color w:val="auto"/>
                <w:sz w:val="24"/>
                <w:szCs w:val="24"/>
                <w:lang w:val="en-US" w:eastAsia="zh-CN"/>
              </w:rPr>
              <w:t>3-</w:t>
            </w:r>
            <w:r>
              <w:rPr>
                <w:rFonts w:hint="eastAsia" w:cs="Times New Roman"/>
                <w:b/>
                <w:bCs/>
                <w:color w:val="auto"/>
                <w:sz w:val="24"/>
                <w:szCs w:val="24"/>
                <w:lang w:val="en-US" w:eastAsia="zh-CN"/>
              </w:rPr>
              <w:t xml:space="preserve">8  </w:t>
            </w:r>
            <w:r>
              <w:rPr>
                <w:rFonts w:hint="default" w:ascii="Times New Roman" w:hAnsi="Times New Roman" w:eastAsia="宋体" w:cs="Times New Roman"/>
                <w:b/>
                <w:bCs/>
                <w:color w:val="auto"/>
                <w:sz w:val="24"/>
                <w:szCs w:val="24"/>
                <w:lang w:val="zh-CN"/>
              </w:rPr>
              <w:t>建筑施工厂界环境噪声排放标准   单位：dB(A)</w:t>
            </w:r>
          </w:p>
          <w:tbl>
            <w:tblPr>
              <w:tblStyle w:val="26"/>
              <w:tblW w:w="83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16"/>
              <w:gridCol w:w="3723"/>
            </w:tblGrid>
            <w:tr w14:paraId="3AA6A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4616" w:type="dxa"/>
                  <w:tcBorders>
                    <w:top w:val="single" w:color="auto" w:sz="4" w:space="0"/>
                    <w:left w:val="single" w:color="auto" w:sz="4" w:space="0"/>
                    <w:bottom w:val="single" w:color="auto" w:sz="4" w:space="0"/>
                    <w:right w:val="single" w:color="auto" w:sz="4" w:space="0"/>
                  </w:tcBorders>
                  <w:noWrap w:val="0"/>
                  <w:vAlign w:val="center"/>
                </w:tcPr>
                <w:p w14:paraId="688FB706">
                  <w:pPr>
                    <w:keepNext w:val="0"/>
                    <w:keepLines w:val="0"/>
                    <w:suppressLineNumbers w:val="0"/>
                    <w:spacing w:before="0" w:beforeAutospacing="0" w:after="0" w:afterAutospacing="0" w:line="400" w:lineRule="exact"/>
                    <w:ind w:left="0" w:right="0"/>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昼间</w:t>
                  </w:r>
                </w:p>
              </w:tc>
              <w:tc>
                <w:tcPr>
                  <w:tcW w:w="3723" w:type="dxa"/>
                  <w:tcBorders>
                    <w:top w:val="single" w:color="auto" w:sz="4" w:space="0"/>
                    <w:left w:val="single" w:color="auto" w:sz="4" w:space="0"/>
                    <w:bottom w:val="single" w:color="auto" w:sz="4" w:space="0"/>
                    <w:right w:val="single" w:color="auto" w:sz="4" w:space="0"/>
                  </w:tcBorders>
                  <w:noWrap w:val="0"/>
                  <w:vAlign w:val="center"/>
                </w:tcPr>
                <w:p w14:paraId="66D2A19C">
                  <w:pPr>
                    <w:keepNext w:val="0"/>
                    <w:keepLines w:val="0"/>
                    <w:suppressLineNumbers w:val="0"/>
                    <w:spacing w:before="0" w:beforeAutospacing="0" w:after="0" w:afterAutospacing="0" w:line="400" w:lineRule="exact"/>
                    <w:ind w:left="0" w:right="0"/>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夜间</w:t>
                  </w:r>
                </w:p>
              </w:tc>
            </w:tr>
            <w:tr w14:paraId="56258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4616" w:type="dxa"/>
                  <w:tcBorders>
                    <w:top w:val="single" w:color="auto" w:sz="4" w:space="0"/>
                    <w:left w:val="single" w:color="auto" w:sz="4" w:space="0"/>
                    <w:bottom w:val="single" w:color="auto" w:sz="4" w:space="0"/>
                    <w:right w:val="single" w:color="auto" w:sz="4" w:space="0"/>
                  </w:tcBorders>
                  <w:noWrap w:val="0"/>
                  <w:vAlign w:val="center"/>
                </w:tcPr>
                <w:p w14:paraId="50B6B3F2">
                  <w:pPr>
                    <w:keepNext w:val="0"/>
                    <w:keepLines w:val="0"/>
                    <w:suppressLineNumbers w:val="0"/>
                    <w:spacing w:before="0" w:beforeAutospacing="0" w:after="0" w:afterAutospacing="0" w:line="400" w:lineRule="exact"/>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70</w:t>
                  </w:r>
                </w:p>
              </w:tc>
              <w:tc>
                <w:tcPr>
                  <w:tcW w:w="3723" w:type="dxa"/>
                  <w:tcBorders>
                    <w:top w:val="single" w:color="auto" w:sz="4" w:space="0"/>
                    <w:left w:val="single" w:color="auto" w:sz="4" w:space="0"/>
                    <w:bottom w:val="single" w:color="auto" w:sz="4" w:space="0"/>
                    <w:right w:val="single" w:color="auto" w:sz="4" w:space="0"/>
                  </w:tcBorders>
                  <w:noWrap w:val="0"/>
                  <w:vAlign w:val="center"/>
                </w:tcPr>
                <w:p w14:paraId="07F96F1D">
                  <w:pPr>
                    <w:keepNext w:val="0"/>
                    <w:keepLines w:val="0"/>
                    <w:suppressLineNumbers w:val="0"/>
                    <w:spacing w:before="0" w:beforeAutospacing="0" w:after="0" w:afterAutospacing="0" w:line="400" w:lineRule="exact"/>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55</w:t>
                  </w:r>
                </w:p>
              </w:tc>
            </w:tr>
          </w:tbl>
          <w:p w14:paraId="0BC6D282">
            <w:pPr>
              <w:spacing w:line="360" w:lineRule="auto"/>
              <w:ind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运营期噪声排放执行《工业企业厂界环境噪声排放标准》（GB12348-2008）中</w:t>
            </w:r>
            <w:r>
              <w:rPr>
                <w:rFonts w:hint="eastAsia" w:cs="Times New Roman"/>
                <w:color w:val="auto"/>
                <w:sz w:val="24"/>
                <w:lang w:val="en-US" w:eastAsia="zh-CN"/>
              </w:rPr>
              <w:t>2</w:t>
            </w:r>
            <w:r>
              <w:rPr>
                <w:rFonts w:hint="default" w:ascii="Times New Roman" w:hAnsi="Times New Roman" w:cs="Times New Roman"/>
                <w:color w:val="auto"/>
                <w:sz w:val="24"/>
              </w:rPr>
              <w:t>类标准。</w:t>
            </w:r>
          </w:p>
          <w:p w14:paraId="1F5925E4">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default" w:ascii="Times New Roman" w:hAnsi="Times New Roman" w:cs="Times New Roman"/>
                <w:b/>
                <w:color w:val="auto"/>
                <w:kern w:val="0"/>
                <w:sz w:val="24"/>
                <w:szCs w:val="24"/>
              </w:rPr>
            </w:pPr>
            <w:r>
              <w:rPr>
                <w:rFonts w:hint="default" w:ascii="Times New Roman" w:hAnsi="Times New Roman" w:cs="Times New Roman"/>
                <w:b/>
                <w:color w:val="auto"/>
                <w:kern w:val="0"/>
                <w:sz w:val="24"/>
                <w:szCs w:val="24"/>
              </w:rPr>
              <w:t>表</w:t>
            </w:r>
            <w:r>
              <w:rPr>
                <w:rFonts w:hint="default" w:ascii="Times New Roman" w:hAnsi="Times New Roman" w:cs="Times New Roman"/>
                <w:b/>
                <w:color w:val="auto"/>
                <w:kern w:val="0"/>
                <w:sz w:val="24"/>
                <w:szCs w:val="24"/>
                <w:lang w:val="en-US" w:eastAsia="zh-CN"/>
              </w:rPr>
              <w:t>3-</w:t>
            </w:r>
            <w:r>
              <w:rPr>
                <w:rFonts w:hint="eastAsia" w:cs="Times New Roman"/>
                <w:b/>
                <w:color w:val="auto"/>
                <w:kern w:val="0"/>
                <w:sz w:val="24"/>
                <w:szCs w:val="24"/>
                <w:lang w:val="en-US" w:eastAsia="zh-CN"/>
              </w:rPr>
              <w:t>9</w:t>
            </w:r>
            <w:r>
              <w:rPr>
                <w:rFonts w:hint="default" w:ascii="Times New Roman" w:hAnsi="Times New Roman" w:cs="Times New Roman"/>
                <w:b/>
                <w:color w:val="auto"/>
                <w:kern w:val="0"/>
                <w:sz w:val="24"/>
                <w:szCs w:val="24"/>
              </w:rPr>
              <w:t xml:space="preserve">  </w:t>
            </w:r>
            <w:r>
              <w:rPr>
                <w:rFonts w:hint="default" w:ascii="Times New Roman" w:hAnsi="Times New Roman" w:cs="Times New Roman"/>
                <w:b/>
                <w:color w:val="auto"/>
                <w:kern w:val="0"/>
                <w:sz w:val="24"/>
                <w:szCs w:val="24"/>
                <w:lang w:eastAsia="zh-CN"/>
              </w:rPr>
              <w:t>工业企业厂界环境噪声排放标准</w:t>
            </w:r>
            <w:r>
              <w:rPr>
                <w:rFonts w:hint="default" w:ascii="Times New Roman" w:hAnsi="Times New Roman" w:cs="Times New Roman"/>
                <w:b/>
                <w:color w:val="auto"/>
                <w:kern w:val="0"/>
                <w:sz w:val="24"/>
                <w:szCs w:val="24"/>
              </w:rPr>
              <w:t xml:space="preserve"> 单位dB（A）</w:t>
            </w:r>
          </w:p>
          <w:tbl>
            <w:tblPr>
              <w:tblStyle w:val="26"/>
              <w:tblpPr w:leftFromText="180" w:rightFromText="180" w:vertAnchor="text" w:horzAnchor="margin" w:tblpXSpec="center" w:tblpY="75"/>
              <w:tblOverlap w:val="never"/>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4060"/>
              <w:gridCol w:w="2244"/>
              <w:gridCol w:w="2013"/>
            </w:tblGrid>
            <w:tr w14:paraId="0D7B5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593" w:hRule="atLeast"/>
                <w:jc w:val="center"/>
              </w:trPr>
              <w:tc>
                <w:tcPr>
                  <w:tcW w:w="4061" w:type="dxa"/>
                  <w:noWrap w:val="0"/>
                  <w:vAlign w:val="center"/>
                </w:tcPr>
                <w:p w14:paraId="47AD704C">
                  <w:pPr>
                    <w:autoSpaceDE w:val="0"/>
                    <w:autoSpaceDN w:val="0"/>
                    <w:adjustRightInd w:val="0"/>
                    <w:jc w:val="center"/>
                    <w:rPr>
                      <w:rFonts w:hint="default" w:ascii="Times New Roman" w:hAnsi="Times New Roman" w:cs="Times New Roman"/>
                      <w:color w:val="auto"/>
                      <w:kern w:val="0"/>
                      <w:sz w:val="21"/>
                      <w:szCs w:val="18"/>
                    </w:rPr>
                  </w:pPr>
                  <w:r>
                    <w:rPr>
                      <w:rFonts w:hint="default" w:ascii="Times New Roman" w:hAnsi="Times New Roman" w:cs="Times New Roman"/>
                      <w:color w:val="auto"/>
                      <w:kern w:val="0"/>
                      <w:sz w:val="21"/>
                      <w:szCs w:val="18"/>
                    </w:rPr>
                    <w:t>标准</w:t>
                  </w:r>
                </w:p>
              </w:tc>
              <w:tc>
                <w:tcPr>
                  <w:tcW w:w="2245" w:type="dxa"/>
                  <w:noWrap w:val="0"/>
                  <w:vAlign w:val="center"/>
                </w:tcPr>
                <w:p w14:paraId="54E8793C">
                  <w:pPr>
                    <w:autoSpaceDE w:val="0"/>
                    <w:autoSpaceDN w:val="0"/>
                    <w:adjustRightInd w:val="0"/>
                    <w:jc w:val="center"/>
                    <w:rPr>
                      <w:rFonts w:hint="default" w:ascii="Times New Roman" w:hAnsi="Times New Roman" w:cs="Times New Roman"/>
                      <w:color w:val="auto"/>
                      <w:kern w:val="0"/>
                      <w:sz w:val="21"/>
                      <w:szCs w:val="18"/>
                    </w:rPr>
                  </w:pPr>
                  <w:r>
                    <w:rPr>
                      <w:rFonts w:hint="default" w:ascii="Times New Roman" w:hAnsi="Times New Roman" w:cs="Times New Roman"/>
                      <w:color w:val="auto"/>
                      <w:kern w:val="0"/>
                      <w:sz w:val="21"/>
                      <w:szCs w:val="18"/>
                    </w:rPr>
                    <w:t>昼间</w:t>
                  </w:r>
                </w:p>
              </w:tc>
              <w:tc>
                <w:tcPr>
                  <w:tcW w:w="2013" w:type="dxa"/>
                  <w:noWrap w:val="0"/>
                  <w:vAlign w:val="center"/>
                </w:tcPr>
                <w:p w14:paraId="5D4058F9">
                  <w:pPr>
                    <w:autoSpaceDE w:val="0"/>
                    <w:autoSpaceDN w:val="0"/>
                    <w:adjustRightInd w:val="0"/>
                    <w:jc w:val="center"/>
                    <w:rPr>
                      <w:rFonts w:hint="default" w:ascii="Times New Roman" w:hAnsi="Times New Roman" w:cs="Times New Roman"/>
                      <w:color w:val="auto"/>
                      <w:kern w:val="0"/>
                      <w:sz w:val="21"/>
                      <w:szCs w:val="18"/>
                    </w:rPr>
                  </w:pPr>
                  <w:r>
                    <w:rPr>
                      <w:rFonts w:hint="default" w:ascii="Times New Roman" w:hAnsi="Times New Roman" w:cs="Times New Roman"/>
                      <w:color w:val="auto"/>
                      <w:kern w:val="0"/>
                      <w:sz w:val="21"/>
                      <w:szCs w:val="18"/>
                    </w:rPr>
                    <w:t>夜间</w:t>
                  </w:r>
                </w:p>
              </w:tc>
            </w:tr>
            <w:tr w14:paraId="5DE74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608" w:hRule="atLeast"/>
                <w:jc w:val="center"/>
              </w:trPr>
              <w:tc>
                <w:tcPr>
                  <w:tcW w:w="4061" w:type="dxa"/>
                  <w:noWrap w:val="0"/>
                  <w:vAlign w:val="center"/>
                </w:tcPr>
                <w:p w14:paraId="0A265892">
                  <w:pPr>
                    <w:autoSpaceDE w:val="0"/>
                    <w:autoSpaceDN w:val="0"/>
                    <w:adjustRightInd w:val="0"/>
                    <w:jc w:val="center"/>
                    <w:rPr>
                      <w:rFonts w:hint="default" w:ascii="Times New Roman" w:hAnsi="Times New Roman" w:cs="Times New Roman"/>
                      <w:color w:val="auto"/>
                      <w:kern w:val="0"/>
                      <w:sz w:val="21"/>
                      <w:szCs w:val="18"/>
                    </w:rPr>
                  </w:pPr>
                  <w:r>
                    <w:rPr>
                      <w:rFonts w:hint="default" w:ascii="Times New Roman" w:hAnsi="Times New Roman" w:cs="Times New Roman"/>
                      <w:color w:val="auto"/>
                      <w:kern w:val="0"/>
                      <w:sz w:val="21"/>
                      <w:szCs w:val="18"/>
                    </w:rPr>
                    <w:t>（GB12348-2008）</w:t>
                  </w:r>
                  <w:r>
                    <w:rPr>
                      <w:rFonts w:hint="eastAsia" w:cs="Times New Roman"/>
                      <w:color w:val="auto"/>
                      <w:kern w:val="0"/>
                      <w:sz w:val="21"/>
                      <w:szCs w:val="18"/>
                      <w:lang w:val="en-US" w:eastAsia="zh-CN"/>
                    </w:rPr>
                    <w:t>2类</w:t>
                  </w:r>
                  <w:r>
                    <w:rPr>
                      <w:rFonts w:hint="default" w:ascii="Times New Roman" w:hAnsi="Times New Roman" w:cs="Times New Roman"/>
                      <w:color w:val="auto"/>
                      <w:kern w:val="0"/>
                      <w:sz w:val="21"/>
                      <w:szCs w:val="18"/>
                    </w:rPr>
                    <w:t>功能区排放标准</w:t>
                  </w:r>
                </w:p>
              </w:tc>
              <w:tc>
                <w:tcPr>
                  <w:tcW w:w="2245" w:type="dxa"/>
                  <w:noWrap w:val="0"/>
                  <w:vAlign w:val="center"/>
                </w:tcPr>
                <w:p w14:paraId="1D29FD79">
                  <w:pPr>
                    <w:autoSpaceDE w:val="0"/>
                    <w:autoSpaceDN w:val="0"/>
                    <w:adjustRightInd w:val="0"/>
                    <w:jc w:val="center"/>
                    <w:rPr>
                      <w:rFonts w:hint="default" w:ascii="Times New Roman" w:hAnsi="Times New Roman" w:eastAsia="宋体" w:cs="Times New Roman"/>
                      <w:color w:val="auto"/>
                      <w:kern w:val="0"/>
                      <w:sz w:val="21"/>
                      <w:szCs w:val="18"/>
                      <w:lang w:val="en-US" w:eastAsia="zh-CN"/>
                    </w:rPr>
                  </w:pPr>
                  <w:r>
                    <w:rPr>
                      <w:rFonts w:hint="default" w:ascii="Times New Roman" w:hAnsi="Times New Roman" w:cs="Times New Roman"/>
                      <w:color w:val="auto"/>
                      <w:kern w:val="0"/>
                      <w:sz w:val="21"/>
                      <w:szCs w:val="18"/>
                      <w:lang w:val="en-US" w:eastAsia="zh-CN"/>
                    </w:rPr>
                    <w:t>6</w:t>
                  </w:r>
                  <w:r>
                    <w:rPr>
                      <w:rFonts w:hint="eastAsia" w:cs="Times New Roman"/>
                      <w:color w:val="auto"/>
                      <w:kern w:val="0"/>
                      <w:sz w:val="21"/>
                      <w:szCs w:val="18"/>
                      <w:lang w:val="en-US" w:eastAsia="zh-CN"/>
                    </w:rPr>
                    <w:t>0</w:t>
                  </w:r>
                </w:p>
              </w:tc>
              <w:tc>
                <w:tcPr>
                  <w:tcW w:w="2013" w:type="dxa"/>
                  <w:noWrap w:val="0"/>
                  <w:vAlign w:val="center"/>
                </w:tcPr>
                <w:p w14:paraId="36A5583A">
                  <w:pPr>
                    <w:autoSpaceDE w:val="0"/>
                    <w:autoSpaceDN w:val="0"/>
                    <w:adjustRightInd w:val="0"/>
                    <w:jc w:val="center"/>
                    <w:rPr>
                      <w:rFonts w:hint="default" w:ascii="Times New Roman" w:hAnsi="Times New Roman" w:eastAsia="宋体" w:cs="Times New Roman"/>
                      <w:color w:val="auto"/>
                      <w:kern w:val="0"/>
                      <w:sz w:val="21"/>
                      <w:szCs w:val="18"/>
                      <w:lang w:val="en-US" w:eastAsia="zh-CN"/>
                    </w:rPr>
                  </w:pPr>
                  <w:r>
                    <w:rPr>
                      <w:rFonts w:hint="default" w:ascii="Times New Roman" w:hAnsi="Times New Roman" w:cs="Times New Roman"/>
                      <w:color w:val="auto"/>
                      <w:kern w:val="0"/>
                      <w:sz w:val="21"/>
                      <w:szCs w:val="18"/>
                      <w:lang w:val="en-US" w:eastAsia="zh-CN"/>
                    </w:rPr>
                    <w:t>5</w:t>
                  </w:r>
                  <w:r>
                    <w:rPr>
                      <w:rFonts w:hint="eastAsia" w:cs="Times New Roman"/>
                      <w:color w:val="auto"/>
                      <w:kern w:val="0"/>
                      <w:sz w:val="21"/>
                      <w:szCs w:val="18"/>
                      <w:lang w:val="en-US" w:eastAsia="zh-CN"/>
                    </w:rPr>
                    <w:t>0</w:t>
                  </w:r>
                </w:p>
              </w:tc>
            </w:tr>
          </w:tbl>
          <w:p w14:paraId="7EBBF1C7">
            <w:pPr>
              <w:spacing w:line="360" w:lineRule="auto"/>
              <w:ind w:firstLine="482" w:firstLineChars="200"/>
              <w:jc w:val="both"/>
              <w:textAlignment w:val="baseline"/>
              <w:rPr>
                <w:rFonts w:hint="default" w:ascii="Times New Roman" w:hAnsi="Times New Roman" w:cs="Times New Roman"/>
                <w:color w:val="auto"/>
                <w:sz w:val="24"/>
              </w:rPr>
            </w:pPr>
            <w:r>
              <w:rPr>
                <w:rFonts w:hint="default" w:ascii="Times New Roman" w:hAnsi="Times New Roman" w:cs="Times New Roman"/>
                <w:b/>
                <w:bCs/>
                <w:color w:val="auto"/>
                <w:sz w:val="24"/>
                <w:lang w:val="en-US" w:eastAsia="zh-CN"/>
              </w:rPr>
              <w:t>4</w:t>
            </w:r>
            <w:r>
              <w:rPr>
                <w:rFonts w:hint="default" w:ascii="Times New Roman" w:hAnsi="Times New Roman" w:cs="Times New Roman"/>
                <w:b/>
                <w:bCs/>
                <w:color w:val="auto"/>
                <w:sz w:val="24"/>
              </w:rPr>
              <w:t>、固体废物排放标准</w:t>
            </w:r>
          </w:p>
          <w:p w14:paraId="363FB201">
            <w:pPr>
              <w:spacing w:line="360" w:lineRule="auto"/>
              <w:ind w:firstLine="480" w:firstLineChars="200"/>
              <w:jc w:val="both"/>
              <w:rPr>
                <w:rFonts w:hint="default" w:ascii="Times New Roman" w:hAnsi="Times New Roman" w:cs="Times New Roman"/>
                <w:color w:val="0000FF"/>
              </w:rPr>
            </w:pPr>
            <w:r>
              <w:rPr>
                <w:rFonts w:hint="default" w:ascii="Times New Roman" w:hAnsi="Times New Roman" w:cs="Times New Roman"/>
                <w:color w:val="auto"/>
              </w:rPr>
              <w:t>一般固废存放处置</w:t>
            </w:r>
            <w:r>
              <w:rPr>
                <w:rFonts w:hint="default" w:ascii="Times New Roman" w:hAnsi="Times New Roman" w:cs="Times New Roman"/>
                <w:color w:val="auto"/>
                <w:lang w:val="en-US" w:eastAsia="zh-CN"/>
              </w:rPr>
              <w:t>参照</w:t>
            </w:r>
            <w:r>
              <w:rPr>
                <w:rFonts w:hint="default" w:ascii="Times New Roman" w:hAnsi="Times New Roman" w:cs="Times New Roman"/>
                <w:color w:val="auto"/>
              </w:rPr>
              <w:t>《一般工业固体废物贮存和填埋污染控制标准》（GB 18599-2020）；危险废物贮存与处置执行《危险废物贮存污染控制标准》（GB18597-2023）。</w:t>
            </w:r>
          </w:p>
        </w:tc>
      </w:tr>
      <w:tr w14:paraId="02814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trHeight w:val="12578" w:hRule="atLeast"/>
          <w:jc w:val="center"/>
        </w:trPr>
        <w:tc>
          <w:tcPr>
            <w:tcW w:w="738" w:type="dxa"/>
            <w:noWrap w:val="0"/>
            <w:vAlign w:val="center"/>
          </w:tcPr>
          <w:p w14:paraId="06858DD8">
            <w:pPr>
              <w:jc w:val="center"/>
              <w:rPr>
                <w:rFonts w:hint="default" w:ascii="Times New Roman" w:hAnsi="Times New Roman" w:cs="Times New Roman"/>
                <w:color w:val="auto"/>
                <w:sz w:val="24"/>
                <w:szCs w:val="22"/>
                <w:vertAlign w:val="baseline"/>
              </w:rPr>
            </w:pPr>
            <w:r>
              <w:rPr>
                <w:rFonts w:hint="default" w:ascii="Times New Roman" w:hAnsi="Times New Roman" w:cs="Times New Roman"/>
                <w:color w:val="auto"/>
                <w:sz w:val="24"/>
                <w:szCs w:val="22"/>
                <w:vertAlign w:val="baseline"/>
              </w:rPr>
              <w:t>总量</w:t>
            </w:r>
          </w:p>
          <w:p w14:paraId="6C56EF0D">
            <w:pPr>
              <w:jc w:val="center"/>
              <w:rPr>
                <w:rFonts w:hint="default" w:ascii="Times New Roman" w:hAnsi="Times New Roman" w:cs="Times New Roman"/>
                <w:color w:val="auto"/>
                <w:sz w:val="24"/>
                <w:szCs w:val="22"/>
                <w:vertAlign w:val="baseline"/>
              </w:rPr>
            </w:pPr>
            <w:r>
              <w:rPr>
                <w:rFonts w:hint="default" w:ascii="Times New Roman" w:hAnsi="Times New Roman" w:cs="Times New Roman"/>
                <w:color w:val="auto"/>
                <w:sz w:val="24"/>
                <w:szCs w:val="22"/>
                <w:vertAlign w:val="baseline"/>
              </w:rPr>
              <w:t>控制</w:t>
            </w:r>
          </w:p>
          <w:p w14:paraId="3A11DDC5">
            <w:pPr>
              <w:jc w:val="center"/>
              <w:rPr>
                <w:rFonts w:hint="default" w:ascii="Times New Roman" w:hAnsi="Times New Roman" w:cs="Times New Roman"/>
                <w:color w:val="0000FF"/>
                <w:sz w:val="24"/>
                <w:szCs w:val="22"/>
                <w:vertAlign w:val="baseline"/>
              </w:rPr>
            </w:pPr>
            <w:r>
              <w:rPr>
                <w:rFonts w:hint="default" w:ascii="Times New Roman" w:hAnsi="Times New Roman" w:cs="Times New Roman"/>
                <w:color w:val="auto"/>
                <w:sz w:val="24"/>
                <w:szCs w:val="22"/>
                <w:vertAlign w:val="baseline"/>
              </w:rPr>
              <w:t>指标</w:t>
            </w:r>
          </w:p>
        </w:tc>
        <w:tc>
          <w:tcPr>
            <w:tcW w:w="8550" w:type="dxa"/>
            <w:noWrap w:val="0"/>
            <w:vAlign w:val="center"/>
          </w:tcPr>
          <w:p w14:paraId="33C1DD24">
            <w:pPr>
              <w:keepNext w:val="0"/>
              <w:keepLines w:val="0"/>
              <w:pageBreakBefore w:val="0"/>
              <w:widowControl w:val="0"/>
              <w:kinsoku/>
              <w:wordWrap/>
              <w:overflowPunct/>
              <w:topLinePunct w:val="0"/>
              <w:autoSpaceDE/>
              <w:autoSpaceDN/>
              <w:bidi w:val="0"/>
              <w:adjustRightInd/>
              <w:snapToGrid/>
              <w:spacing w:line="420" w:lineRule="exact"/>
              <w:ind w:firstLine="480" w:firstLineChars="200"/>
              <w:jc w:val="both"/>
              <w:textAlignment w:val="auto"/>
              <w:rPr>
                <w:rFonts w:hint="default" w:ascii="Times New Roman" w:hAnsi="Times New Roman" w:cs="Times New Roman"/>
                <w:color w:val="auto"/>
                <w:lang w:eastAsia="zh-CN"/>
              </w:rPr>
            </w:pPr>
            <w:r>
              <w:rPr>
                <w:rFonts w:hint="default" w:ascii="Times New Roman" w:hAnsi="Times New Roman" w:cs="Times New Roman"/>
                <w:color w:val="auto"/>
              </w:rPr>
              <w:t>根据《国务院关于印发&lt;</w:t>
            </w:r>
            <w:r>
              <w:rPr>
                <w:rFonts w:hint="eastAsia" w:cs="Times New Roman"/>
                <w:color w:val="auto"/>
                <w:lang w:eastAsia="zh-CN"/>
              </w:rPr>
              <w:t>“</w:t>
            </w:r>
            <w:r>
              <w:rPr>
                <w:rFonts w:hint="default" w:ascii="Times New Roman" w:hAnsi="Times New Roman" w:cs="Times New Roman"/>
                <w:color w:val="auto"/>
              </w:rPr>
              <w:t>十</w:t>
            </w:r>
            <w:r>
              <w:rPr>
                <w:rFonts w:hint="default" w:ascii="Times New Roman" w:hAnsi="Times New Roman" w:cs="Times New Roman"/>
                <w:color w:val="auto"/>
                <w:lang w:val="en-US" w:eastAsia="zh-CN"/>
              </w:rPr>
              <w:t>四</w:t>
            </w:r>
            <w:r>
              <w:rPr>
                <w:rFonts w:hint="default" w:ascii="Times New Roman" w:hAnsi="Times New Roman" w:cs="Times New Roman"/>
                <w:color w:val="auto"/>
              </w:rPr>
              <w:t>五</w:t>
            </w:r>
            <w:r>
              <w:rPr>
                <w:rFonts w:hint="eastAsia" w:cs="Times New Roman"/>
                <w:color w:val="auto"/>
                <w:lang w:eastAsia="zh-CN"/>
              </w:rPr>
              <w:t>”</w:t>
            </w:r>
            <w:r>
              <w:rPr>
                <w:rFonts w:hint="default" w:ascii="Times New Roman" w:hAnsi="Times New Roman" w:cs="Times New Roman"/>
                <w:color w:val="auto"/>
              </w:rPr>
              <w:t>节能减排综合性工作方案&gt;的通知》（国发</w:t>
            </w:r>
            <w:r>
              <w:rPr>
                <w:rFonts w:hint="default" w:ascii="Times New Roman" w:hAnsi="Times New Roman" w:cs="Times New Roman"/>
                <w:color w:val="auto"/>
                <w:lang w:val="en-US" w:eastAsia="zh-CN"/>
              </w:rPr>
              <w:t>〔2021〕33</w:t>
            </w:r>
            <w:r>
              <w:rPr>
                <w:rFonts w:hint="default" w:ascii="Times New Roman" w:hAnsi="Times New Roman" w:cs="Times New Roman"/>
                <w:color w:val="auto"/>
              </w:rPr>
              <w:t>号），目前国家对化学需氧量（COD）、氨氮（NH</w:t>
            </w:r>
            <w:r>
              <w:rPr>
                <w:rFonts w:hint="default" w:ascii="Times New Roman" w:hAnsi="Times New Roman" w:cs="Times New Roman"/>
                <w:color w:val="auto"/>
                <w:vertAlign w:val="subscript"/>
              </w:rPr>
              <w:t>3</w:t>
            </w:r>
            <w:r>
              <w:rPr>
                <w:rFonts w:hint="default" w:ascii="Times New Roman" w:hAnsi="Times New Roman" w:cs="Times New Roman"/>
                <w:color w:val="auto"/>
              </w:rPr>
              <w:t>-N）、二氧化硫（SO</w:t>
            </w:r>
            <w:r>
              <w:rPr>
                <w:rFonts w:hint="default" w:ascii="Times New Roman" w:hAnsi="Times New Roman" w:cs="Times New Roman"/>
                <w:color w:val="auto"/>
                <w:vertAlign w:val="subscript"/>
              </w:rPr>
              <w:t>2</w:t>
            </w:r>
            <w:r>
              <w:rPr>
                <w:rFonts w:hint="default" w:ascii="Times New Roman" w:hAnsi="Times New Roman" w:cs="Times New Roman"/>
                <w:color w:val="auto"/>
              </w:rPr>
              <w:t>）、氮氧化物（NOx）、烟粉尘、有机废气（VOCs）</w:t>
            </w:r>
            <w:r>
              <w:rPr>
                <w:rFonts w:hint="eastAsia" w:cs="Times New Roman"/>
                <w:color w:val="auto"/>
                <w:lang w:eastAsia="zh-CN"/>
              </w:rPr>
              <w:t>等</w:t>
            </w:r>
            <w:r>
              <w:rPr>
                <w:rFonts w:hint="default" w:ascii="Times New Roman" w:hAnsi="Times New Roman" w:cs="Times New Roman"/>
                <w:color w:val="auto"/>
              </w:rPr>
              <w:t>主要污染物实行排放总量控制计划管理</w:t>
            </w:r>
            <w:r>
              <w:rPr>
                <w:rFonts w:hint="default" w:ascii="Times New Roman" w:hAnsi="Times New Roman" w:cs="Times New Roman"/>
                <w:color w:val="auto"/>
                <w:lang w:eastAsia="zh-CN"/>
              </w:rPr>
              <w:t>。</w:t>
            </w:r>
          </w:p>
          <w:p w14:paraId="1260A235">
            <w:pPr>
              <w:keepNext w:val="0"/>
              <w:keepLines w:val="0"/>
              <w:pageBreakBefore w:val="0"/>
              <w:widowControl w:val="0"/>
              <w:kinsoku/>
              <w:wordWrap/>
              <w:overflowPunct/>
              <w:topLinePunct w:val="0"/>
              <w:autoSpaceDE/>
              <w:autoSpaceDN/>
              <w:bidi w:val="0"/>
              <w:adjustRightInd/>
              <w:snapToGrid/>
              <w:spacing w:line="420" w:lineRule="exact"/>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（1）废气污染物</w:t>
            </w:r>
          </w:p>
          <w:p w14:paraId="1ACE76EE">
            <w:pPr>
              <w:keepNext w:val="0"/>
              <w:keepLines w:val="0"/>
              <w:pageBreakBefore w:val="0"/>
              <w:widowControl w:val="0"/>
              <w:kinsoku/>
              <w:wordWrap/>
              <w:overflowPunct/>
              <w:topLinePunct w:val="0"/>
              <w:autoSpaceDE/>
              <w:autoSpaceDN/>
              <w:bidi w:val="0"/>
              <w:adjustRightInd/>
              <w:snapToGrid/>
              <w:spacing w:line="420" w:lineRule="exact"/>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项目废气总量控制因子为VOCs；本次</w:t>
            </w:r>
            <w:r>
              <w:rPr>
                <w:rFonts w:hint="eastAsia" w:eastAsia="宋体" w:cs="Times New Roman"/>
                <w:b w:val="0"/>
                <w:bCs w:val="0"/>
                <w:color w:val="auto"/>
                <w:sz w:val="24"/>
                <w:szCs w:val="24"/>
                <w:lang w:val="en-US" w:eastAsia="zh-CN"/>
              </w:rPr>
              <w:t>新增</w:t>
            </w:r>
            <w:r>
              <w:rPr>
                <w:rFonts w:hint="default" w:ascii="Times New Roman" w:hAnsi="Times New Roman" w:eastAsia="宋体" w:cs="Times New Roman"/>
                <w:b w:val="0"/>
                <w:bCs w:val="0"/>
                <w:color w:val="auto"/>
                <w:sz w:val="24"/>
                <w:szCs w:val="24"/>
                <w:lang w:val="en-US" w:eastAsia="zh-CN"/>
              </w:rPr>
              <w:t>VOCs有组织排放量</w:t>
            </w:r>
            <w:r>
              <w:rPr>
                <w:rFonts w:hint="eastAsia" w:cs="Times New Roman"/>
                <w:b w:val="0"/>
                <w:bCs w:val="0"/>
                <w:color w:val="auto"/>
                <w:sz w:val="24"/>
                <w:szCs w:val="24"/>
                <w:lang w:val="en-US" w:eastAsia="zh-CN"/>
              </w:rPr>
              <w:t>0.405</w:t>
            </w:r>
            <w:r>
              <w:rPr>
                <w:rFonts w:hint="default" w:ascii="Times New Roman" w:hAnsi="Times New Roman" w:eastAsia="宋体" w:cs="Times New Roman"/>
                <w:b w:val="0"/>
                <w:bCs w:val="0"/>
                <w:color w:val="auto"/>
                <w:sz w:val="24"/>
                <w:szCs w:val="24"/>
                <w:lang w:val="en-US" w:eastAsia="zh-CN"/>
              </w:rPr>
              <w:t>t/a</w:t>
            </w:r>
            <w:r>
              <w:rPr>
                <w:rFonts w:hint="eastAsia" w:eastAsia="宋体" w:cs="Times New Roman"/>
                <w:b w:val="0"/>
                <w:bCs w:val="0"/>
                <w:color w:val="auto"/>
                <w:sz w:val="24"/>
                <w:szCs w:val="24"/>
                <w:lang w:val="en-US" w:eastAsia="zh-CN"/>
              </w:rPr>
              <w:t>，需申请总量</w:t>
            </w:r>
            <w:r>
              <w:rPr>
                <w:rFonts w:hint="default" w:ascii="Times New Roman" w:hAnsi="Times New Roman" w:eastAsia="宋体" w:cs="Times New Roman"/>
                <w:b w:val="0"/>
                <w:bCs w:val="0"/>
                <w:color w:val="auto"/>
                <w:sz w:val="24"/>
                <w:szCs w:val="24"/>
                <w:lang w:val="en-US" w:eastAsia="zh-CN"/>
              </w:rPr>
              <w:t>。</w:t>
            </w:r>
          </w:p>
          <w:p w14:paraId="166D15DA">
            <w:pPr>
              <w:keepNext w:val="0"/>
              <w:keepLines w:val="0"/>
              <w:pageBreakBefore w:val="0"/>
              <w:widowControl w:val="0"/>
              <w:kinsoku/>
              <w:wordWrap/>
              <w:overflowPunct/>
              <w:topLinePunct w:val="0"/>
              <w:autoSpaceDE/>
              <w:autoSpaceDN/>
              <w:bidi w:val="0"/>
              <w:adjustRightInd/>
              <w:snapToGrid/>
              <w:spacing w:line="420" w:lineRule="exact"/>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（2）废水污染物总量</w:t>
            </w:r>
          </w:p>
          <w:p w14:paraId="5A05FA85">
            <w:pPr>
              <w:keepNext w:val="0"/>
              <w:keepLines w:val="0"/>
              <w:pageBreakBefore w:val="0"/>
              <w:widowControl w:val="0"/>
              <w:kinsoku/>
              <w:wordWrap/>
              <w:overflowPunct/>
              <w:topLinePunct w:val="0"/>
              <w:autoSpaceDE/>
              <w:autoSpaceDN/>
              <w:bidi w:val="0"/>
              <w:adjustRightInd/>
              <w:snapToGrid/>
              <w:spacing w:line="420" w:lineRule="exact"/>
              <w:ind w:firstLine="480" w:firstLineChars="200"/>
              <w:jc w:val="both"/>
              <w:textAlignment w:val="auto"/>
              <w:rPr>
                <w:rFonts w:hint="default" w:ascii="Times New Roman" w:hAnsi="Times New Roman" w:cs="Times New Roman"/>
                <w:color w:val="0000FF"/>
                <w:lang w:val="en-US" w:eastAsia="zh-CN"/>
              </w:rPr>
            </w:pPr>
            <w:r>
              <w:rPr>
                <w:rFonts w:hint="default" w:ascii="Times New Roman" w:hAnsi="Times New Roman" w:eastAsia="宋体" w:cs="Times New Roman"/>
                <w:b w:val="0"/>
                <w:bCs w:val="0"/>
                <w:color w:val="auto"/>
                <w:sz w:val="24"/>
                <w:szCs w:val="24"/>
                <w:lang w:val="en-US" w:eastAsia="zh-CN"/>
              </w:rPr>
              <w:t>本</w:t>
            </w:r>
            <w:r>
              <w:rPr>
                <w:rFonts w:hint="eastAsia" w:cs="Times New Roman"/>
                <w:b w:val="0"/>
                <w:bCs w:val="0"/>
                <w:color w:val="auto"/>
                <w:sz w:val="24"/>
                <w:szCs w:val="24"/>
                <w:lang w:val="en-US" w:eastAsia="zh-CN"/>
              </w:rPr>
              <w:t>项目</w:t>
            </w:r>
            <w:r>
              <w:rPr>
                <w:rFonts w:hint="default" w:ascii="Times New Roman" w:hAnsi="Times New Roman" w:eastAsia="宋体" w:cs="Times New Roman"/>
                <w:b w:val="0"/>
                <w:bCs w:val="0"/>
                <w:color w:val="auto"/>
                <w:sz w:val="24"/>
                <w:szCs w:val="24"/>
                <w:lang w:val="en-US" w:eastAsia="zh-CN"/>
              </w:rPr>
              <w:t>生活污水经厂区隔油池+化粪池预处理后定期清掏，用于周边肥田，不外排；冷却水循环使用，不外排</w:t>
            </w:r>
            <w:r>
              <w:rPr>
                <w:rFonts w:hint="eastAsia" w:cs="Times New Roman"/>
                <w:b w:val="0"/>
                <w:bCs w:val="0"/>
                <w:color w:val="auto"/>
                <w:sz w:val="24"/>
                <w:szCs w:val="24"/>
                <w:lang w:val="en-US" w:eastAsia="zh-CN"/>
              </w:rPr>
              <w:t>，故本项目废水污染物无需申请总量。</w:t>
            </w:r>
          </w:p>
        </w:tc>
      </w:tr>
    </w:tbl>
    <w:p w14:paraId="68356BEE">
      <w:pPr>
        <w:rPr>
          <w:rFonts w:hint="eastAsia" w:ascii="宋体" w:hAnsi="宋体" w:eastAsia="宋体" w:cs="宋体"/>
          <w:sz w:val="32"/>
          <w:szCs w:val="32"/>
        </w:rPr>
      </w:pPr>
      <w:bookmarkStart w:id="14" w:name="_Toc29187"/>
      <w:r>
        <w:rPr>
          <w:rFonts w:hint="eastAsia" w:ascii="宋体" w:hAnsi="宋体" w:eastAsia="宋体" w:cs="宋体"/>
          <w:sz w:val="32"/>
          <w:szCs w:val="32"/>
        </w:rPr>
        <w:br w:type="page"/>
      </w:r>
    </w:p>
    <w:p w14:paraId="0859EF13">
      <w:pPr>
        <w:pStyle w:val="2"/>
        <w:bidi w:val="0"/>
        <w:rPr>
          <w:rFonts w:hint="eastAsia" w:ascii="宋体" w:hAnsi="宋体" w:eastAsia="宋体" w:cs="宋体"/>
          <w:sz w:val="32"/>
          <w:szCs w:val="32"/>
        </w:rPr>
      </w:pPr>
      <w:r>
        <w:rPr>
          <w:rFonts w:hint="eastAsia" w:ascii="宋体" w:hAnsi="宋体" w:eastAsia="宋体" w:cs="宋体"/>
          <w:sz w:val="32"/>
          <w:szCs w:val="32"/>
        </w:rPr>
        <w:t>四、主要环境影响和保护措施</w:t>
      </w:r>
      <w:bookmarkEnd w:id="14"/>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4"/>
        <w:gridCol w:w="8514"/>
      </w:tblGrid>
      <w:tr w14:paraId="78CF0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4572ECD2">
            <w:pPr>
              <w:pStyle w:val="23"/>
              <w:adjustRightInd w:val="0"/>
              <w:snapToGrid w:val="0"/>
              <w:spacing w:before="0" w:beforeAutospacing="0" w:after="0" w:afterAutospacing="0"/>
              <w:jc w:val="center"/>
              <w:rPr>
                <w:rFonts w:hint="eastAsia" w:cs="宋体"/>
                <w:color w:val="auto"/>
                <w:kern w:val="2"/>
                <w:sz w:val="24"/>
                <w:szCs w:val="24"/>
              </w:rPr>
            </w:pPr>
            <w:r>
              <w:rPr>
                <w:rFonts w:hint="eastAsia" w:cs="宋体"/>
                <w:color w:val="auto"/>
                <w:kern w:val="2"/>
                <w:sz w:val="24"/>
                <w:szCs w:val="24"/>
              </w:rPr>
              <w:t>施工</w:t>
            </w:r>
          </w:p>
          <w:p w14:paraId="6A3F8BF2">
            <w:pPr>
              <w:pStyle w:val="23"/>
              <w:adjustRightInd w:val="0"/>
              <w:snapToGrid w:val="0"/>
              <w:spacing w:before="0" w:beforeAutospacing="0" w:after="0" w:afterAutospacing="0"/>
              <w:jc w:val="center"/>
              <w:rPr>
                <w:rFonts w:hint="eastAsia" w:cs="宋体"/>
                <w:color w:val="auto"/>
                <w:kern w:val="2"/>
                <w:sz w:val="24"/>
                <w:szCs w:val="24"/>
              </w:rPr>
            </w:pPr>
            <w:r>
              <w:rPr>
                <w:rFonts w:hint="eastAsia" w:cs="宋体"/>
                <w:color w:val="auto"/>
                <w:kern w:val="2"/>
                <w:sz w:val="24"/>
                <w:szCs w:val="24"/>
              </w:rPr>
              <w:t>期环</w:t>
            </w:r>
          </w:p>
          <w:p w14:paraId="11C6A054">
            <w:pPr>
              <w:pStyle w:val="23"/>
              <w:adjustRightInd w:val="0"/>
              <w:snapToGrid w:val="0"/>
              <w:spacing w:before="0" w:beforeAutospacing="0" w:after="0" w:afterAutospacing="0"/>
              <w:jc w:val="center"/>
              <w:rPr>
                <w:rFonts w:hint="eastAsia" w:cs="宋体"/>
                <w:color w:val="auto"/>
                <w:kern w:val="2"/>
                <w:sz w:val="24"/>
                <w:szCs w:val="24"/>
              </w:rPr>
            </w:pPr>
            <w:r>
              <w:rPr>
                <w:rFonts w:hint="eastAsia" w:cs="宋体"/>
                <w:color w:val="auto"/>
                <w:kern w:val="2"/>
                <w:sz w:val="24"/>
                <w:szCs w:val="24"/>
              </w:rPr>
              <w:t>境保</w:t>
            </w:r>
          </w:p>
          <w:p w14:paraId="585A7EAB">
            <w:pPr>
              <w:pStyle w:val="23"/>
              <w:adjustRightInd w:val="0"/>
              <w:snapToGrid w:val="0"/>
              <w:spacing w:before="0" w:beforeAutospacing="0" w:after="0" w:afterAutospacing="0"/>
              <w:jc w:val="center"/>
              <w:rPr>
                <w:rFonts w:hint="eastAsia" w:cs="宋体"/>
                <w:color w:val="auto"/>
                <w:kern w:val="2"/>
                <w:sz w:val="24"/>
                <w:szCs w:val="24"/>
              </w:rPr>
            </w:pPr>
            <w:r>
              <w:rPr>
                <w:rFonts w:hint="eastAsia" w:cs="宋体"/>
                <w:color w:val="auto"/>
                <w:kern w:val="2"/>
                <w:sz w:val="24"/>
                <w:szCs w:val="24"/>
              </w:rPr>
              <w:t>护措</w:t>
            </w:r>
          </w:p>
          <w:p w14:paraId="6B8AA505">
            <w:pPr>
              <w:jc w:val="center"/>
              <w:rPr>
                <w:rFonts w:hint="default"/>
                <w:vertAlign w:val="baseline"/>
              </w:rPr>
            </w:pPr>
            <w:r>
              <w:rPr>
                <w:rFonts w:hint="eastAsia" w:cs="宋体"/>
                <w:color w:val="auto"/>
                <w:kern w:val="2"/>
                <w:sz w:val="24"/>
                <w:szCs w:val="24"/>
              </w:rPr>
              <w:t>施</w:t>
            </w:r>
          </w:p>
        </w:tc>
        <w:tc>
          <w:tcPr>
            <w:tcW w:w="8514" w:type="dxa"/>
          </w:tcPr>
          <w:p w14:paraId="4ED27BF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 w:val="0"/>
                <w:bCs w:val="0"/>
                <w:color w:val="auto"/>
                <w:sz w:val="24"/>
                <w:lang w:val="en-US" w:eastAsia="zh-CN"/>
              </w:rPr>
            </w:pPr>
            <w:r>
              <w:rPr>
                <w:rFonts w:hint="eastAsia" w:cs="Times New Roman"/>
                <w:b w:val="0"/>
                <w:bCs w:val="0"/>
                <w:color w:val="auto"/>
                <w:sz w:val="24"/>
                <w:lang w:val="en-US" w:eastAsia="zh-CN"/>
              </w:rPr>
              <w:t>本项目为新建项目，位于霍山县诸佛庵镇狮山村穆家畈组，通过不动产权证书【皖（2023）霍山县不动产权第0629628号】，本项目用地性质为工业用地，根据现场勘查，厂区现状内生产车间为空置厂房，仅需新建一栋成品仓库。其施工期环境影响分析如下。</w:t>
            </w:r>
          </w:p>
          <w:p w14:paraId="74C21938">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ascii="Times New Roman" w:hAnsi="Times New Roman" w:cs="Times New Roman"/>
                <w:color w:val="auto"/>
                <w:sz w:val="24"/>
              </w:rPr>
            </w:pPr>
            <w:r>
              <w:rPr>
                <w:rFonts w:hint="eastAsia" w:ascii="Times New Roman" w:hAnsi="Times New Roman" w:cs="Times New Roman"/>
                <w:b/>
                <w:bCs/>
                <w:color w:val="auto"/>
                <w:sz w:val="24"/>
                <w:lang w:val="en-US" w:eastAsia="zh-CN"/>
              </w:rPr>
              <w:t>1、</w:t>
            </w:r>
            <w:r>
              <w:rPr>
                <w:rFonts w:hint="eastAsia" w:ascii="Times New Roman" w:hAnsi="Times New Roman" w:cs="Times New Roman"/>
                <w:b/>
                <w:bCs/>
                <w:color w:val="auto"/>
                <w:sz w:val="24"/>
              </w:rPr>
              <w:t>施工期大气环境影响及保护措施</w:t>
            </w:r>
          </w:p>
          <w:p w14:paraId="5817FB2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color w:val="auto"/>
                <w:sz w:val="24"/>
              </w:rPr>
            </w:pPr>
            <w:r>
              <w:rPr>
                <w:rFonts w:hint="eastAsia" w:ascii="Times New Roman" w:hAnsi="Times New Roman" w:cs="Times New Roman"/>
                <w:color w:val="auto"/>
                <w:sz w:val="24"/>
              </w:rPr>
              <w:t>施工期的大气污染主要为建筑材料运输、卸载中的扬尘，临时物料堆场产生的风蚀扬尘和水泥粉尘等。但影响程度及范围有限，而且是短期的局部影响。</w:t>
            </w:r>
          </w:p>
          <w:p w14:paraId="24A8BB8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color w:val="auto"/>
                <w:sz w:val="24"/>
              </w:rPr>
            </w:pPr>
            <w:r>
              <w:rPr>
                <w:rFonts w:hint="eastAsia" w:ascii="Times New Roman" w:hAnsi="Times New Roman" w:cs="Times New Roman"/>
                <w:color w:val="auto"/>
                <w:sz w:val="24"/>
              </w:rPr>
              <w:t>为减轻施工扬尘对区域环境空气质量的不利影响，在初期“三通一平”后，即应根据设计方案对规划中的公共绿地进行合理绿化，以减少表土的裸露。结合《防治城市扬尘污染技术规范》、《安徽省大气污染防治行动计划实施方案》和《大气污染防治行动计划》（国发[2013]37号）</w:t>
            </w:r>
            <w:r>
              <w:rPr>
                <w:rFonts w:hint="eastAsia" w:ascii="Times New Roman" w:hAnsi="Times New Roman" w:cs="Times New Roman"/>
                <w:color w:val="auto"/>
                <w:sz w:val="24"/>
                <w:lang w:eastAsia="zh-CN"/>
              </w:rPr>
              <w:t>中相关要求</w:t>
            </w:r>
            <w:r>
              <w:rPr>
                <w:rFonts w:hint="eastAsia" w:ascii="Times New Roman" w:hAnsi="Times New Roman" w:cs="Times New Roman"/>
                <w:color w:val="auto"/>
                <w:sz w:val="24"/>
              </w:rPr>
              <w:t>，项目施工期扬尘污染防治措施如下：</w:t>
            </w:r>
          </w:p>
          <w:p w14:paraId="56D197C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color w:val="auto"/>
                <w:sz w:val="24"/>
              </w:rPr>
            </w:pPr>
            <w:r>
              <w:rPr>
                <w:rFonts w:hint="eastAsia" w:cs="Times New Roman"/>
                <w:color w:val="auto"/>
                <w:sz w:val="24"/>
                <w:lang w:eastAsia="zh-CN"/>
              </w:rPr>
              <w:t>（</w:t>
            </w:r>
            <w:r>
              <w:rPr>
                <w:rFonts w:hint="eastAsia" w:cs="Times New Roman"/>
                <w:color w:val="auto"/>
                <w:sz w:val="24"/>
                <w:lang w:val="en-US" w:eastAsia="zh-CN"/>
              </w:rPr>
              <w:t>1</w:t>
            </w:r>
            <w:r>
              <w:rPr>
                <w:rFonts w:hint="eastAsia" w:cs="Times New Roman"/>
                <w:color w:val="auto"/>
                <w:sz w:val="24"/>
                <w:lang w:eastAsia="zh-CN"/>
              </w:rPr>
              <w:t>）</w:t>
            </w:r>
            <w:r>
              <w:rPr>
                <w:rFonts w:hint="eastAsia" w:ascii="Times New Roman" w:hAnsi="Times New Roman" w:cs="Times New Roman"/>
                <w:color w:val="auto"/>
                <w:sz w:val="24"/>
              </w:rPr>
              <w:t>施工工地周边100%围挡，围挡高度应在2.5m以上；</w:t>
            </w:r>
          </w:p>
          <w:p w14:paraId="49C61E5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color w:val="auto"/>
                <w:sz w:val="24"/>
              </w:rPr>
            </w:pPr>
            <w:r>
              <w:rPr>
                <w:rFonts w:hint="eastAsia" w:cs="Times New Roman"/>
                <w:color w:val="auto"/>
                <w:sz w:val="24"/>
                <w:lang w:eastAsia="zh-CN"/>
              </w:rPr>
              <w:t>（</w:t>
            </w:r>
            <w:r>
              <w:rPr>
                <w:rFonts w:hint="eastAsia" w:cs="Times New Roman"/>
                <w:color w:val="auto"/>
                <w:sz w:val="24"/>
                <w:lang w:val="en-US" w:eastAsia="zh-CN"/>
              </w:rPr>
              <w:t>2</w:t>
            </w:r>
            <w:r>
              <w:rPr>
                <w:rFonts w:hint="eastAsia" w:cs="Times New Roman"/>
                <w:color w:val="auto"/>
                <w:sz w:val="24"/>
                <w:lang w:eastAsia="zh-CN"/>
              </w:rPr>
              <w:t>）</w:t>
            </w:r>
            <w:r>
              <w:rPr>
                <w:rFonts w:hint="eastAsia" w:ascii="Times New Roman" w:hAnsi="Times New Roman" w:cs="Times New Roman"/>
                <w:color w:val="auto"/>
                <w:sz w:val="24"/>
              </w:rPr>
              <w:t>施工场地出入车辆100%冲洗，场地内运输通道应及时清洗、冲洗，以减少汽车运输扬尘；运输车辆进入施工场地应限速行驶，以减少产尘量；并对施工现场外围也应该加强管理，采取各种措施，防止在运输途中发生材料撒漏等现象。</w:t>
            </w:r>
          </w:p>
          <w:p w14:paraId="4271576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color w:val="auto"/>
                <w:sz w:val="24"/>
              </w:rPr>
            </w:pPr>
            <w:r>
              <w:rPr>
                <w:rFonts w:hint="eastAsia" w:cs="Times New Roman"/>
                <w:color w:val="auto"/>
                <w:sz w:val="24"/>
                <w:lang w:eastAsia="zh-CN"/>
              </w:rPr>
              <w:t>（</w:t>
            </w:r>
            <w:r>
              <w:rPr>
                <w:rFonts w:hint="eastAsia" w:cs="Times New Roman"/>
                <w:color w:val="auto"/>
                <w:sz w:val="24"/>
                <w:lang w:val="en-US" w:eastAsia="zh-CN"/>
              </w:rPr>
              <w:t>3</w:t>
            </w:r>
            <w:r>
              <w:rPr>
                <w:rFonts w:hint="eastAsia" w:cs="Times New Roman"/>
                <w:color w:val="auto"/>
                <w:sz w:val="24"/>
                <w:lang w:eastAsia="zh-CN"/>
              </w:rPr>
              <w:t>）</w:t>
            </w:r>
            <w:r>
              <w:rPr>
                <w:rFonts w:hint="eastAsia" w:ascii="Times New Roman" w:hAnsi="Times New Roman" w:cs="Times New Roman"/>
                <w:color w:val="auto"/>
                <w:sz w:val="24"/>
              </w:rPr>
              <w:t>施工场地应每天定时洒水，以防止浮尘颗粒，在干旱和大风天气还应适当增加洒水量及洒水次数，确保在建工地100%湿法作业；</w:t>
            </w:r>
          </w:p>
          <w:p w14:paraId="0474F11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color w:val="auto"/>
                <w:sz w:val="24"/>
              </w:rPr>
            </w:pPr>
            <w:r>
              <w:rPr>
                <w:rFonts w:hint="eastAsia" w:cs="Times New Roman"/>
                <w:color w:val="auto"/>
                <w:sz w:val="24"/>
                <w:lang w:eastAsia="zh-CN"/>
              </w:rPr>
              <w:t>（</w:t>
            </w:r>
            <w:r>
              <w:rPr>
                <w:rFonts w:hint="eastAsia" w:cs="Times New Roman"/>
                <w:color w:val="auto"/>
                <w:sz w:val="24"/>
                <w:lang w:val="en-US" w:eastAsia="zh-CN"/>
              </w:rPr>
              <w:t>4</w:t>
            </w:r>
            <w:r>
              <w:rPr>
                <w:rFonts w:hint="eastAsia" w:cs="Times New Roman"/>
                <w:color w:val="auto"/>
                <w:sz w:val="24"/>
                <w:lang w:eastAsia="zh-CN"/>
              </w:rPr>
              <w:t>）</w:t>
            </w:r>
            <w:r>
              <w:rPr>
                <w:rFonts w:hint="eastAsia" w:ascii="Times New Roman" w:hAnsi="Times New Roman" w:cs="Times New Roman"/>
                <w:color w:val="auto"/>
                <w:sz w:val="24"/>
              </w:rPr>
              <w:t>渣土车辆运输保证100%密闭输送；</w:t>
            </w:r>
          </w:p>
          <w:p w14:paraId="52D484D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color w:val="auto"/>
                <w:sz w:val="24"/>
              </w:rPr>
            </w:pPr>
            <w:r>
              <w:rPr>
                <w:rFonts w:hint="eastAsia" w:cs="Times New Roman"/>
                <w:color w:val="auto"/>
                <w:sz w:val="24"/>
                <w:lang w:eastAsia="zh-CN"/>
              </w:rPr>
              <w:t>（</w:t>
            </w:r>
            <w:r>
              <w:rPr>
                <w:rFonts w:hint="eastAsia" w:cs="Times New Roman"/>
                <w:color w:val="auto"/>
                <w:sz w:val="24"/>
                <w:lang w:val="en-US" w:eastAsia="zh-CN"/>
              </w:rPr>
              <w:t>5</w:t>
            </w:r>
            <w:r>
              <w:rPr>
                <w:rFonts w:hint="eastAsia" w:cs="Times New Roman"/>
                <w:color w:val="auto"/>
                <w:sz w:val="24"/>
                <w:lang w:eastAsia="zh-CN"/>
              </w:rPr>
              <w:t>）</w:t>
            </w:r>
            <w:r>
              <w:rPr>
                <w:rFonts w:hint="eastAsia" w:ascii="Times New Roman" w:hAnsi="Times New Roman" w:cs="Times New Roman"/>
                <w:color w:val="auto"/>
                <w:sz w:val="24"/>
              </w:rPr>
              <w:t>施工现场地面100%硬化；</w:t>
            </w:r>
          </w:p>
          <w:p w14:paraId="0F434A7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color w:val="auto"/>
                <w:sz w:val="24"/>
              </w:rPr>
            </w:pPr>
            <w:r>
              <w:rPr>
                <w:rFonts w:hint="eastAsia" w:cs="Times New Roman"/>
                <w:color w:val="auto"/>
                <w:sz w:val="24"/>
                <w:lang w:eastAsia="zh-CN"/>
              </w:rPr>
              <w:t>（</w:t>
            </w:r>
            <w:r>
              <w:rPr>
                <w:rFonts w:hint="eastAsia" w:cs="Times New Roman"/>
                <w:color w:val="auto"/>
                <w:sz w:val="24"/>
                <w:lang w:val="en-US" w:eastAsia="zh-CN"/>
              </w:rPr>
              <w:t>6</w:t>
            </w:r>
            <w:r>
              <w:rPr>
                <w:rFonts w:hint="eastAsia" w:cs="Times New Roman"/>
                <w:color w:val="auto"/>
                <w:sz w:val="24"/>
                <w:lang w:eastAsia="zh-CN"/>
              </w:rPr>
              <w:t>）</w:t>
            </w:r>
            <w:r>
              <w:rPr>
                <w:rFonts w:hint="eastAsia" w:ascii="Times New Roman" w:hAnsi="Times New Roman" w:cs="Times New Roman"/>
                <w:color w:val="auto"/>
                <w:sz w:val="24"/>
              </w:rPr>
              <w:t>施工现场物料堆放须100%覆盖。</w:t>
            </w:r>
          </w:p>
          <w:p w14:paraId="5FEEB05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cs="Times New Roman"/>
                <w:color w:val="auto"/>
                <w:sz w:val="24"/>
              </w:rPr>
            </w:pPr>
            <w:r>
              <w:rPr>
                <w:rFonts w:hint="eastAsia" w:ascii="Times New Roman" w:hAnsi="Times New Roman" w:cs="Times New Roman"/>
                <w:color w:val="auto"/>
                <w:sz w:val="24"/>
              </w:rPr>
              <w:t>根据《国务院关于印发打赢蓝天保卫战三年行动计划的通知》（国发〔2018〕22号）中：五、优化调整用地结构，推进面源污染治理；第二十条：加强扬尘综合治理。严格施工扬尘监管。因地制宜稳步发展装配式建筑。将施工工地扬尘污染防治纳入文明施工管理范畴，建立扬尘控制责任制度</w:t>
            </w:r>
            <w:r>
              <w:rPr>
                <w:rFonts w:hint="eastAsia" w:cs="Times New Roman"/>
                <w:color w:val="auto"/>
                <w:sz w:val="24"/>
                <w:lang w:eastAsia="zh-CN"/>
              </w:rPr>
              <w:t>，将</w:t>
            </w:r>
            <w:r>
              <w:rPr>
                <w:rFonts w:hint="eastAsia" w:ascii="Times New Roman" w:hAnsi="Times New Roman" w:cs="Times New Roman"/>
                <w:color w:val="auto"/>
                <w:sz w:val="24"/>
              </w:rPr>
              <w:t>扬尘治理费用列入工程造价。重点区域建筑施工工地要做到工地周边围挡、物料堆放覆盖、土方开挖湿法作业、路面硬化、出入车辆冲洗、渣土车辆密闭</w:t>
            </w:r>
            <w:r>
              <w:rPr>
                <w:rFonts w:ascii="Times New Roman" w:hAnsi="Times New Roman" w:cs="Times New Roman"/>
                <w:color w:val="auto"/>
                <w:sz w:val="24"/>
              </w:rPr>
              <w:t>。</w:t>
            </w:r>
          </w:p>
          <w:p w14:paraId="38F7862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color w:val="auto"/>
                <w:sz w:val="24"/>
                <w:lang w:eastAsia="zh-CN"/>
              </w:rPr>
            </w:pPr>
            <w:r>
              <w:rPr>
                <w:rFonts w:hint="eastAsia" w:ascii="Times New Roman" w:hAnsi="Times New Roman" w:cs="Times New Roman"/>
                <w:color w:val="auto"/>
                <w:sz w:val="24"/>
                <w:lang w:eastAsia="zh-CN"/>
              </w:rPr>
              <w:t>运输“六个百分之百”，安装在线监测和视频监控设备，并与当地有关主管部门联网。将扬尘管理工作不到位的不良信息纳入建筑市场信用管理体系，情节严重的，列入建筑市场主体“黑名单”。严格渣土运输车辆规范化管理，渣土运输</w:t>
            </w:r>
            <w:r>
              <w:rPr>
                <w:rFonts w:hint="eastAsia" w:cs="Times New Roman"/>
                <w:color w:val="auto"/>
                <w:sz w:val="24"/>
                <w:lang w:eastAsia="zh-CN"/>
              </w:rPr>
              <w:t>车辆</w:t>
            </w:r>
            <w:r>
              <w:rPr>
                <w:rFonts w:hint="eastAsia" w:ascii="Times New Roman" w:hAnsi="Times New Roman" w:cs="Times New Roman"/>
                <w:color w:val="auto"/>
                <w:sz w:val="24"/>
                <w:lang w:eastAsia="zh-CN"/>
              </w:rPr>
              <w:t>要密闭。</w:t>
            </w:r>
          </w:p>
          <w:p w14:paraId="5D0A947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color w:val="auto"/>
                <w:sz w:val="24"/>
                <w:szCs w:val="24"/>
              </w:rPr>
            </w:pPr>
            <w:r>
              <w:rPr>
                <w:b/>
                <w:bCs/>
                <w:color w:val="auto"/>
                <w:sz w:val="24"/>
                <w:szCs w:val="24"/>
              </w:rPr>
              <w:t>表</w:t>
            </w:r>
            <w:r>
              <w:rPr>
                <w:rFonts w:hint="eastAsia"/>
                <w:b/>
                <w:bCs/>
                <w:color w:val="auto"/>
                <w:sz w:val="24"/>
                <w:szCs w:val="24"/>
                <w:lang w:val="en-US" w:eastAsia="zh-CN"/>
              </w:rPr>
              <w:t>4</w:t>
            </w:r>
            <w:r>
              <w:rPr>
                <w:rFonts w:hint="eastAsia"/>
                <w:b/>
                <w:bCs/>
                <w:color w:val="auto"/>
                <w:sz w:val="24"/>
                <w:szCs w:val="24"/>
              </w:rPr>
              <w:t>-</w:t>
            </w:r>
            <w:r>
              <w:rPr>
                <w:rFonts w:hint="eastAsia"/>
                <w:b/>
                <w:bCs/>
                <w:color w:val="auto"/>
                <w:sz w:val="24"/>
                <w:szCs w:val="24"/>
                <w:lang w:val="en-US" w:eastAsia="zh-CN"/>
              </w:rPr>
              <w:t xml:space="preserve">1  </w:t>
            </w:r>
            <w:r>
              <w:rPr>
                <w:rFonts w:hint="eastAsia"/>
                <w:b/>
                <w:bCs/>
                <w:color w:val="auto"/>
                <w:sz w:val="24"/>
                <w:szCs w:val="24"/>
              </w:rPr>
              <w:t>施工期大气污染防治措施</w:t>
            </w:r>
            <w:r>
              <w:rPr>
                <w:b/>
                <w:bCs/>
                <w:color w:val="auto"/>
                <w:sz w:val="24"/>
                <w:szCs w:val="24"/>
              </w:rPr>
              <w:t>一览表</w:t>
            </w:r>
          </w:p>
          <w:tbl>
            <w:tblPr>
              <w:tblStyle w:val="26"/>
              <w:tblW w:w="4987"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0" w:type="dxa"/>
                <w:bottom w:w="0" w:type="dxa"/>
                <w:right w:w="0" w:type="dxa"/>
              </w:tblCellMar>
            </w:tblPr>
            <w:tblGrid>
              <w:gridCol w:w="1279"/>
              <w:gridCol w:w="6992"/>
            </w:tblGrid>
            <w:tr w14:paraId="5EF310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9" w:hRule="atLeast"/>
                <w:jc w:val="center"/>
              </w:trPr>
              <w:tc>
                <w:tcPr>
                  <w:tcW w:w="773" w:type="pct"/>
                  <w:noWrap w:val="0"/>
                  <w:vAlign w:val="center"/>
                </w:tcPr>
                <w:p w14:paraId="517333D1">
                  <w:pPr>
                    <w:keepNext w:val="0"/>
                    <w:keepLines w:val="0"/>
                    <w:pageBreakBefore w:val="0"/>
                    <w:kinsoku/>
                    <w:wordWrap/>
                    <w:overflowPunct/>
                    <w:topLinePunct w:val="0"/>
                    <w:autoSpaceDE/>
                    <w:autoSpaceDN/>
                    <w:bidi w:val="0"/>
                    <w:adjustRightInd w:val="0"/>
                    <w:snapToGrid w:val="0"/>
                    <w:spacing w:line="240" w:lineRule="auto"/>
                    <w:jc w:val="center"/>
                    <w:rPr>
                      <w:b w:val="0"/>
                      <w:bCs w:val="0"/>
                      <w:color w:val="auto"/>
                      <w:sz w:val="21"/>
                      <w:szCs w:val="21"/>
                    </w:rPr>
                  </w:pPr>
                  <w:r>
                    <w:rPr>
                      <w:rFonts w:hint="eastAsia"/>
                      <w:b w:val="0"/>
                      <w:bCs w:val="0"/>
                      <w:color w:val="auto"/>
                      <w:sz w:val="21"/>
                      <w:szCs w:val="21"/>
                    </w:rPr>
                    <w:t>控制措施</w:t>
                  </w:r>
                </w:p>
              </w:tc>
              <w:tc>
                <w:tcPr>
                  <w:tcW w:w="4226" w:type="pct"/>
                  <w:noWrap w:val="0"/>
                  <w:vAlign w:val="center"/>
                </w:tcPr>
                <w:p w14:paraId="301FBF72">
                  <w:pPr>
                    <w:keepNext w:val="0"/>
                    <w:keepLines w:val="0"/>
                    <w:pageBreakBefore w:val="0"/>
                    <w:kinsoku/>
                    <w:wordWrap/>
                    <w:overflowPunct/>
                    <w:topLinePunct w:val="0"/>
                    <w:autoSpaceDE/>
                    <w:autoSpaceDN/>
                    <w:bidi w:val="0"/>
                    <w:adjustRightInd w:val="0"/>
                    <w:snapToGrid w:val="0"/>
                    <w:spacing w:line="240" w:lineRule="auto"/>
                    <w:jc w:val="center"/>
                    <w:rPr>
                      <w:b w:val="0"/>
                      <w:bCs w:val="0"/>
                      <w:color w:val="auto"/>
                      <w:sz w:val="21"/>
                      <w:szCs w:val="21"/>
                    </w:rPr>
                  </w:pPr>
                  <w:r>
                    <w:rPr>
                      <w:rFonts w:hint="eastAsia"/>
                      <w:b w:val="0"/>
                      <w:bCs w:val="0"/>
                      <w:color w:val="auto"/>
                      <w:sz w:val="21"/>
                      <w:szCs w:val="21"/>
                    </w:rPr>
                    <w:t>具体实施内容</w:t>
                  </w:r>
                </w:p>
              </w:tc>
            </w:tr>
            <w:tr w14:paraId="04311D3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jc w:val="center"/>
              </w:trPr>
              <w:tc>
                <w:tcPr>
                  <w:tcW w:w="773" w:type="pct"/>
                  <w:vMerge w:val="restart"/>
                  <w:noWrap w:val="0"/>
                  <w:vAlign w:val="center"/>
                </w:tcPr>
                <w:p w14:paraId="71CAE834">
                  <w:pPr>
                    <w:keepNext w:val="0"/>
                    <w:keepLines w:val="0"/>
                    <w:pageBreakBefore w:val="0"/>
                    <w:widowControl w:val="0"/>
                    <w:kinsoku/>
                    <w:wordWrap/>
                    <w:overflowPunct/>
                    <w:topLinePunct w:val="0"/>
                    <w:autoSpaceDE/>
                    <w:autoSpaceDN/>
                    <w:bidi w:val="0"/>
                    <w:adjustRightInd w:val="0"/>
                    <w:snapToGrid w:val="0"/>
                    <w:spacing w:line="240" w:lineRule="auto"/>
                    <w:ind w:left="48" w:leftChars="20" w:right="48" w:rightChars="20"/>
                    <w:jc w:val="center"/>
                    <w:textAlignment w:val="auto"/>
                    <w:rPr>
                      <w:rFonts w:hint="eastAsia"/>
                      <w:b w:val="0"/>
                      <w:bCs w:val="0"/>
                      <w:color w:val="auto"/>
                      <w:sz w:val="21"/>
                      <w:szCs w:val="21"/>
                    </w:rPr>
                  </w:pPr>
                  <w:r>
                    <w:rPr>
                      <w:rFonts w:hint="eastAsia"/>
                      <w:b w:val="0"/>
                      <w:bCs w:val="0"/>
                      <w:color w:val="auto"/>
                      <w:sz w:val="21"/>
                      <w:szCs w:val="21"/>
                    </w:rPr>
                    <w:t>工地周边围挡</w:t>
                  </w:r>
                </w:p>
              </w:tc>
              <w:tc>
                <w:tcPr>
                  <w:tcW w:w="4226" w:type="pct"/>
                  <w:noWrap w:val="0"/>
                  <w:vAlign w:val="center"/>
                </w:tcPr>
                <w:p w14:paraId="21938C1F">
                  <w:pPr>
                    <w:keepNext w:val="0"/>
                    <w:keepLines w:val="0"/>
                    <w:pageBreakBefore w:val="0"/>
                    <w:widowControl/>
                    <w:kinsoku/>
                    <w:wordWrap/>
                    <w:overflowPunct/>
                    <w:topLinePunct w:val="0"/>
                    <w:autoSpaceDE/>
                    <w:autoSpaceDN/>
                    <w:bidi w:val="0"/>
                    <w:adjustRightInd/>
                    <w:snapToGrid/>
                    <w:spacing w:line="240" w:lineRule="auto"/>
                    <w:ind w:left="48" w:leftChars="20" w:right="48" w:rightChars="20"/>
                    <w:jc w:val="left"/>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施工现场设置封闭围挡，围挡高度不低于2.5米；围挡底端应设置防溢基础，围挡之间及围挡与防溢座之间无缝隙，不得有泥浆外露。</w:t>
                  </w:r>
                </w:p>
              </w:tc>
            </w:tr>
            <w:tr w14:paraId="4D43508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8" w:hRule="atLeast"/>
                <w:jc w:val="center"/>
              </w:trPr>
              <w:tc>
                <w:tcPr>
                  <w:tcW w:w="773" w:type="pct"/>
                  <w:vMerge w:val="continue"/>
                  <w:noWrap w:val="0"/>
                  <w:vAlign w:val="center"/>
                </w:tcPr>
                <w:p w14:paraId="1564ADEE">
                  <w:pPr>
                    <w:keepNext w:val="0"/>
                    <w:keepLines w:val="0"/>
                    <w:pageBreakBefore w:val="0"/>
                    <w:widowControl w:val="0"/>
                    <w:kinsoku/>
                    <w:wordWrap/>
                    <w:overflowPunct/>
                    <w:topLinePunct w:val="0"/>
                    <w:autoSpaceDE/>
                    <w:autoSpaceDN/>
                    <w:bidi w:val="0"/>
                    <w:adjustRightInd w:val="0"/>
                    <w:snapToGrid w:val="0"/>
                    <w:spacing w:line="240" w:lineRule="auto"/>
                    <w:ind w:left="48" w:leftChars="20" w:right="48" w:rightChars="20"/>
                    <w:jc w:val="center"/>
                    <w:textAlignment w:val="auto"/>
                    <w:rPr>
                      <w:rFonts w:hint="eastAsia"/>
                      <w:b w:val="0"/>
                      <w:bCs w:val="0"/>
                      <w:color w:val="auto"/>
                      <w:sz w:val="21"/>
                      <w:szCs w:val="21"/>
                    </w:rPr>
                  </w:pPr>
                </w:p>
              </w:tc>
              <w:tc>
                <w:tcPr>
                  <w:tcW w:w="4226" w:type="pct"/>
                  <w:noWrap w:val="0"/>
                  <w:vAlign w:val="center"/>
                </w:tcPr>
                <w:p w14:paraId="4544069A">
                  <w:pPr>
                    <w:keepNext w:val="0"/>
                    <w:keepLines w:val="0"/>
                    <w:pageBreakBefore w:val="0"/>
                    <w:widowControl/>
                    <w:kinsoku/>
                    <w:wordWrap/>
                    <w:overflowPunct/>
                    <w:topLinePunct w:val="0"/>
                    <w:autoSpaceDE/>
                    <w:autoSpaceDN/>
                    <w:bidi w:val="0"/>
                    <w:adjustRightInd/>
                    <w:snapToGrid/>
                    <w:spacing w:line="240" w:lineRule="auto"/>
                    <w:ind w:left="48" w:leftChars="20" w:right="48" w:rightChars="20"/>
                    <w:jc w:val="left"/>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围挡上部宜设置朝向场内区域的喷雾装置，每组检测不宜大于4m</w:t>
                  </w:r>
                  <w:r>
                    <w:rPr>
                      <w:rFonts w:hint="eastAsia" w:ascii="Times New Roman" w:hAnsi="Times New Roman" w:eastAsia="宋体" w:cs="Times New Roman"/>
                      <w:b w:val="0"/>
                      <w:bCs w:val="0"/>
                      <w:color w:val="auto"/>
                      <w:kern w:val="0"/>
                      <w:sz w:val="21"/>
                      <w:szCs w:val="21"/>
                      <w:lang w:val="en-US" w:eastAsia="zh-CN" w:bidi="ar"/>
                    </w:rPr>
                    <w:t>。</w:t>
                  </w:r>
                </w:p>
              </w:tc>
            </w:tr>
            <w:tr w14:paraId="08D0311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jc w:val="center"/>
              </w:trPr>
              <w:tc>
                <w:tcPr>
                  <w:tcW w:w="773" w:type="pct"/>
                  <w:noWrap w:val="0"/>
                  <w:vAlign w:val="center"/>
                </w:tcPr>
                <w:p w14:paraId="1D35DC63">
                  <w:pPr>
                    <w:keepNext w:val="0"/>
                    <w:keepLines w:val="0"/>
                    <w:pageBreakBefore w:val="0"/>
                    <w:widowControl w:val="0"/>
                    <w:kinsoku/>
                    <w:wordWrap/>
                    <w:overflowPunct/>
                    <w:topLinePunct w:val="0"/>
                    <w:autoSpaceDE/>
                    <w:autoSpaceDN/>
                    <w:bidi w:val="0"/>
                    <w:adjustRightInd w:val="0"/>
                    <w:snapToGrid w:val="0"/>
                    <w:spacing w:line="240" w:lineRule="auto"/>
                    <w:ind w:left="48" w:leftChars="20" w:right="48" w:rightChars="20"/>
                    <w:jc w:val="center"/>
                    <w:textAlignment w:val="auto"/>
                    <w:rPr>
                      <w:rFonts w:hint="eastAsia"/>
                      <w:b w:val="0"/>
                      <w:bCs w:val="0"/>
                      <w:color w:val="auto"/>
                      <w:sz w:val="21"/>
                      <w:szCs w:val="21"/>
                    </w:rPr>
                  </w:pPr>
                  <w:r>
                    <w:rPr>
                      <w:rFonts w:hint="eastAsia"/>
                      <w:b w:val="0"/>
                      <w:bCs w:val="0"/>
                      <w:color w:val="auto"/>
                      <w:sz w:val="21"/>
                      <w:szCs w:val="21"/>
                    </w:rPr>
                    <w:t>施工工地道路硬化</w:t>
                  </w:r>
                </w:p>
              </w:tc>
              <w:tc>
                <w:tcPr>
                  <w:tcW w:w="4226" w:type="pct"/>
                  <w:noWrap w:val="0"/>
                  <w:vAlign w:val="center"/>
                </w:tcPr>
                <w:p w14:paraId="60F9A870">
                  <w:pPr>
                    <w:keepNext w:val="0"/>
                    <w:keepLines w:val="0"/>
                    <w:pageBreakBefore w:val="0"/>
                    <w:widowControl/>
                    <w:kinsoku/>
                    <w:wordWrap/>
                    <w:overflowPunct/>
                    <w:topLinePunct w:val="0"/>
                    <w:autoSpaceDE/>
                    <w:autoSpaceDN/>
                    <w:bidi w:val="0"/>
                    <w:adjustRightInd/>
                    <w:snapToGrid/>
                    <w:spacing w:line="240" w:lineRule="auto"/>
                    <w:ind w:left="48" w:leftChars="20" w:right="48" w:rightChars="20"/>
                    <w:jc w:val="left"/>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施工现场出入口、主要道路必须采取硬化处理措施，尽量做到</w:t>
                  </w:r>
                  <w:r>
                    <w:rPr>
                      <w:rFonts w:hint="eastAsia" w:ascii="宋体" w:hAnsi="宋体" w:eastAsia="宋体" w:cs="宋体"/>
                      <w:b w:val="0"/>
                      <w:bCs w:val="0"/>
                      <w:color w:val="auto"/>
                      <w:kern w:val="0"/>
                      <w:sz w:val="21"/>
                      <w:szCs w:val="21"/>
                      <w:lang w:val="en-US" w:eastAsia="zh-CN" w:bidi="ar"/>
                    </w:rPr>
                    <w:t>“永临结合”</w:t>
                  </w:r>
                  <w:r>
                    <w:rPr>
                      <w:rFonts w:hint="default" w:ascii="Times New Roman" w:hAnsi="Times New Roman" w:eastAsia="宋体" w:cs="Times New Roman"/>
                      <w:b w:val="0"/>
                      <w:bCs w:val="0"/>
                      <w:color w:val="auto"/>
                      <w:kern w:val="0"/>
                      <w:sz w:val="21"/>
                      <w:szCs w:val="21"/>
                      <w:lang w:val="en-US" w:eastAsia="zh-CN" w:bidi="ar"/>
                    </w:rPr>
                    <w:t>。沿施工道路两侧宜布设标准化的道路喷淋系统。施工现场辅助临时道路、施工用材料堆放场、临时停车场地应采取硬化措施。</w:t>
                  </w:r>
                </w:p>
              </w:tc>
            </w:tr>
            <w:tr w14:paraId="2178B50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jc w:val="center"/>
              </w:trPr>
              <w:tc>
                <w:tcPr>
                  <w:tcW w:w="773" w:type="pct"/>
                  <w:noWrap w:val="0"/>
                  <w:vAlign w:val="center"/>
                </w:tcPr>
                <w:p w14:paraId="38C44E17">
                  <w:pPr>
                    <w:keepNext w:val="0"/>
                    <w:keepLines w:val="0"/>
                    <w:pageBreakBefore w:val="0"/>
                    <w:widowControl w:val="0"/>
                    <w:kinsoku/>
                    <w:wordWrap/>
                    <w:overflowPunct/>
                    <w:topLinePunct w:val="0"/>
                    <w:autoSpaceDE/>
                    <w:autoSpaceDN/>
                    <w:bidi w:val="0"/>
                    <w:adjustRightInd w:val="0"/>
                    <w:snapToGrid w:val="0"/>
                    <w:spacing w:line="240" w:lineRule="auto"/>
                    <w:ind w:left="48" w:leftChars="20" w:right="48" w:rightChars="20"/>
                    <w:jc w:val="center"/>
                    <w:textAlignment w:val="auto"/>
                    <w:rPr>
                      <w:rFonts w:hint="eastAsia"/>
                      <w:b w:val="0"/>
                      <w:bCs w:val="0"/>
                      <w:color w:val="auto"/>
                      <w:sz w:val="21"/>
                      <w:szCs w:val="21"/>
                    </w:rPr>
                  </w:pPr>
                  <w:r>
                    <w:rPr>
                      <w:rFonts w:hint="eastAsia"/>
                      <w:b w:val="0"/>
                      <w:bCs w:val="0"/>
                      <w:color w:val="auto"/>
                      <w:sz w:val="21"/>
                      <w:szCs w:val="21"/>
                    </w:rPr>
                    <w:t>场地</w:t>
                  </w:r>
                </w:p>
              </w:tc>
              <w:tc>
                <w:tcPr>
                  <w:tcW w:w="4226" w:type="pct"/>
                  <w:noWrap w:val="0"/>
                  <w:vAlign w:val="center"/>
                </w:tcPr>
                <w:p w14:paraId="4493E431">
                  <w:pPr>
                    <w:keepNext w:val="0"/>
                    <w:keepLines w:val="0"/>
                    <w:pageBreakBefore w:val="0"/>
                    <w:widowControl/>
                    <w:kinsoku/>
                    <w:wordWrap/>
                    <w:overflowPunct/>
                    <w:topLinePunct w:val="0"/>
                    <w:autoSpaceDE/>
                    <w:autoSpaceDN/>
                    <w:bidi w:val="0"/>
                    <w:adjustRightInd/>
                    <w:snapToGrid/>
                    <w:spacing w:line="240" w:lineRule="auto"/>
                    <w:ind w:left="48" w:leftChars="20" w:right="48" w:rightChars="20"/>
                    <w:jc w:val="left"/>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A.施工场地内裸露场地和堆放的土方必须采取防尘网覆盖、绿化或固化等扬尘污染防治措施；</w:t>
                  </w:r>
                </w:p>
                <w:p w14:paraId="01B66F6E">
                  <w:pPr>
                    <w:keepNext w:val="0"/>
                    <w:keepLines w:val="0"/>
                    <w:pageBreakBefore w:val="0"/>
                    <w:widowControl/>
                    <w:kinsoku/>
                    <w:wordWrap/>
                    <w:overflowPunct/>
                    <w:topLinePunct w:val="0"/>
                    <w:autoSpaceDE/>
                    <w:autoSpaceDN/>
                    <w:bidi w:val="0"/>
                    <w:adjustRightInd/>
                    <w:snapToGrid/>
                    <w:spacing w:line="240" w:lineRule="auto"/>
                    <w:ind w:left="48" w:leftChars="20" w:right="48" w:rightChars="20"/>
                    <w:jc w:val="left"/>
                    <w:textAlignment w:val="center"/>
                    <w:rPr>
                      <w:rFonts w:hint="eastAsia"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B.待建场地裸露地面超过三个月的，应当进行临时绿化或透水铺装</w:t>
                  </w:r>
                  <w:r>
                    <w:rPr>
                      <w:rFonts w:hint="eastAsia" w:ascii="Times New Roman" w:hAnsi="Times New Roman" w:eastAsia="宋体" w:cs="Times New Roman"/>
                      <w:b w:val="0"/>
                      <w:bCs w:val="0"/>
                      <w:color w:val="auto"/>
                      <w:kern w:val="0"/>
                      <w:sz w:val="21"/>
                      <w:szCs w:val="21"/>
                      <w:lang w:val="en-US" w:eastAsia="zh-CN" w:bidi="ar"/>
                    </w:rPr>
                    <w:t>；</w:t>
                  </w:r>
                </w:p>
                <w:p w14:paraId="4F39647D">
                  <w:pPr>
                    <w:keepNext w:val="0"/>
                    <w:keepLines w:val="0"/>
                    <w:pageBreakBefore w:val="0"/>
                    <w:widowControl/>
                    <w:kinsoku/>
                    <w:wordWrap/>
                    <w:overflowPunct/>
                    <w:topLinePunct w:val="0"/>
                    <w:autoSpaceDE/>
                    <w:autoSpaceDN/>
                    <w:bidi w:val="0"/>
                    <w:adjustRightInd/>
                    <w:snapToGrid/>
                    <w:spacing w:line="240" w:lineRule="auto"/>
                    <w:ind w:left="48" w:leftChars="20" w:right="48" w:rightChars="20"/>
                    <w:jc w:val="left"/>
                    <w:textAlignment w:val="center"/>
                    <w:rPr>
                      <w:rFonts w:hint="default"/>
                      <w:b w:val="0"/>
                      <w:bCs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bidi="ar"/>
                    </w:rPr>
                    <w:t>C.长期存在的废弃物堆场，应当设置高于废弃物堆的围墙、防尘网或者在废弃物堆场表面植被绿化。</w:t>
                  </w:r>
                </w:p>
              </w:tc>
            </w:tr>
            <w:tr w14:paraId="4C27A0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jc w:val="center"/>
              </w:trPr>
              <w:tc>
                <w:tcPr>
                  <w:tcW w:w="773" w:type="pct"/>
                  <w:noWrap w:val="0"/>
                  <w:vAlign w:val="center"/>
                </w:tcPr>
                <w:p w14:paraId="2E7C6182">
                  <w:pPr>
                    <w:keepNext w:val="0"/>
                    <w:keepLines w:val="0"/>
                    <w:pageBreakBefore w:val="0"/>
                    <w:widowControl w:val="0"/>
                    <w:kinsoku/>
                    <w:wordWrap/>
                    <w:overflowPunct/>
                    <w:topLinePunct w:val="0"/>
                    <w:autoSpaceDE/>
                    <w:autoSpaceDN/>
                    <w:bidi w:val="0"/>
                    <w:adjustRightInd w:val="0"/>
                    <w:snapToGrid w:val="0"/>
                    <w:spacing w:line="240" w:lineRule="auto"/>
                    <w:ind w:left="48" w:leftChars="20" w:right="48" w:rightChars="20"/>
                    <w:jc w:val="center"/>
                    <w:textAlignment w:val="auto"/>
                    <w:rPr>
                      <w:rFonts w:hint="eastAsia"/>
                      <w:b w:val="0"/>
                      <w:bCs w:val="0"/>
                      <w:color w:val="auto"/>
                      <w:sz w:val="21"/>
                      <w:szCs w:val="21"/>
                    </w:rPr>
                  </w:pPr>
                  <w:r>
                    <w:rPr>
                      <w:rFonts w:hint="eastAsia"/>
                      <w:b w:val="0"/>
                      <w:bCs w:val="0"/>
                      <w:color w:val="auto"/>
                      <w:sz w:val="21"/>
                      <w:szCs w:val="21"/>
                    </w:rPr>
                    <w:t>物料堆放覆盖</w:t>
                  </w:r>
                </w:p>
              </w:tc>
              <w:tc>
                <w:tcPr>
                  <w:tcW w:w="4226" w:type="pct"/>
                  <w:noWrap w:val="0"/>
                  <w:vAlign w:val="center"/>
                </w:tcPr>
                <w:p w14:paraId="07F9DC3D">
                  <w:pPr>
                    <w:keepNext w:val="0"/>
                    <w:keepLines w:val="0"/>
                    <w:pageBreakBefore w:val="0"/>
                    <w:widowControl/>
                    <w:kinsoku/>
                    <w:wordWrap/>
                    <w:overflowPunct/>
                    <w:topLinePunct w:val="0"/>
                    <w:autoSpaceDE/>
                    <w:autoSpaceDN/>
                    <w:bidi w:val="0"/>
                    <w:adjustRightInd/>
                    <w:snapToGrid/>
                    <w:spacing w:line="240" w:lineRule="auto"/>
                    <w:ind w:left="48" w:leftChars="20" w:right="48" w:rightChars="20"/>
                    <w:jc w:val="left"/>
                    <w:textAlignment w:val="center"/>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A.砂石等散体材料应设置围挡，集中分类堆放，并采取防尘网覆盖或其他防尘；</w:t>
                  </w:r>
                </w:p>
                <w:p w14:paraId="2888EA5E">
                  <w:pPr>
                    <w:keepNext w:val="0"/>
                    <w:keepLines w:val="0"/>
                    <w:pageBreakBefore w:val="0"/>
                    <w:widowControl/>
                    <w:kinsoku/>
                    <w:wordWrap/>
                    <w:overflowPunct/>
                    <w:topLinePunct w:val="0"/>
                    <w:autoSpaceDE/>
                    <w:autoSpaceDN/>
                    <w:bidi w:val="0"/>
                    <w:adjustRightInd/>
                    <w:snapToGrid/>
                    <w:spacing w:line="240" w:lineRule="auto"/>
                    <w:ind w:left="48" w:leftChars="20" w:right="48" w:rightChars="20"/>
                    <w:jc w:val="left"/>
                    <w:textAlignment w:val="center"/>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B.水泥、粉煤灰、灰土等易产生扬尘的细颗粒建筑材料应进行密闭存放或设置围挡进行封闭、覆盖，使用过程中采取有效抑尘措施；</w:t>
                  </w:r>
                </w:p>
                <w:p w14:paraId="2EEACBB1">
                  <w:pPr>
                    <w:keepNext w:val="0"/>
                    <w:keepLines w:val="0"/>
                    <w:pageBreakBefore w:val="0"/>
                    <w:widowControl/>
                    <w:kinsoku/>
                    <w:wordWrap/>
                    <w:overflowPunct/>
                    <w:topLinePunct w:val="0"/>
                    <w:autoSpaceDE/>
                    <w:autoSpaceDN/>
                    <w:bidi w:val="0"/>
                    <w:adjustRightInd/>
                    <w:snapToGrid/>
                    <w:spacing w:line="240" w:lineRule="auto"/>
                    <w:ind w:left="48" w:leftChars="20" w:right="48" w:rightChars="20"/>
                    <w:jc w:val="left"/>
                    <w:textAlignment w:val="center"/>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C.场内装卸、搬运易扬尘材料应遮盖、封闭或洒水；</w:t>
                  </w:r>
                </w:p>
                <w:p w14:paraId="4E1C24AE">
                  <w:pPr>
                    <w:keepNext w:val="0"/>
                    <w:keepLines w:val="0"/>
                    <w:pageBreakBefore w:val="0"/>
                    <w:widowControl/>
                    <w:kinsoku/>
                    <w:wordWrap/>
                    <w:overflowPunct/>
                    <w:topLinePunct w:val="0"/>
                    <w:autoSpaceDE/>
                    <w:autoSpaceDN/>
                    <w:bidi w:val="0"/>
                    <w:adjustRightInd/>
                    <w:snapToGrid/>
                    <w:spacing w:line="240" w:lineRule="auto"/>
                    <w:ind w:left="48" w:leftChars="20" w:right="48" w:rightChars="20"/>
                    <w:jc w:val="left"/>
                    <w:textAlignment w:val="center"/>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D.施工现场土方堆放时，除应采取覆盖防尘网、绿化等防尘措施，并适时洒水，还应做到：土方堆放高度不宜超过相邻围挡；使用土方时禁止将所有遮盖的防尘网全部打开；雨季应采取措施防止随雨水冲刷进入水体或市政雨水管道。</w:t>
                  </w:r>
                </w:p>
              </w:tc>
            </w:tr>
            <w:tr w14:paraId="640AA08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jc w:val="center"/>
              </w:trPr>
              <w:tc>
                <w:tcPr>
                  <w:tcW w:w="773" w:type="pct"/>
                  <w:noWrap w:val="0"/>
                  <w:vAlign w:val="center"/>
                </w:tcPr>
                <w:p w14:paraId="7BE81869">
                  <w:pPr>
                    <w:keepNext w:val="0"/>
                    <w:keepLines w:val="0"/>
                    <w:pageBreakBefore w:val="0"/>
                    <w:widowControl w:val="0"/>
                    <w:kinsoku/>
                    <w:wordWrap/>
                    <w:overflowPunct/>
                    <w:topLinePunct w:val="0"/>
                    <w:autoSpaceDE/>
                    <w:autoSpaceDN/>
                    <w:bidi w:val="0"/>
                    <w:adjustRightInd w:val="0"/>
                    <w:snapToGrid w:val="0"/>
                    <w:spacing w:line="240" w:lineRule="auto"/>
                    <w:ind w:left="48" w:leftChars="20" w:right="48" w:rightChars="20"/>
                    <w:jc w:val="center"/>
                    <w:textAlignment w:val="auto"/>
                    <w:rPr>
                      <w:rFonts w:hint="eastAsia"/>
                      <w:b w:val="0"/>
                      <w:bCs w:val="0"/>
                      <w:color w:val="auto"/>
                      <w:sz w:val="21"/>
                      <w:szCs w:val="21"/>
                    </w:rPr>
                  </w:pPr>
                  <w:r>
                    <w:rPr>
                      <w:rFonts w:hint="eastAsia"/>
                      <w:b w:val="0"/>
                      <w:bCs w:val="0"/>
                      <w:color w:val="auto"/>
                      <w:sz w:val="21"/>
                      <w:szCs w:val="21"/>
                    </w:rPr>
                    <w:t>进出车辆冲洗</w:t>
                  </w:r>
                </w:p>
              </w:tc>
              <w:tc>
                <w:tcPr>
                  <w:tcW w:w="4226" w:type="pct"/>
                  <w:noWrap w:val="0"/>
                  <w:vAlign w:val="center"/>
                </w:tcPr>
                <w:p w14:paraId="3D5FEE61">
                  <w:pPr>
                    <w:keepNext w:val="0"/>
                    <w:keepLines w:val="0"/>
                    <w:pageBreakBefore w:val="0"/>
                    <w:widowControl/>
                    <w:kinsoku/>
                    <w:wordWrap/>
                    <w:overflowPunct/>
                    <w:topLinePunct w:val="0"/>
                    <w:autoSpaceDE/>
                    <w:autoSpaceDN/>
                    <w:bidi w:val="0"/>
                    <w:adjustRightInd/>
                    <w:snapToGrid/>
                    <w:spacing w:line="240" w:lineRule="auto"/>
                    <w:ind w:left="48" w:leftChars="20" w:right="48" w:rightChars="20"/>
                    <w:jc w:val="left"/>
                    <w:textAlignment w:val="center"/>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A.施工现场出入口大门内侧场内主要道路应设置固定车辆自动冲洗设施，包括：冲洗平台、冲洗设备、排水沟、沉淀池等；</w:t>
                  </w:r>
                </w:p>
                <w:p w14:paraId="471D05BB">
                  <w:pPr>
                    <w:keepNext w:val="0"/>
                    <w:keepLines w:val="0"/>
                    <w:pageBreakBefore w:val="0"/>
                    <w:widowControl/>
                    <w:kinsoku/>
                    <w:wordWrap/>
                    <w:overflowPunct/>
                    <w:topLinePunct w:val="0"/>
                    <w:autoSpaceDE/>
                    <w:autoSpaceDN/>
                    <w:bidi w:val="0"/>
                    <w:adjustRightInd/>
                    <w:snapToGrid/>
                    <w:spacing w:line="240" w:lineRule="auto"/>
                    <w:ind w:left="48" w:leftChars="20" w:right="48" w:rightChars="20"/>
                    <w:jc w:val="left"/>
                    <w:textAlignment w:val="center"/>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B.车辆冲洗装置冲洗水压不应小于0.3MPa，冲洗时间不宜少于3min；</w:t>
                  </w:r>
                </w:p>
                <w:p w14:paraId="0AC01416">
                  <w:pPr>
                    <w:keepNext w:val="0"/>
                    <w:keepLines w:val="0"/>
                    <w:pageBreakBefore w:val="0"/>
                    <w:widowControl/>
                    <w:kinsoku/>
                    <w:wordWrap/>
                    <w:overflowPunct/>
                    <w:topLinePunct w:val="0"/>
                    <w:autoSpaceDE/>
                    <w:autoSpaceDN/>
                    <w:bidi w:val="0"/>
                    <w:adjustRightInd/>
                    <w:snapToGrid/>
                    <w:spacing w:line="240" w:lineRule="auto"/>
                    <w:ind w:left="48" w:leftChars="20" w:right="48" w:rightChars="20"/>
                    <w:jc w:val="left"/>
                    <w:textAlignment w:val="center"/>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C.车辆冲洗应有专人负责填写台账，确保车辆外部、底盘、轮胎处不得粘有污物和泥土，施工工地大门外车辆出口路面不应有明显的泥印和泥浆水，以及砂石、灰土等易扬尘材料；</w:t>
                  </w:r>
                </w:p>
                <w:p w14:paraId="7279C439">
                  <w:pPr>
                    <w:keepNext w:val="0"/>
                    <w:keepLines w:val="0"/>
                    <w:pageBreakBefore w:val="0"/>
                    <w:widowControl/>
                    <w:kinsoku/>
                    <w:wordWrap/>
                    <w:overflowPunct/>
                    <w:topLinePunct w:val="0"/>
                    <w:autoSpaceDE/>
                    <w:autoSpaceDN/>
                    <w:bidi w:val="0"/>
                    <w:adjustRightInd/>
                    <w:snapToGrid/>
                    <w:spacing w:line="240" w:lineRule="auto"/>
                    <w:ind w:left="48" w:leftChars="20" w:right="48" w:rightChars="20"/>
                    <w:jc w:val="left"/>
                    <w:textAlignment w:val="center"/>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D.车辆冲洗宜采用循环用水，设置分级沉淀池，沉淀池应做防渗处理，污水不得直接排入市政污水管网，沉淀池、排水沟中积存的污泥应定期清理。</w:t>
                  </w:r>
                </w:p>
              </w:tc>
            </w:tr>
            <w:tr w14:paraId="706CA25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jc w:val="center"/>
              </w:trPr>
              <w:tc>
                <w:tcPr>
                  <w:tcW w:w="773" w:type="pct"/>
                  <w:noWrap w:val="0"/>
                  <w:vAlign w:val="center"/>
                </w:tcPr>
                <w:p w14:paraId="0AE5F394">
                  <w:pPr>
                    <w:keepNext w:val="0"/>
                    <w:keepLines w:val="0"/>
                    <w:pageBreakBefore w:val="0"/>
                    <w:widowControl w:val="0"/>
                    <w:kinsoku/>
                    <w:wordWrap/>
                    <w:overflowPunct/>
                    <w:topLinePunct w:val="0"/>
                    <w:autoSpaceDE/>
                    <w:autoSpaceDN/>
                    <w:bidi w:val="0"/>
                    <w:adjustRightInd w:val="0"/>
                    <w:snapToGrid w:val="0"/>
                    <w:spacing w:line="240" w:lineRule="auto"/>
                    <w:ind w:left="48" w:leftChars="20" w:right="48" w:rightChars="20"/>
                    <w:jc w:val="center"/>
                    <w:textAlignment w:val="auto"/>
                    <w:rPr>
                      <w:rFonts w:hint="eastAsia"/>
                      <w:b w:val="0"/>
                      <w:bCs w:val="0"/>
                      <w:color w:val="auto"/>
                      <w:sz w:val="21"/>
                      <w:szCs w:val="21"/>
                    </w:rPr>
                  </w:pPr>
                  <w:r>
                    <w:rPr>
                      <w:rFonts w:hint="eastAsia"/>
                      <w:b w:val="0"/>
                      <w:bCs w:val="0"/>
                      <w:color w:val="auto"/>
                      <w:sz w:val="21"/>
                      <w:szCs w:val="21"/>
                    </w:rPr>
                    <w:t>渣土运输及建筑垃圾处置</w:t>
                  </w:r>
                </w:p>
              </w:tc>
              <w:tc>
                <w:tcPr>
                  <w:tcW w:w="4226" w:type="pct"/>
                  <w:noWrap w:val="0"/>
                  <w:vAlign w:val="center"/>
                </w:tcPr>
                <w:p w14:paraId="58F6DB06">
                  <w:pPr>
                    <w:keepNext w:val="0"/>
                    <w:keepLines w:val="0"/>
                    <w:pageBreakBefore w:val="0"/>
                    <w:widowControl/>
                    <w:numPr>
                      <w:ilvl w:val="0"/>
                      <w:numId w:val="0"/>
                    </w:numPr>
                    <w:kinsoku/>
                    <w:wordWrap/>
                    <w:overflowPunct/>
                    <w:topLinePunct w:val="0"/>
                    <w:autoSpaceDE/>
                    <w:autoSpaceDN/>
                    <w:bidi w:val="0"/>
                    <w:adjustRightInd/>
                    <w:snapToGrid/>
                    <w:spacing w:line="240" w:lineRule="auto"/>
                    <w:ind w:left="48" w:leftChars="20" w:right="48" w:rightChars="20"/>
                    <w:jc w:val="left"/>
                    <w:textAlignment w:val="center"/>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A.建筑垃圾处置实行减量化、资源化、无害化和“谁产生、谁负责”的原则；</w:t>
                  </w:r>
                </w:p>
                <w:p w14:paraId="53059D2B">
                  <w:pPr>
                    <w:keepNext w:val="0"/>
                    <w:keepLines w:val="0"/>
                    <w:pageBreakBefore w:val="0"/>
                    <w:widowControl/>
                    <w:numPr>
                      <w:ilvl w:val="0"/>
                      <w:numId w:val="0"/>
                    </w:numPr>
                    <w:kinsoku/>
                    <w:wordWrap/>
                    <w:overflowPunct/>
                    <w:topLinePunct w:val="0"/>
                    <w:autoSpaceDE/>
                    <w:autoSpaceDN/>
                    <w:bidi w:val="0"/>
                    <w:adjustRightInd/>
                    <w:snapToGrid/>
                    <w:spacing w:line="240" w:lineRule="auto"/>
                    <w:ind w:left="48" w:leftChars="20" w:right="48" w:rightChars="20"/>
                    <w:jc w:val="left"/>
                    <w:textAlignment w:val="center"/>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B.施工现场垃圾应集中、分类堆放，严密遮盖。必要时建立密闭式垃圾站。</w:t>
                  </w:r>
                </w:p>
                <w:p w14:paraId="50672948">
                  <w:pPr>
                    <w:keepNext w:val="0"/>
                    <w:keepLines w:val="0"/>
                    <w:pageBreakBefore w:val="0"/>
                    <w:widowControl/>
                    <w:numPr>
                      <w:ilvl w:val="0"/>
                      <w:numId w:val="0"/>
                    </w:numPr>
                    <w:kinsoku/>
                    <w:wordWrap/>
                    <w:overflowPunct/>
                    <w:topLinePunct w:val="0"/>
                    <w:autoSpaceDE/>
                    <w:autoSpaceDN/>
                    <w:bidi w:val="0"/>
                    <w:adjustRightInd/>
                    <w:snapToGrid/>
                    <w:spacing w:line="240" w:lineRule="auto"/>
                    <w:ind w:left="48" w:leftChars="20" w:right="48" w:rightChars="20"/>
                    <w:jc w:val="left"/>
                    <w:textAlignment w:val="center"/>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C.楼层内清理施工垃圾，应采取先洒水降尘后清扫的作业方法，并使用密闭式专用垃圾通道（管道）或袋装清运；</w:t>
                  </w:r>
                </w:p>
                <w:p w14:paraId="4CFDAE1A">
                  <w:pPr>
                    <w:keepNext w:val="0"/>
                    <w:keepLines w:val="0"/>
                    <w:pageBreakBefore w:val="0"/>
                    <w:widowControl/>
                    <w:numPr>
                      <w:ilvl w:val="0"/>
                      <w:numId w:val="0"/>
                    </w:numPr>
                    <w:kinsoku/>
                    <w:wordWrap/>
                    <w:overflowPunct/>
                    <w:topLinePunct w:val="0"/>
                    <w:autoSpaceDE/>
                    <w:autoSpaceDN/>
                    <w:bidi w:val="0"/>
                    <w:adjustRightInd/>
                    <w:snapToGrid/>
                    <w:spacing w:line="240" w:lineRule="auto"/>
                    <w:ind w:left="48" w:leftChars="20" w:right="48" w:rightChars="20"/>
                    <w:jc w:val="left"/>
                    <w:textAlignment w:val="center"/>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D.施工现场严禁随意丢弃和焚烧各类废弃物，严禁高空抛洒建筑垃圾；</w:t>
                  </w:r>
                </w:p>
                <w:p w14:paraId="71AC9AA6">
                  <w:pPr>
                    <w:keepNext w:val="0"/>
                    <w:keepLines w:val="0"/>
                    <w:pageBreakBefore w:val="0"/>
                    <w:widowControl/>
                    <w:numPr>
                      <w:ilvl w:val="0"/>
                      <w:numId w:val="0"/>
                    </w:numPr>
                    <w:kinsoku/>
                    <w:wordWrap/>
                    <w:overflowPunct/>
                    <w:topLinePunct w:val="0"/>
                    <w:autoSpaceDE/>
                    <w:autoSpaceDN/>
                    <w:bidi w:val="0"/>
                    <w:adjustRightInd/>
                    <w:snapToGrid/>
                    <w:spacing w:line="240" w:lineRule="auto"/>
                    <w:ind w:left="48" w:leftChars="20" w:right="48" w:rightChars="20"/>
                    <w:jc w:val="left"/>
                    <w:textAlignment w:val="center"/>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E.施工工程中产生的弃土、弃料以及其他建筑垃圾，应及时清运。若在工地内堆置超过48小时的，应在施工工地内设置临时堆放场，并采取下列措施之一：覆盖防尘布、防尘网；定期喷洒抑尘剂；定期洒水压尘；其他有效的防尘措施；</w:t>
                  </w:r>
                </w:p>
                <w:p w14:paraId="2C08B461">
                  <w:pPr>
                    <w:keepNext w:val="0"/>
                    <w:keepLines w:val="0"/>
                    <w:pageBreakBefore w:val="0"/>
                    <w:widowControl/>
                    <w:numPr>
                      <w:ilvl w:val="0"/>
                      <w:numId w:val="0"/>
                    </w:numPr>
                    <w:kinsoku/>
                    <w:wordWrap/>
                    <w:overflowPunct/>
                    <w:topLinePunct w:val="0"/>
                    <w:autoSpaceDE/>
                    <w:autoSpaceDN/>
                    <w:bidi w:val="0"/>
                    <w:adjustRightInd/>
                    <w:snapToGrid/>
                    <w:spacing w:line="240" w:lineRule="auto"/>
                    <w:ind w:left="48" w:leftChars="20" w:right="48" w:rightChars="20"/>
                    <w:jc w:val="left"/>
                    <w:textAlignment w:val="center"/>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F.建筑垃圾和土方运输车辆运输中必须采取密闭措施，切实达到无外露、无遗撒、无高尖、无扬尘的要求，按规定的时间、地点、线路运输和装卸；</w:t>
                  </w:r>
                </w:p>
                <w:p w14:paraId="24275A38">
                  <w:pPr>
                    <w:keepNext w:val="0"/>
                    <w:keepLines w:val="0"/>
                    <w:pageBreakBefore w:val="0"/>
                    <w:widowControl/>
                    <w:numPr>
                      <w:ilvl w:val="0"/>
                      <w:numId w:val="0"/>
                    </w:numPr>
                    <w:kinsoku/>
                    <w:wordWrap/>
                    <w:overflowPunct/>
                    <w:topLinePunct w:val="0"/>
                    <w:autoSpaceDE/>
                    <w:autoSpaceDN/>
                    <w:bidi w:val="0"/>
                    <w:adjustRightInd/>
                    <w:snapToGrid/>
                    <w:spacing w:line="240" w:lineRule="auto"/>
                    <w:ind w:left="48" w:leftChars="20" w:right="48" w:rightChars="20"/>
                    <w:jc w:val="left"/>
                    <w:textAlignment w:val="center"/>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G.外运泥浆应使用具有吸排性能的密封罐车。</w:t>
                  </w:r>
                </w:p>
              </w:tc>
            </w:tr>
          </w:tbl>
          <w:p w14:paraId="079831FB">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ascii="Times New Roman" w:hAnsi="Times New Roman" w:cs="Times New Roman"/>
                <w:color w:val="auto"/>
                <w:sz w:val="24"/>
              </w:rPr>
            </w:pPr>
            <w:r>
              <w:rPr>
                <w:rFonts w:hint="eastAsia" w:ascii="Times New Roman" w:hAnsi="Times New Roman" w:cs="Times New Roman"/>
                <w:b/>
                <w:bCs/>
                <w:color w:val="auto"/>
                <w:sz w:val="24"/>
                <w:lang w:val="en-US" w:eastAsia="zh-CN"/>
              </w:rPr>
              <w:t>2、</w:t>
            </w:r>
            <w:r>
              <w:rPr>
                <w:rFonts w:hint="eastAsia" w:ascii="Times New Roman" w:hAnsi="Times New Roman" w:cs="Times New Roman"/>
                <w:b/>
                <w:bCs/>
                <w:color w:val="auto"/>
                <w:sz w:val="24"/>
              </w:rPr>
              <w:t>施工期噪声环境影响及保护措施</w:t>
            </w:r>
          </w:p>
          <w:p w14:paraId="24376D7E">
            <w:pPr>
              <w:spacing w:line="360" w:lineRule="auto"/>
              <w:ind w:firstLine="480" w:firstLineChars="200"/>
              <w:jc w:val="both"/>
              <w:rPr>
                <w:rFonts w:hint="eastAsia" w:ascii="Times New Roman" w:hAnsi="Times New Roman" w:cs="Times New Roman"/>
                <w:color w:val="auto"/>
                <w:sz w:val="24"/>
                <w:lang w:eastAsia="zh-CN"/>
              </w:rPr>
            </w:pPr>
            <w:r>
              <w:rPr>
                <w:rFonts w:hint="eastAsia" w:ascii="Times New Roman" w:hAnsi="Times New Roman" w:cs="Times New Roman"/>
                <w:color w:val="auto"/>
                <w:sz w:val="24"/>
                <w:lang w:eastAsia="zh-CN"/>
              </w:rPr>
              <w:t>（1）噪声源分析</w:t>
            </w:r>
          </w:p>
          <w:p w14:paraId="6BECE986">
            <w:pPr>
              <w:spacing w:line="360" w:lineRule="auto"/>
              <w:ind w:firstLine="480" w:firstLineChars="200"/>
              <w:jc w:val="both"/>
              <w:rPr>
                <w:rFonts w:hint="eastAsia" w:ascii="Times New Roman" w:hAnsi="Times New Roman" w:cs="Times New Roman"/>
                <w:color w:val="auto"/>
                <w:sz w:val="24"/>
                <w:lang w:eastAsia="zh-CN"/>
              </w:rPr>
            </w:pPr>
            <w:r>
              <w:rPr>
                <w:rFonts w:hint="eastAsia" w:ascii="Times New Roman" w:hAnsi="Times New Roman" w:cs="Times New Roman"/>
                <w:color w:val="auto"/>
                <w:sz w:val="24"/>
                <w:lang w:eastAsia="zh-CN"/>
              </w:rPr>
              <w:t>施工期主要噪声污染可分为</w:t>
            </w:r>
            <w:r>
              <w:rPr>
                <w:rFonts w:hint="eastAsia" w:cs="Times New Roman"/>
                <w:color w:val="auto"/>
                <w:sz w:val="24"/>
                <w:lang w:val="en-US" w:eastAsia="zh-CN"/>
              </w:rPr>
              <w:t>2</w:t>
            </w:r>
            <w:r>
              <w:rPr>
                <w:rFonts w:hint="eastAsia" w:ascii="Times New Roman" w:hAnsi="Times New Roman" w:cs="Times New Roman"/>
                <w:color w:val="auto"/>
                <w:sz w:val="24"/>
                <w:lang w:eastAsia="zh-CN"/>
              </w:rPr>
              <w:t>个阶段：基础工程阶段</w:t>
            </w:r>
            <w:r>
              <w:rPr>
                <w:rFonts w:hint="eastAsia" w:cs="Times New Roman"/>
                <w:color w:val="auto"/>
                <w:sz w:val="24"/>
                <w:lang w:val="en-US" w:eastAsia="zh-CN"/>
              </w:rPr>
              <w:t>和</w:t>
            </w:r>
            <w:r>
              <w:rPr>
                <w:rFonts w:hint="eastAsia" w:ascii="Times New Roman" w:hAnsi="Times New Roman" w:cs="Times New Roman"/>
                <w:color w:val="auto"/>
                <w:sz w:val="24"/>
                <w:lang w:eastAsia="zh-CN"/>
              </w:rPr>
              <w:t>结构工程阶段，各阶段主要污染源及其噪声特性如下：</w:t>
            </w:r>
          </w:p>
          <w:p w14:paraId="18BC1B07">
            <w:pPr>
              <w:spacing w:line="360" w:lineRule="auto"/>
              <w:ind w:firstLine="480" w:firstLineChars="200"/>
              <w:jc w:val="both"/>
              <w:rPr>
                <w:rFonts w:hint="eastAsia" w:ascii="Times New Roman" w:hAnsi="Times New Roman" w:cs="Times New Roman"/>
                <w:color w:val="auto"/>
                <w:sz w:val="24"/>
                <w:lang w:eastAsia="zh-CN"/>
              </w:rPr>
            </w:pPr>
            <w:r>
              <w:rPr>
                <w:rFonts w:hint="eastAsia" w:cs="Times New Roman"/>
                <w:color w:val="auto"/>
                <w:sz w:val="24"/>
                <w:lang w:val="en-US" w:eastAsia="zh-CN"/>
              </w:rPr>
              <w:t>①</w:t>
            </w:r>
            <w:r>
              <w:rPr>
                <w:rFonts w:hint="eastAsia" w:ascii="Times New Roman" w:hAnsi="Times New Roman" w:cs="Times New Roman"/>
                <w:color w:val="auto"/>
                <w:sz w:val="24"/>
                <w:lang w:eastAsia="zh-CN"/>
              </w:rPr>
              <w:t>基础工程阶段</w:t>
            </w:r>
          </w:p>
          <w:p w14:paraId="3A49D399">
            <w:pPr>
              <w:spacing w:line="360" w:lineRule="auto"/>
              <w:ind w:firstLine="480" w:firstLineChars="200"/>
              <w:jc w:val="both"/>
              <w:rPr>
                <w:rFonts w:hint="eastAsia" w:ascii="Times New Roman" w:hAnsi="Times New Roman" w:cs="Times New Roman"/>
                <w:color w:val="auto"/>
                <w:sz w:val="24"/>
                <w:lang w:eastAsia="zh-CN"/>
              </w:rPr>
            </w:pPr>
            <w:r>
              <w:rPr>
                <w:rFonts w:hint="eastAsia" w:ascii="Times New Roman" w:hAnsi="Times New Roman" w:cs="Times New Roman"/>
                <w:color w:val="auto"/>
                <w:sz w:val="24"/>
                <w:lang w:eastAsia="zh-CN"/>
              </w:rPr>
              <w:t>基础阶段主要噪声源是空压机、振捣棒等，基本属于固定噪声源。</w:t>
            </w:r>
          </w:p>
          <w:p w14:paraId="69E0F712">
            <w:pPr>
              <w:spacing w:line="360" w:lineRule="auto"/>
              <w:ind w:firstLine="480" w:firstLineChars="200"/>
              <w:jc w:val="both"/>
              <w:rPr>
                <w:rFonts w:hint="eastAsia" w:ascii="Times New Roman" w:hAnsi="Times New Roman" w:cs="Times New Roman"/>
                <w:color w:val="auto"/>
                <w:sz w:val="24"/>
                <w:lang w:eastAsia="zh-CN"/>
              </w:rPr>
            </w:pPr>
            <w:r>
              <w:rPr>
                <w:rFonts w:hint="eastAsia" w:cs="Times New Roman"/>
                <w:color w:val="auto"/>
                <w:sz w:val="24"/>
                <w:lang w:val="en-US" w:eastAsia="zh-CN"/>
              </w:rPr>
              <w:t>②</w:t>
            </w:r>
            <w:r>
              <w:rPr>
                <w:rFonts w:hint="eastAsia" w:ascii="Times New Roman" w:hAnsi="Times New Roman" w:cs="Times New Roman"/>
                <w:color w:val="auto"/>
                <w:sz w:val="24"/>
                <w:lang w:eastAsia="zh-CN"/>
              </w:rPr>
              <w:t>结构工程阶段</w:t>
            </w:r>
          </w:p>
          <w:p w14:paraId="51F601C3">
            <w:pPr>
              <w:spacing w:line="360" w:lineRule="auto"/>
              <w:ind w:firstLine="480" w:firstLineChars="200"/>
              <w:jc w:val="both"/>
              <w:rPr>
                <w:rFonts w:hint="eastAsia" w:ascii="Times New Roman" w:hAnsi="Times New Roman" w:cs="Times New Roman"/>
                <w:color w:val="auto"/>
                <w:sz w:val="24"/>
                <w:lang w:eastAsia="zh-CN"/>
              </w:rPr>
            </w:pPr>
            <w:r>
              <w:rPr>
                <w:rFonts w:hint="eastAsia" w:ascii="Times New Roman" w:hAnsi="Times New Roman" w:cs="Times New Roman"/>
                <w:color w:val="auto"/>
                <w:sz w:val="24"/>
                <w:lang w:eastAsia="zh-CN"/>
              </w:rPr>
              <w:t>结构施工阶段使用的设备、机具种类较多，也是施工过程中噪声重点控制阶段。结构工程阶段的主要噪声源有各种运输设备以及各种辅助设备，其中砼输送依托现有生产线。</w:t>
            </w:r>
          </w:p>
          <w:p w14:paraId="501E3B53">
            <w:pPr>
              <w:spacing w:line="360" w:lineRule="auto"/>
              <w:ind w:firstLine="480" w:firstLineChars="200"/>
              <w:jc w:val="both"/>
              <w:rPr>
                <w:rFonts w:hint="eastAsia" w:ascii="Times New Roman" w:hAnsi="Times New Roman" w:cs="Times New Roman"/>
                <w:color w:val="auto"/>
                <w:sz w:val="24"/>
                <w:lang w:eastAsia="zh-CN"/>
              </w:rPr>
            </w:pPr>
            <w:r>
              <w:rPr>
                <w:rFonts w:hint="eastAsia" w:ascii="Times New Roman" w:hAnsi="Times New Roman" w:cs="Times New Roman"/>
                <w:color w:val="auto"/>
                <w:sz w:val="24"/>
                <w:lang w:eastAsia="zh-CN"/>
              </w:rPr>
              <w:t>（2）噪声预测</w:t>
            </w:r>
          </w:p>
          <w:p w14:paraId="65A7A26D">
            <w:pPr>
              <w:spacing w:line="360" w:lineRule="auto"/>
              <w:ind w:firstLine="480" w:firstLineChars="200"/>
              <w:jc w:val="both"/>
              <w:rPr>
                <w:rFonts w:hint="eastAsia" w:ascii="Times New Roman" w:hAnsi="Times New Roman" w:cs="Times New Roman"/>
                <w:color w:val="auto"/>
                <w:sz w:val="24"/>
                <w:lang w:eastAsia="zh-CN"/>
              </w:rPr>
            </w:pPr>
            <w:r>
              <w:rPr>
                <w:rFonts w:hint="eastAsia" w:ascii="Times New Roman" w:hAnsi="Times New Roman" w:cs="Times New Roman"/>
                <w:color w:val="auto"/>
                <w:sz w:val="24"/>
                <w:lang w:eastAsia="zh-CN"/>
              </w:rPr>
              <w:t>由于本工程施工机械产生的噪声主要</w:t>
            </w:r>
            <w:r>
              <w:rPr>
                <w:rFonts w:hint="eastAsia" w:cs="Times New Roman"/>
                <w:color w:val="auto"/>
                <w:sz w:val="24"/>
                <w:lang w:eastAsia="zh-CN"/>
              </w:rPr>
              <w:t>属于</w:t>
            </w:r>
            <w:r>
              <w:rPr>
                <w:rFonts w:hint="eastAsia" w:ascii="Times New Roman" w:hAnsi="Times New Roman" w:cs="Times New Roman"/>
                <w:color w:val="auto"/>
                <w:sz w:val="24"/>
                <w:lang w:eastAsia="zh-CN"/>
              </w:rPr>
              <w:t>中低频噪声，因此在预测其影响时可只考虑其扩散衰减，预测模型可选用：</w:t>
            </w:r>
          </w:p>
          <w:p w14:paraId="7A772B06">
            <w:pPr>
              <w:spacing w:line="360" w:lineRule="auto"/>
              <w:ind w:firstLine="480" w:firstLineChars="200"/>
              <w:jc w:val="both"/>
              <w:rPr>
                <w:rFonts w:hint="eastAsia" w:ascii="Times New Roman" w:hAnsi="Times New Roman" w:cs="Times New Roman"/>
                <w:color w:val="auto"/>
                <w:sz w:val="24"/>
                <w:lang w:eastAsia="zh-CN"/>
              </w:rPr>
            </w:pPr>
            <w:r>
              <w:rPr>
                <w:rFonts w:hint="eastAsia" w:cs="Times New Roman"/>
                <w:color w:val="auto"/>
                <w:sz w:val="24"/>
                <w:lang w:val="en-US" w:eastAsia="zh-CN"/>
              </w:rPr>
              <w:t>①</w:t>
            </w:r>
            <w:r>
              <w:rPr>
                <w:rFonts w:hint="eastAsia" w:ascii="Times New Roman" w:hAnsi="Times New Roman" w:cs="Times New Roman"/>
                <w:color w:val="auto"/>
                <w:sz w:val="24"/>
                <w:lang w:eastAsia="zh-CN"/>
              </w:rPr>
              <w:t>每个点源对预测点的声级Lr按下式计算：</w:t>
            </w:r>
          </w:p>
          <w:p w14:paraId="5CBCB3B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cs="Times New Roman"/>
                <w:color w:val="auto"/>
                <w:sz w:val="24"/>
                <w:lang w:eastAsia="zh-CN"/>
              </w:rPr>
            </w:pPr>
            <w:r>
              <w:rPr>
                <w:rFonts w:hint="eastAsia" w:ascii="Times New Roman" w:hAnsi="Times New Roman" w:cs="Times New Roman"/>
                <w:color w:val="auto"/>
                <w:sz w:val="24"/>
                <w:lang w:eastAsia="zh-CN"/>
              </w:rPr>
              <w:t>Lp=Lp0-20Lg(r/r0)</w:t>
            </w:r>
          </w:p>
          <w:p w14:paraId="3BC490BC">
            <w:pPr>
              <w:spacing w:line="360" w:lineRule="auto"/>
              <w:ind w:firstLine="480" w:firstLineChars="200"/>
              <w:jc w:val="both"/>
              <w:rPr>
                <w:rFonts w:hint="eastAsia" w:ascii="Times New Roman" w:hAnsi="Times New Roman" w:cs="Times New Roman"/>
                <w:color w:val="auto"/>
                <w:sz w:val="24"/>
                <w:lang w:eastAsia="zh-CN"/>
              </w:rPr>
            </w:pPr>
            <w:r>
              <w:rPr>
                <w:rFonts w:hint="eastAsia" w:ascii="Times New Roman" w:hAnsi="Times New Roman" w:cs="Times New Roman"/>
                <w:color w:val="auto"/>
                <w:sz w:val="24"/>
                <w:lang w:eastAsia="zh-CN"/>
              </w:rPr>
              <w:t>式中：</w:t>
            </w:r>
            <w:r>
              <w:rPr>
                <w:rFonts w:hint="eastAsia" w:ascii="Times New Roman" w:hAnsi="Times New Roman" w:cs="Times New Roman"/>
                <w:i/>
                <w:iCs/>
                <w:color w:val="auto"/>
                <w:sz w:val="24"/>
                <w:lang w:eastAsia="zh-CN"/>
              </w:rPr>
              <w:t>L</w:t>
            </w:r>
            <w:r>
              <w:rPr>
                <w:rFonts w:hint="eastAsia" w:ascii="Times New Roman" w:hAnsi="Times New Roman" w:cs="Times New Roman"/>
                <w:i/>
                <w:iCs/>
                <w:color w:val="auto"/>
                <w:sz w:val="24"/>
                <w:vertAlign w:val="subscript"/>
                <w:lang w:eastAsia="zh-CN"/>
              </w:rPr>
              <w:t>P</w:t>
            </w:r>
            <w:r>
              <w:rPr>
                <w:rFonts w:hint="eastAsia" w:ascii="Times New Roman" w:hAnsi="Times New Roman" w:cs="Times New Roman"/>
                <w:color w:val="auto"/>
                <w:sz w:val="24"/>
                <w:lang w:eastAsia="zh-CN"/>
              </w:rPr>
              <w:t>——距离声源r处的声级dB</w:t>
            </w:r>
            <w:r>
              <w:rPr>
                <w:rFonts w:hint="eastAsia" w:cs="Times New Roman"/>
                <w:color w:val="auto"/>
                <w:sz w:val="24"/>
                <w:lang w:val="en-US" w:eastAsia="zh-CN"/>
              </w:rPr>
              <w:t>(</w:t>
            </w:r>
            <w:r>
              <w:rPr>
                <w:rFonts w:hint="eastAsia" w:ascii="Times New Roman" w:hAnsi="Times New Roman" w:cs="Times New Roman"/>
                <w:color w:val="auto"/>
                <w:sz w:val="24"/>
                <w:lang w:eastAsia="zh-CN"/>
              </w:rPr>
              <w:t>A</w:t>
            </w:r>
            <w:r>
              <w:rPr>
                <w:rFonts w:hint="eastAsia" w:cs="Times New Roman"/>
                <w:color w:val="auto"/>
                <w:sz w:val="24"/>
                <w:lang w:val="en-US" w:eastAsia="zh-CN"/>
              </w:rPr>
              <w:t>)</w:t>
            </w:r>
            <w:r>
              <w:rPr>
                <w:rFonts w:hint="eastAsia" w:ascii="Times New Roman" w:hAnsi="Times New Roman" w:cs="Times New Roman"/>
                <w:color w:val="auto"/>
                <w:sz w:val="24"/>
                <w:lang w:eastAsia="zh-CN"/>
              </w:rPr>
              <w:t>；</w:t>
            </w:r>
          </w:p>
          <w:p w14:paraId="2C77E20E">
            <w:pPr>
              <w:spacing w:line="360" w:lineRule="auto"/>
              <w:ind w:firstLine="1200" w:firstLineChars="500"/>
              <w:jc w:val="both"/>
              <w:rPr>
                <w:rFonts w:hint="eastAsia" w:ascii="Times New Roman" w:hAnsi="Times New Roman" w:cs="Times New Roman"/>
                <w:color w:val="auto"/>
                <w:sz w:val="24"/>
                <w:lang w:eastAsia="zh-CN"/>
              </w:rPr>
            </w:pPr>
            <w:r>
              <w:rPr>
                <w:rFonts w:hint="eastAsia" w:ascii="Times New Roman" w:hAnsi="Times New Roman" w:cs="Times New Roman"/>
                <w:i/>
                <w:iCs/>
                <w:color w:val="auto"/>
                <w:sz w:val="24"/>
                <w:lang w:eastAsia="zh-CN"/>
              </w:rPr>
              <w:t>L</w:t>
            </w:r>
            <w:r>
              <w:rPr>
                <w:rFonts w:hint="eastAsia" w:ascii="Times New Roman" w:hAnsi="Times New Roman" w:cs="Times New Roman"/>
                <w:i/>
                <w:iCs/>
                <w:color w:val="auto"/>
                <w:sz w:val="24"/>
                <w:vertAlign w:val="subscript"/>
                <w:lang w:eastAsia="zh-CN"/>
              </w:rPr>
              <w:t>P0</w:t>
            </w:r>
            <w:r>
              <w:rPr>
                <w:rFonts w:hint="eastAsia" w:ascii="Times New Roman" w:hAnsi="Times New Roman" w:cs="Times New Roman"/>
                <w:color w:val="auto"/>
                <w:sz w:val="24"/>
                <w:lang w:eastAsia="zh-CN"/>
              </w:rPr>
              <w:t>——距离声源r0处的声级dB</w:t>
            </w:r>
            <w:r>
              <w:rPr>
                <w:rFonts w:hint="eastAsia" w:cs="Times New Roman"/>
                <w:color w:val="auto"/>
                <w:sz w:val="24"/>
                <w:lang w:val="en-US" w:eastAsia="zh-CN"/>
              </w:rPr>
              <w:t>(</w:t>
            </w:r>
            <w:r>
              <w:rPr>
                <w:rFonts w:hint="eastAsia" w:ascii="Times New Roman" w:hAnsi="Times New Roman" w:cs="Times New Roman"/>
                <w:color w:val="auto"/>
                <w:sz w:val="24"/>
                <w:lang w:eastAsia="zh-CN"/>
              </w:rPr>
              <w:t>A</w:t>
            </w:r>
            <w:r>
              <w:rPr>
                <w:rFonts w:hint="eastAsia" w:cs="Times New Roman"/>
                <w:color w:val="auto"/>
                <w:sz w:val="24"/>
                <w:lang w:val="en-US" w:eastAsia="zh-CN"/>
              </w:rPr>
              <w:t>)</w:t>
            </w:r>
            <w:r>
              <w:rPr>
                <w:rFonts w:hint="eastAsia" w:ascii="Times New Roman" w:hAnsi="Times New Roman" w:cs="Times New Roman"/>
                <w:color w:val="auto"/>
                <w:sz w:val="24"/>
                <w:lang w:eastAsia="zh-CN"/>
              </w:rPr>
              <w:t>；</w:t>
            </w:r>
          </w:p>
          <w:p w14:paraId="0F7467E6">
            <w:pPr>
              <w:spacing w:line="360" w:lineRule="auto"/>
              <w:ind w:firstLine="1200" w:firstLineChars="500"/>
              <w:jc w:val="both"/>
              <w:rPr>
                <w:rFonts w:hint="eastAsia" w:ascii="Times New Roman" w:hAnsi="Times New Roman" w:cs="Times New Roman"/>
                <w:color w:val="auto"/>
                <w:sz w:val="24"/>
                <w:lang w:eastAsia="zh-CN"/>
              </w:rPr>
            </w:pPr>
            <w:r>
              <w:rPr>
                <w:rFonts w:hint="eastAsia" w:ascii="Times New Roman" w:hAnsi="Times New Roman" w:cs="Times New Roman"/>
                <w:i/>
                <w:iCs/>
                <w:color w:val="auto"/>
                <w:sz w:val="24"/>
                <w:lang w:eastAsia="zh-CN"/>
              </w:rPr>
              <w:t>r</w:t>
            </w:r>
            <w:r>
              <w:rPr>
                <w:rFonts w:hint="eastAsia" w:ascii="Times New Roman" w:hAnsi="Times New Roman" w:cs="Times New Roman"/>
                <w:color w:val="auto"/>
                <w:sz w:val="24"/>
                <w:lang w:eastAsia="zh-CN"/>
              </w:rPr>
              <w:t>——预测点与声源之间的距离，m；</w:t>
            </w:r>
          </w:p>
          <w:p w14:paraId="181FF001">
            <w:pPr>
              <w:spacing w:line="360" w:lineRule="auto"/>
              <w:ind w:firstLine="1200" w:firstLineChars="500"/>
              <w:jc w:val="both"/>
              <w:rPr>
                <w:rFonts w:hint="eastAsia" w:ascii="Times New Roman" w:hAnsi="Times New Roman" w:cs="Times New Roman"/>
                <w:color w:val="auto"/>
                <w:sz w:val="24"/>
                <w:lang w:eastAsia="zh-CN"/>
              </w:rPr>
            </w:pPr>
            <w:r>
              <w:rPr>
                <w:rFonts w:hint="eastAsia" w:ascii="Times New Roman" w:hAnsi="Times New Roman" w:cs="Times New Roman"/>
                <w:i/>
                <w:iCs/>
                <w:color w:val="auto"/>
                <w:sz w:val="24"/>
                <w:lang w:eastAsia="zh-CN"/>
              </w:rPr>
              <w:t>r0</w:t>
            </w:r>
            <w:r>
              <w:rPr>
                <w:rFonts w:hint="eastAsia" w:ascii="Times New Roman" w:hAnsi="Times New Roman" w:cs="Times New Roman"/>
                <w:color w:val="auto"/>
                <w:sz w:val="24"/>
                <w:lang w:eastAsia="zh-CN"/>
              </w:rPr>
              <w:t>——参考处与声源之间的距离，m；</w:t>
            </w:r>
          </w:p>
          <w:p w14:paraId="40A67388">
            <w:pPr>
              <w:spacing w:line="360" w:lineRule="auto"/>
              <w:ind w:firstLine="480" w:firstLineChars="200"/>
              <w:jc w:val="both"/>
              <w:rPr>
                <w:rFonts w:hint="eastAsia" w:ascii="Times New Roman" w:hAnsi="Times New Roman" w:cs="Times New Roman"/>
                <w:color w:val="auto"/>
                <w:sz w:val="24"/>
                <w:lang w:eastAsia="zh-CN"/>
              </w:rPr>
            </w:pPr>
            <w:r>
              <w:rPr>
                <w:rFonts w:hint="eastAsia" w:cs="Times New Roman"/>
                <w:color w:val="auto"/>
                <w:sz w:val="24"/>
                <w:lang w:val="en-US" w:eastAsia="zh-CN"/>
              </w:rPr>
              <w:t>②</w:t>
            </w:r>
            <w:r>
              <w:rPr>
                <w:rFonts w:hint="eastAsia" w:ascii="Times New Roman" w:hAnsi="Times New Roman" w:cs="Times New Roman"/>
                <w:color w:val="auto"/>
                <w:sz w:val="24"/>
                <w:lang w:eastAsia="zh-CN"/>
              </w:rPr>
              <w:t>多点源声级叠加模式：</w:t>
            </w:r>
          </w:p>
          <w:p w14:paraId="1977EA08">
            <w:pPr>
              <w:spacing w:line="360" w:lineRule="auto"/>
              <w:jc w:val="center"/>
              <w:rPr>
                <w:rFonts w:hint="eastAsia" w:ascii="Times New Roman" w:hAnsi="Times New Roman" w:cs="Times New Roman"/>
                <w:color w:val="auto"/>
                <w:sz w:val="24"/>
                <w:lang w:eastAsia="zh-CN"/>
              </w:rPr>
            </w:pPr>
            <w:r>
              <w:rPr>
                <w:rFonts w:hint="eastAsia" w:ascii="Times New Roman" w:hAnsi="Times New Roman" w:cs="Times New Roman"/>
                <w:color w:val="auto"/>
                <w:sz w:val="24"/>
                <w:lang w:eastAsia="zh-CN"/>
              </w:rPr>
              <w:t>Pi=C</w:t>
            </w:r>
            <w:r>
              <w:rPr>
                <w:rFonts w:hint="eastAsia" w:ascii="Times New Roman" w:hAnsi="Times New Roman" w:cs="Times New Roman"/>
                <w:color w:val="auto"/>
                <w:sz w:val="24"/>
                <w:vertAlign w:val="baseline"/>
                <w:lang w:eastAsia="zh-CN"/>
              </w:rPr>
              <w:t>i</w:t>
            </w:r>
            <w:r>
              <w:rPr>
                <w:rFonts w:hint="eastAsia" w:ascii="Times New Roman" w:hAnsi="Times New Roman" w:cs="Times New Roman"/>
                <w:color w:val="auto"/>
                <w:sz w:val="24"/>
                <w:lang w:val="en-US" w:eastAsia="zh-CN"/>
              </w:rPr>
              <w:t>/</w:t>
            </w:r>
            <w:r>
              <w:rPr>
                <w:rFonts w:hint="eastAsia" w:ascii="Times New Roman" w:hAnsi="Times New Roman" w:cs="Times New Roman"/>
                <w:color w:val="auto"/>
                <w:sz w:val="24"/>
                <w:lang w:eastAsia="zh-CN"/>
              </w:rPr>
              <w:t>C</w:t>
            </w:r>
            <w:r>
              <w:rPr>
                <w:rFonts w:hint="eastAsia" w:ascii="Times New Roman" w:hAnsi="Times New Roman" w:cs="Times New Roman"/>
                <w:color w:val="auto"/>
                <w:sz w:val="24"/>
                <w:vertAlign w:val="baseline"/>
                <w:lang w:eastAsia="zh-CN"/>
              </w:rPr>
              <w:t>0i</w:t>
            </w:r>
            <w:r>
              <w:rPr>
                <w:rFonts w:hint="eastAsia" w:ascii="Times New Roman" w:hAnsi="Times New Roman" w:cs="Times New Roman"/>
                <w:color w:val="auto"/>
                <w:sz w:val="24"/>
                <w:vertAlign w:val="baseline"/>
                <w:lang w:val="en-US" w:eastAsia="zh-CN"/>
              </w:rPr>
              <w:t>*</w:t>
            </w:r>
            <w:r>
              <w:rPr>
                <w:rFonts w:hint="eastAsia" w:ascii="Times New Roman" w:hAnsi="Times New Roman" w:cs="Times New Roman"/>
                <w:color w:val="auto"/>
                <w:sz w:val="24"/>
                <w:lang w:eastAsia="zh-CN"/>
              </w:rPr>
              <w:t>100%</w:t>
            </w:r>
          </w:p>
          <w:p w14:paraId="4C9AE91C">
            <w:pPr>
              <w:spacing w:line="360" w:lineRule="auto"/>
              <w:ind w:firstLine="480" w:firstLineChars="200"/>
              <w:jc w:val="both"/>
              <w:rPr>
                <w:rFonts w:hint="eastAsia" w:ascii="Times New Roman" w:hAnsi="Times New Roman" w:cs="Times New Roman"/>
                <w:color w:val="auto"/>
                <w:sz w:val="24"/>
                <w:lang w:eastAsia="zh-CN"/>
              </w:rPr>
            </w:pPr>
            <w:r>
              <w:rPr>
                <w:rFonts w:hint="eastAsia" w:ascii="Times New Roman" w:hAnsi="Times New Roman" w:cs="Times New Roman"/>
                <w:color w:val="auto"/>
                <w:sz w:val="24"/>
                <w:lang w:eastAsia="zh-CN"/>
              </w:rPr>
              <w:t>式中：</w:t>
            </w:r>
            <w:r>
              <w:rPr>
                <w:rFonts w:hint="eastAsia" w:ascii="Times New Roman" w:hAnsi="Times New Roman" w:cs="Times New Roman"/>
                <w:i/>
                <w:iCs/>
                <w:color w:val="auto"/>
                <w:sz w:val="24"/>
                <w:lang w:eastAsia="zh-CN"/>
              </w:rPr>
              <w:t>Leq总</w:t>
            </w:r>
            <w:r>
              <w:rPr>
                <w:rFonts w:hint="eastAsia" w:ascii="Times New Roman" w:hAnsi="Times New Roman" w:cs="Times New Roman"/>
                <w:color w:val="auto"/>
                <w:sz w:val="24"/>
                <w:lang w:eastAsia="zh-CN"/>
              </w:rPr>
              <w:t>——预测点的总等效声级dB</w:t>
            </w:r>
            <w:r>
              <w:rPr>
                <w:rFonts w:hint="eastAsia" w:cs="Times New Roman"/>
                <w:color w:val="auto"/>
                <w:sz w:val="24"/>
                <w:lang w:val="en-US" w:eastAsia="zh-CN"/>
              </w:rPr>
              <w:t>(</w:t>
            </w:r>
            <w:r>
              <w:rPr>
                <w:rFonts w:hint="eastAsia" w:ascii="Times New Roman" w:hAnsi="Times New Roman" w:cs="Times New Roman"/>
                <w:color w:val="auto"/>
                <w:sz w:val="24"/>
                <w:lang w:eastAsia="zh-CN"/>
              </w:rPr>
              <w:t>A</w:t>
            </w:r>
            <w:r>
              <w:rPr>
                <w:rFonts w:hint="eastAsia" w:cs="Times New Roman"/>
                <w:color w:val="auto"/>
                <w:sz w:val="24"/>
                <w:lang w:val="en-US" w:eastAsia="zh-CN"/>
              </w:rPr>
              <w:t>)</w:t>
            </w:r>
            <w:r>
              <w:rPr>
                <w:rFonts w:hint="eastAsia" w:ascii="Times New Roman" w:hAnsi="Times New Roman" w:cs="Times New Roman"/>
                <w:color w:val="auto"/>
                <w:sz w:val="24"/>
                <w:lang w:eastAsia="zh-CN"/>
              </w:rPr>
              <w:t>；</w:t>
            </w:r>
          </w:p>
          <w:p w14:paraId="44068351">
            <w:pPr>
              <w:spacing w:line="360" w:lineRule="auto"/>
              <w:ind w:firstLine="1200" w:firstLineChars="500"/>
              <w:jc w:val="both"/>
              <w:rPr>
                <w:rFonts w:hint="eastAsia" w:ascii="Times New Roman" w:hAnsi="Times New Roman" w:cs="Times New Roman"/>
                <w:color w:val="auto"/>
                <w:sz w:val="24"/>
                <w:lang w:eastAsia="zh-CN"/>
              </w:rPr>
            </w:pPr>
            <w:r>
              <w:rPr>
                <w:rFonts w:hint="eastAsia" w:ascii="Times New Roman" w:hAnsi="Times New Roman" w:cs="Times New Roman"/>
                <w:i/>
                <w:iCs/>
                <w:color w:val="auto"/>
                <w:sz w:val="24"/>
                <w:lang w:eastAsia="zh-CN"/>
              </w:rPr>
              <w:t>Leqi</w:t>
            </w:r>
            <w:r>
              <w:rPr>
                <w:rFonts w:hint="eastAsia" w:ascii="Times New Roman" w:hAnsi="Times New Roman" w:cs="Times New Roman"/>
                <w:color w:val="auto"/>
                <w:sz w:val="24"/>
                <w:lang w:eastAsia="zh-CN"/>
              </w:rPr>
              <w:t>——第I个</w:t>
            </w:r>
            <w:r>
              <w:rPr>
                <w:rFonts w:hint="eastAsia" w:cs="Times New Roman"/>
                <w:color w:val="auto"/>
                <w:sz w:val="24"/>
                <w:lang w:eastAsia="zh-CN"/>
              </w:rPr>
              <w:t>声源</w:t>
            </w:r>
            <w:r>
              <w:rPr>
                <w:rFonts w:hint="eastAsia" w:ascii="Times New Roman" w:hAnsi="Times New Roman" w:cs="Times New Roman"/>
                <w:color w:val="auto"/>
                <w:sz w:val="24"/>
                <w:lang w:eastAsia="zh-CN"/>
              </w:rPr>
              <w:t>对某个预测点的等效声级dB</w:t>
            </w:r>
            <w:r>
              <w:rPr>
                <w:rFonts w:hint="eastAsia" w:cs="Times New Roman"/>
                <w:color w:val="auto"/>
                <w:sz w:val="24"/>
                <w:lang w:val="en-US" w:eastAsia="zh-CN"/>
              </w:rPr>
              <w:t>(</w:t>
            </w:r>
            <w:r>
              <w:rPr>
                <w:rFonts w:hint="eastAsia" w:ascii="Times New Roman" w:hAnsi="Times New Roman" w:cs="Times New Roman"/>
                <w:color w:val="auto"/>
                <w:sz w:val="24"/>
                <w:lang w:eastAsia="zh-CN"/>
              </w:rPr>
              <w:t>A</w:t>
            </w:r>
            <w:r>
              <w:rPr>
                <w:rFonts w:hint="eastAsia" w:cs="Times New Roman"/>
                <w:color w:val="auto"/>
                <w:sz w:val="24"/>
                <w:lang w:val="en-US" w:eastAsia="zh-CN"/>
              </w:rPr>
              <w:t>)</w:t>
            </w:r>
            <w:r>
              <w:rPr>
                <w:rFonts w:hint="eastAsia" w:ascii="Times New Roman" w:hAnsi="Times New Roman" w:cs="Times New Roman"/>
                <w:color w:val="auto"/>
                <w:sz w:val="24"/>
                <w:lang w:eastAsia="zh-CN"/>
              </w:rPr>
              <w:t>；</w:t>
            </w:r>
          </w:p>
          <w:p w14:paraId="715113E7">
            <w:pPr>
              <w:spacing w:line="360" w:lineRule="auto"/>
              <w:ind w:firstLine="1200" w:firstLineChars="500"/>
              <w:jc w:val="both"/>
              <w:rPr>
                <w:rFonts w:hint="eastAsia" w:ascii="Times New Roman" w:hAnsi="Times New Roman" w:cs="Times New Roman"/>
                <w:color w:val="auto"/>
                <w:sz w:val="24"/>
                <w:lang w:eastAsia="zh-CN"/>
              </w:rPr>
            </w:pPr>
            <w:r>
              <w:rPr>
                <w:rFonts w:hint="eastAsia" w:ascii="Times New Roman" w:hAnsi="Times New Roman" w:cs="Times New Roman"/>
                <w:i/>
                <w:iCs/>
                <w:color w:val="auto"/>
                <w:sz w:val="24"/>
                <w:lang w:eastAsia="zh-CN"/>
              </w:rPr>
              <w:t>n</w:t>
            </w:r>
            <w:r>
              <w:rPr>
                <w:rFonts w:hint="eastAsia" w:ascii="Times New Roman" w:hAnsi="Times New Roman" w:cs="Times New Roman"/>
                <w:color w:val="auto"/>
                <w:sz w:val="24"/>
                <w:lang w:eastAsia="zh-CN"/>
              </w:rPr>
              <w:t>——噪声源数。</w:t>
            </w:r>
          </w:p>
          <w:p w14:paraId="15F05E58">
            <w:pPr>
              <w:spacing w:line="360" w:lineRule="auto"/>
              <w:ind w:firstLine="480" w:firstLineChars="200"/>
              <w:jc w:val="both"/>
              <w:rPr>
                <w:rFonts w:hint="eastAsia" w:ascii="Times New Roman" w:hAnsi="Times New Roman" w:cs="Times New Roman"/>
                <w:color w:val="auto"/>
                <w:sz w:val="24"/>
                <w:lang w:eastAsia="zh-CN"/>
              </w:rPr>
            </w:pPr>
            <w:r>
              <w:rPr>
                <w:rFonts w:hint="eastAsia" w:ascii="Times New Roman" w:hAnsi="Times New Roman" w:cs="Times New Roman"/>
                <w:color w:val="auto"/>
                <w:sz w:val="24"/>
                <w:lang w:eastAsia="zh-CN"/>
              </w:rPr>
              <w:t>本次预测选取施工期主要施工机械及各施工阶段常用组合，设定在对周边环境最为不利的位置预测噪声贡献值，施工期主要强噪声源距场界不同距离时的噪声预测值及环境敏感点噪声预测值如下：</w:t>
            </w:r>
          </w:p>
          <w:p w14:paraId="73DB665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宋体"/>
                <w:color w:val="auto"/>
                <w:sz w:val="24"/>
                <w:szCs w:val="24"/>
                <w:lang w:eastAsia="zh-CN"/>
              </w:rPr>
            </w:pPr>
            <w:r>
              <w:rPr>
                <w:b/>
                <w:bCs/>
                <w:color w:val="auto"/>
                <w:sz w:val="24"/>
                <w:szCs w:val="24"/>
              </w:rPr>
              <w:t>表</w:t>
            </w:r>
            <w:r>
              <w:rPr>
                <w:rFonts w:hint="eastAsia"/>
                <w:b/>
                <w:bCs/>
                <w:color w:val="auto"/>
                <w:sz w:val="24"/>
                <w:szCs w:val="24"/>
                <w:lang w:val="en-US" w:eastAsia="zh-CN"/>
              </w:rPr>
              <w:t>4</w:t>
            </w:r>
            <w:r>
              <w:rPr>
                <w:rFonts w:hint="eastAsia"/>
                <w:b/>
                <w:bCs/>
                <w:color w:val="auto"/>
                <w:sz w:val="24"/>
                <w:szCs w:val="24"/>
              </w:rPr>
              <w:t>-</w:t>
            </w:r>
            <w:r>
              <w:rPr>
                <w:rFonts w:hint="eastAsia"/>
                <w:b/>
                <w:bCs/>
                <w:color w:val="auto"/>
                <w:sz w:val="24"/>
                <w:szCs w:val="24"/>
                <w:lang w:val="en-US" w:eastAsia="zh-CN"/>
              </w:rPr>
              <w:t xml:space="preserve">2  </w:t>
            </w:r>
            <w:r>
              <w:rPr>
                <w:rFonts w:hint="eastAsia"/>
                <w:b/>
                <w:bCs/>
                <w:color w:val="auto"/>
                <w:sz w:val="24"/>
                <w:szCs w:val="24"/>
              </w:rPr>
              <w:t>施工期噪声源在不同距离的噪声预测值 单位：dB</w:t>
            </w:r>
            <w:r>
              <w:rPr>
                <w:rFonts w:hint="eastAsia"/>
                <w:b/>
                <w:bCs/>
                <w:color w:val="auto"/>
                <w:sz w:val="24"/>
                <w:szCs w:val="24"/>
                <w:lang w:val="en-US" w:eastAsia="zh-CN"/>
              </w:rPr>
              <w:t>(</w:t>
            </w:r>
            <w:r>
              <w:rPr>
                <w:rFonts w:hint="eastAsia"/>
                <w:b/>
                <w:bCs/>
                <w:color w:val="auto"/>
                <w:sz w:val="24"/>
                <w:szCs w:val="24"/>
              </w:rPr>
              <w:t>A</w:t>
            </w:r>
            <w:r>
              <w:rPr>
                <w:rFonts w:hint="eastAsia"/>
                <w:b/>
                <w:bCs/>
                <w:color w:val="auto"/>
                <w:sz w:val="24"/>
                <w:szCs w:val="24"/>
                <w:lang w:val="en-US" w:eastAsia="zh-CN"/>
              </w:rPr>
              <w:t>)</w:t>
            </w:r>
          </w:p>
          <w:tbl>
            <w:tblPr>
              <w:tblStyle w:val="26"/>
              <w:tblW w:w="4999"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0" w:type="dxa"/>
                <w:bottom w:w="0" w:type="dxa"/>
                <w:right w:w="0" w:type="dxa"/>
              </w:tblCellMar>
            </w:tblPr>
            <w:tblGrid>
              <w:gridCol w:w="1484"/>
              <w:gridCol w:w="971"/>
              <w:gridCol w:w="971"/>
              <w:gridCol w:w="971"/>
              <w:gridCol w:w="971"/>
              <w:gridCol w:w="971"/>
              <w:gridCol w:w="973"/>
              <w:gridCol w:w="979"/>
            </w:tblGrid>
            <w:tr w14:paraId="6D35B76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767" w:hRule="atLeast"/>
                <w:tblHeader/>
                <w:jc w:val="center"/>
              </w:trPr>
              <w:tc>
                <w:tcPr>
                  <w:tcW w:w="895" w:type="pct"/>
                  <w:noWrap w:val="0"/>
                  <w:vAlign w:val="center"/>
                  <mc:AlternateContent>
                    <mc:Choice Requires="wpsCustomData">
                      <wpsCustomData:diagonals>
                        <wpsCustomData:diagonal from="10000" to="30000">
                          <wpsCustomData:border w:val="single" w:color="auto" w:sz="2" w:space="0"/>
                        </wpsCustomData:diagonal>
                      </wpsCustomData:diagonals>
                    </mc:Choice>
                  </mc:AlternateContent>
                </w:tcPr>
                <w:p w14:paraId="10F54134">
                  <w:pPr>
                    <w:keepNext w:val="0"/>
                    <w:keepLines w:val="0"/>
                    <w:pageBreakBefore w:val="0"/>
                    <w:kinsoku/>
                    <w:wordWrap/>
                    <w:overflowPunct/>
                    <w:topLinePunct w:val="0"/>
                    <w:autoSpaceDE/>
                    <w:autoSpaceDN/>
                    <w:bidi w:val="0"/>
                    <w:adjustRightInd w:val="0"/>
                    <w:snapToGrid w:val="0"/>
                    <w:spacing w:line="240" w:lineRule="auto"/>
                    <w:jc w:val="center"/>
                    <w:rPr>
                      <w:b w:val="0"/>
                      <w:bCs w:val="0"/>
                      <w:color w:val="auto"/>
                      <w:sz w:val="21"/>
                      <w:szCs w:val="21"/>
                    </w:rPr>
                  </w:pPr>
                </w:p>
                <w:p w14:paraId="302655CF">
                  <w:pPr>
                    <w:keepNext w:val="0"/>
                    <w:keepLines w:val="0"/>
                    <w:pageBreakBefore w:val="0"/>
                    <w:kinsoku/>
                    <w:wordWrap/>
                    <w:overflowPunct/>
                    <w:topLinePunct w:val="0"/>
                    <w:autoSpaceDE/>
                    <w:autoSpaceDN/>
                    <w:bidi w:val="0"/>
                    <w:adjustRightInd w:val="0"/>
                    <w:snapToGrid w:val="0"/>
                    <w:spacing w:line="240" w:lineRule="auto"/>
                    <w:jc w:val="center"/>
                    <w:rPr>
                      <w:rFonts w:hint="eastAsia"/>
                      <w:b w:val="0"/>
                      <w:bCs w:val="0"/>
                      <w:color w:val="auto"/>
                      <w:sz w:val="21"/>
                      <w:szCs w:val="21"/>
                      <w:lang w:eastAsia="zh-CN"/>
                    </w:rPr>
                  </w:pPr>
                </w:p>
                <w:p w14:paraId="6D7B503D">
                  <w:pPr>
                    <w:keepNext w:val="0"/>
                    <w:keepLines w:val="0"/>
                    <w:pageBreakBefore w:val="0"/>
                    <w:kinsoku/>
                    <w:wordWrap/>
                    <w:overflowPunct/>
                    <w:topLinePunct w:val="0"/>
                    <w:autoSpaceDE/>
                    <w:autoSpaceDN/>
                    <w:bidi w:val="0"/>
                    <w:adjustRightInd w:val="0"/>
                    <w:snapToGrid w:val="0"/>
                    <w:spacing w:line="240" w:lineRule="auto"/>
                    <w:jc w:val="center"/>
                    <mc:AlternateContent>
                      <mc:Choice Requires="wpsCustomData">
                        <wpsCustomData:diagonalParaType/>
                      </mc:Choice>
                    </mc:AlternateContent>
                    <w:rPr>
                      <w:b w:val="0"/>
                      <w:bCs w:val="0"/>
                      <w:color w:val="auto"/>
                      <w:sz w:val="21"/>
                      <w:szCs w:val="21"/>
                    </w:rPr>
                  </w:pPr>
                  <w:r>
                    <w:rPr>
                      <w:rFonts w:hint="eastAsia"/>
                      <w:b w:val="0"/>
                      <w:bCs w:val="0"/>
                      <w:color w:val="auto"/>
                      <w:sz w:val="21"/>
                      <w:szCs w:val="21"/>
                      <w:lang w:eastAsia="zh-CN"/>
                    </w:rPr>
                    <w:t>噪声源</w:t>
                  </w:r>
                </w:p>
                <w:p w14:paraId="70E59369">
                  <w:pPr>
                    <w:keepNext w:val="0"/>
                    <w:keepLines w:val="0"/>
                    <w:pageBreakBefore w:val="0"/>
                    <w:kinsoku/>
                    <w:wordWrap/>
                    <w:overflowPunct/>
                    <w:topLinePunct w:val="0"/>
                    <w:autoSpaceDE/>
                    <w:autoSpaceDN/>
                    <w:bidi w:val="0"/>
                    <w:adjustRightInd w:val="0"/>
                    <w:snapToGrid w:val="0"/>
                    <w:spacing w:line="360" w:lineRule="exact"/>
                    <w:jc w:val="center"/>
                    <w:rPr>
                      <w:rFonts w:hint="eastAsia" w:eastAsia="宋体"/>
                      <w:b w:val="0"/>
                      <w:bCs w:val="0"/>
                      <w:color w:val="auto"/>
                      <w:sz w:val="21"/>
                      <w:szCs w:val="21"/>
                      <w:lang w:eastAsia="zh-CN"/>
                    </w:rPr>
                  </w:pPr>
                  <w:r>
                    <w:rPr>
                      <w:rFonts w:hint="eastAsia"/>
                      <w:b w:val="0"/>
                      <w:bCs w:val="0"/>
                      <w:color w:val="auto"/>
                      <w:sz w:val="21"/>
                      <w:szCs w:val="21"/>
                      <w:lang w:eastAsia="zh-CN"/>
                    </w:rPr>
                    <w:t>距离</w:t>
                  </w:r>
                </w:p>
              </w:tc>
              <w:tc>
                <w:tcPr>
                  <w:tcW w:w="585" w:type="pct"/>
                  <w:noWrap w:val="0"/>
                  <w:vAlign w:val="center"/>
                </w:tcPr>
                <w:p w14:paraId="3680A821">
                  <w:pPr>
                    <w:keepNext w:val="0"/>
                    <w:keepLines w:val="0"/>
                    <w:pageBreakBefore w:val="0"/>
                    <w:kinsoku/>
                    <w:wordWrap/>
                    <w:overflowPunct/>
                    <w:topLinePunct w:val="0"/>
                    <w:autoSpaceDE/>
                    <w:autoSpaceDN/>
                    <w:bidi w:val="0"/>
                    <w:adjustRightInd w:val="0"/>
                    <w:snapToGrid w:val="0"/>
                    <w:spacing w:line="360" w:lineRule="exact"/>
                    <w:jc w:val="center"/>
                    <w:rPr>
                      <w:b w:val="0"/>
                      <w:bCs w:val="0"/>
                      <w:color w:val="auto"/>
                      <w:sz w:val="21"/>
                      <w:szCs w:val="21"/>
                    </w:rPr>
                  </w:pPr>
                  <w:r>
                    <w:rPr>
                      <w:rFonts w:hint="eastAsia"/>
                      <w:b w:val="0"/>
                      <w:bCs w:val="0"/>
                      <w:color w:val="auto"/>
                      <w:sz w:val="21"/>
                      <w:szCs w:val="21"/>
                    </w:rPr>
                    <w:t>15m</w:t>
                  </w:r>
                </w:p>
              </w:tc>
              <w:tc>
                <w:tcPr>
                  <w:tcW w:w="585" w:type="pct"/>
                  <w:noWrap w:val="0"/>
                  <w:vAlign w:val="center"/>
                </w:tcPr>
                <w:p w14:paraId="1540576A">
                  <w:pPr>
                    <w:keepNext w:val="0"/>
                    <w:keepLines w:val="0"/>
                    <w:pageBreakBefore w:val="0"/>
                    <w:kinsoku/>
                    <w:wordWrap/>
                    <w:overflowPunct/>
                    <w:topLinePunct w:val="0"/>
                    <w:autoSpaceDE/>
                    <w:autoSpaceDN/>
                    <w:bidi w:val="0"/>
                    <w:adjustRightInd w:val="0"/>
                    <w:snapToGrid w:val="0"/>
                    <w:spacing w:line="360" w:lineRule="exact"/>
                    <w:jc w:val="center"/>
                    <w:rPr>
                      <w:b w:val="0"/>
                      <w:bCs w:val="0"/>
                      <w:color w:val="auto"/>
                      <w:sz w:val="21"/>
                      <w:szCs w:val="21"/>
                    </w:rPr>
                  </w:pPr>
                  <w:r>
                    <w:rPr>
                      <w:rFonts w:hint="eastAsia"/>
                      <w:b w:val="0"/>
                      <w:bCs w:val="0"/>
                      <w:color w:val="auto"/>
                      <w:sz w:val="21"/>
                      <w:szCs w:val="21"/>
                    </w:rPr>
                    <w:t>20m</w:t>
                  </w:r>
                </w:p>
              </w:tc>
              <w:tc>
                <w:tcPr>
                  <w:tcW w:w="585" w:type="pct"/>
                  <w:noWrap w:val="0"/>
                  <w:vAlign w:val="center"/>
                </w:tcPr>
                <w:p w14:paraId="52C9972C">
                  <w:pPr>
                    <w:keepNext w:val="0"/>
                    <w:keepLines w:val="0"/>
                    <w:pageBreakBefore w:val="0"/>
                    <w:kinsoku/>
                    <w:wordWrap/>
                    <w:overflowPunct/>
                    <w:topLinePunct w:val="0"/>
                    <w:autoSpaceDE/>
                    <w:autoSpaceDN/>
                    <w:bidi w:val="0"/>
                    <w:adjustRightInd w:val="0"/>
                    <w:snapToGrid w:val="0"/>
                    <w:spacing w:line="360" w:lineRule="exact"/>
                    <w:jc w:val="center"/>
                    <w:rPr>
                      <w:b w:val="0"/>
                      <w:bCs w:val="0"/>
                      <w:color w:val="auto"/>
                      <w:sz w:val="21"/>
                      <w:szCs w:val="21"/>
                    </w:rPr>
                  </w:pPr>
                  <w:r>
                    <w:rPr>
                      <w:rFonts w:hint="eastAsia"/>
                      <w:b w:val="0"/>
                      <w:bCs w:val="0"/>
                      <w:color w:val="auto"/>
                      <w:sz w:val="21"/>
                      <w:szCs w:val="21"/>
                    </w:rPr>
                    <w:t>50m</w:t>
                  </w:r>
                </w:p>
              </w:tc>
              <w:tc>
                <w:tcPr>
                  <w:tcW w:w="585" w:type="pct"/>
                  <w:tcBorders>
                    <w:right w:val="single" w:color="auto" w:sz="4" w:space="0"/>
                  </w:tcBorders>
                  <w:noWrap w:val="0"/>
                  <w:vAlign w:val="center"/>
                </w:tcPr>
                <w:p w14:paraId="05046A64">
                  <w:pPr>
                    <w:keepNext w:val="0"/>
                    <w:keepLines w:val="0"/>
                    <w:pageBreakBefore w:val="0"/>
                    <w:kinsoku/>
                    <w:wordWrap/>
                    <w:overflowPunct/>
                    <w:topLinePunct w:val="0"/>
                    <w:autoSpaceDE/>
                    <w:autoSpaceDN/>
                    <w:bidi w:val="0"/>
                    <w:adjustRightInd w:val="0"/>
                    <w:snapToGrid w:val="0"/>
                    <w:spacing w:line="360" w:lineRule="exact"/>
                    <w:jc w:val="center"/>
                    <w:rPr>
                      <w:b w:val="0"/>
                      <w:bCs w:val="0"/>
                      <w:color w:val="auto"/>
                      <w:sz w:val="21"/>
                      <w:szCs w:val="21"/>
                    </w:rPr>
                  </w:pPr>
                  <w:r>
                    <w:rPr>
                      <w:rFonts w:hint="eastAsia"/>
                      <w:b w:val="0"/>
                      <w:bCs w:val="0"/>
                      <w:color w:val="auto"/>
                      <w:sz w:val="21"/>
                      <w:szCs w:val="21"/>
                    </w:rPr>
                    <w:t>100m</w:t>
                  </w:r>
                </w:p>
              </w:tc>
              <w:tc>
                <w:tcPr>
                  <w:tcW w:w="585" w:type="pct"/>
                  <w:tcBorders>
                    <w:left w:val="single" w:color="auto" w:sz="4" w:space="0"/>
                    <w:right w:val="single" w:color="auto" w:sz="4" w:space="0"/>
                  </w:tcBorders>
                  <w:noWrap w:val="0"/>
                  <w:vAlign w:val="center"/>
                </w:tcPr>
                <w:p w14:paraId="3C884A08">
                  <w:pPr>
                    <w:keepNext w:val="0"/>
                    <w:keepLines w:val="0"/>
                    <w:pageBreakBefore w:val="0"/>
                    <w:kinsoku/>
                    <w:wordWrap/>
                    <w:overflowPunct/>
                    <w:topLinePunct w:val="0"/>
                    <w:autoSpaceDE/>
                    <w:autoSpaceDN/>
                    <w:bidi w:val="0"/>
                    <w:adjustRightInd w:val="0"/>
                    <w:snapToGrid w:val="0"/>
                    <w:spacing w:line="360" w:lineRule="exact"/>
                    <w:jc w:val="center"/>
                    <w:rPr>
                      <w:b w:val="0"/>
                      <w:bCs w:val="0"/>
                      <w:color w:val="auto"/>
                      <w:sz w:val="21"/>
                      <w:szCs w:val="21"/>
                    </w:rPr>
                  </w:pPr>
                  <w:r>
                    <w:rPr>
                      <w:rFonts w:hint="eastAsia"/>
                      <w:b w:val="0"/>
                      <w:bCs w:val="0"/>
                      <w:color w:val="auto"/>
                      <w:sz w:val="21"/>
                      <w:szCs w:val="21"/>
                    </w:rPr>
                    <w:t>150m</w:t>
                  </w:r>
                </w:p>
              </w:tc>
              <w:tc>
                <w:tcPr>
                  <w:tcW w:w="586" w:type="pct"/>
                  <w:tcBorders>
                    <w:left w:val="single" w:color="auto" w:sz="4" w:space="0"/>
                    <w:right w:val="single" w:color="auto" w:sz="4" w:space="0"/>
                  </w:tcBorders>
                  <w:noWrap w:val="0"/>
                  <w:vAlign w:val="center"/>
                </w:tcPr>
                <w:p w14:paraId="7801B602">
                  <w:pPr>
                    <w:keepNext w:val="0"/>
                    <w:keepLines w:val="0"/>
                    <w:pageBreakBefore w:val="0"/>
                    <w:kinsoku/>
                    <w:wordWrap/>
                    <w:overflowPunct/>
                    <w:topLinePunct w:val="0"/>
                    <w:autoSpaceDE/>
                    <w:autoSpaceDN/>
                    <w:bidi w:val="0"/>
                    <w:adjustRightInd w:val="0"/>
                    <w:snapToGrid w:val="0"/>
                    <w:spacing w:line="360" w:lineRule="exact"/>
                    <w:jc w:val="center"/>
                    <w:rPr>
                      <w:b w:val="0"/>
                      <w:bCs w:val="0"/>
                      <w:color w:val="auto"/>
                      <w:sz w:val="21"/>
                      <w:szCs w:val="21"/>
                    </w:rPr>
                  </w:pPr>
                  <w:r>
                    <w:rPr>
                      <w:rFonts w:hint="eastAsia"/>
                      <w:b w:val="0"/>
                      <w:bCs w:val="0"/>
                      <w:color w:val="auto"/>
                      <w:sz w:val="21"/>
                      <w:szCs w:val="21"/>
                    </w:rPr>
                    <w:t>200m</w:t>
                  </w:r>
                </w:p>
              </w:tc>
              <w:tc>
                <w:tcPr>
                  <w:tcW w:w="590" w:type="pct"/>
                  <w:tcBorders>
                    <w:left w:val="single" w:color="auto" w:sz="4" w:space="0"/>
                    <w:right w:val="single" w:color="auto" w:sz="4" w:space="0"/>
                  </w:tcBorders>
                  <w:noWrap w:val="0"/>
                  <w:vAlign w:val="center"/>
                </w:tcPr>
                <w:p w14:paraId="7274BDD5">
                  <w:pPr>
                    <w:keepNext w:val="0"/>
                    <w:keepLines w:val="0"/>
                    <w:pageBreakBefore w:val="0"/>
                    <w:kinsoku/>
                    <w:wordWrap/>
                    <w:overflowPunct/>
                    <w:topLinePunct w:val="0"/>
                    <w:autoSpaceDE/>
                    <w:autoSpaceDN/>
                    <w:bidi w:val="0"/>
                    <w:adjustRightInd w:val="0"/>
                    <w:snapToGrid w:val="0"/>
                    <w:spacing w:line="360" w:lineRule="exact"/>
                    <w:jc w:val="center"/>
                    <w:rPr>
                      <w:b w:val="0"/>
                      <w:bCs w:val="0"/>
                      <w:color w:val="auto"/>
                      <w:sz w:val="21"/>
                      <w:szCs w:val="21"/>
                    </w:rPr>
                  </w:pPr>
                  <w:r>
                    <w:rPr>
                      <w:rFonts w:hint="eastAsia"/>
                      <w:b w:val="0"/>
                      <w:bCs w:val="0"/>
                      <w:color w:val="auto"/>
                      <w:sz w:val="21"/>
                      <w:szCs w:val="21"/>
                    </w:rPr>
                    <w:t>300m</w:t>
                  </w:r>
                </w:p>
              </w:tc>
            </w:tr>
            <w:tr w14:paraId="5CB2AD9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81" w:hRule="atLeast"/>
                <w:tblHeader/>
                <w:jc w:val="center"/>
              </w:trPr>
              <w:tc>
                <w:tcPr>
                  <w:tcW w:w="895" w:type="pct"/>
                  <w:noWrap w:val="0"/>
                  <w:vAlign w:val="center"/>
                </w:tcPr>
                <w:p w14:paraId="1351145C">
                  <w:pPr>
                    <w:keepNext w:val="0"/>
                    <w:keepLines w:val="0"/>
                    <w:pageBreakBefore w:val="0"/>
                    <w:kinsoku/>
                    <w:wordWrap/>
                    <w:overflowPunct/>
                    <w:topLinePunct w:val="0"/>
                    <w:autoSpaceDE/>
                    <w:autoSpaceDN/>
                    <w:bidi w:val="0"/>
                    <w:adjustRightInd w:val="0"/>
                    <w:snapToGrid w:val="0"/>
                    <w:spacing w:line="360" w:lineRule="exact"/>
                    <w:jc w:val="center"/>
                    <w:rPr>
                      <w:rFonts w:hint="eastAsia"/>
                      <w:b w:val="0"/>
                      <w:bCs w:val="0"/>
                      <w:color w:val="auto"/>
                      <w:sz w:val="21"/>
                      <w:szCs w:val="21"/>
                    </w:rPr>
                  </w:pPr>
                  <w:r>
                    <w:rPr>
                      <w:rFonts w:hint="eastAsia"/>
                      <w:b w:val="0"/>
                      <w:bCs w:val="0"/>
                      <w:color w:val="auto"/>
                      <w:sz w:val="21"/>
                      <w:szCs w:val="21"/>
                    </w:rPr>
                    <w:t>破碎机</w:t>
                  </w:r>
                </w:p>
              </w:tc>
              <w:tc>
                <w:tcPr>
                  <w:tcW w:w="585" w:type="pct"/>
                  <w:noWrap w:val="0"/>
                  <w:vAlign w:val="center"/>
                </w:tcPr>
                <w:p w14:paraId="71A09284">
                  <w:pPr>
                    <w:keepNext w:val="0"/>
                    <w:keepLines w:val="0"/>
                    <w:pageBreakBefore w:val="0"/>
                    <w:widowControl/>
                    <w:kinsoku/>
                    <w:wordWrap/>
                    <w:overflowPunct/>
                    <w:topLinePunct w:val="0"/>
                    <w:autoSpaceDE/>
                    <w:autoSpaceDN/>
                    <w:bidi w:val="0"/>
                    <w:spacing w:line="360" w:lineRule="exact"/>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74.5</w:t>
                  </w:r>
                </w:p>
              </w:tc>
              <w:tc>
                <w:tcPr>
                  <w:tcW w:w="585" w:type="pct"/>
                  <w:noWrap w:val="0"/>
                  <w:vAlign w:val="center"/>
                </w:tcPr>
                <w:p w14:paraId="44B20708">
                  <w:pPr>
                    <w:keepNext w:val="0"/>
                    <w:keepLines w:val="0"/>
                    <w:pageBreakBefore w:val="0"/>
                    <w:widowControl/>
                    <w:kinsoku/>
                    <w:wordWrap/>
                    <w:overflowPunct/>
                    <w:topLinePunct w:val="0"/>
                    <w:autoSpaceDE/>
                    <w:autoSpaceDN/>
                    <w:bidi w:val="0"/>
                    <w:spacing w:line="360" w:lineRule="exact"/>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72.0</w:t>
                  </w:r>
                </w:p>
              </w:tc>
              <w:tc>
                <w:tcPr>
                  <w:tcW w:w="585" w:type="pct"/>
                  <w:noWrap w:val="0"/>
                  <w:vAlign w:val="center"/>
                </w:tcPr>
                <w:p w14:paraId="491BE0EC">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64.0</w:t>
                  </w:r>
                </w:p>
              </w:tc>
              <w:tc>
                <w:tcPr>
                  <w:tcW w:w="585" w:type="pct"/>
                  <w:tcBorders>
                    <w:right w:val="single" w:color="auto" w:sz="4" w:space="0"/>
                  </w:tcBorders>
                  <w:noWrap w:val="0"/>
                  <w:vAlign w:val="center"/>
                </w:tcPr>
                <w:p w14:paraId="351085E7">
                  <w:pPr>
                    <w:keepNext w:val="0"/>
                    <w:keepLines w:val="0"/>
                    <w:pageBreakBefore w:val="0"/>
                    <w:widowControl/>
                    <w:kinsoku/>
                    <w:wordWrap/>
                    <w:overflowPunct/>
                    <w:topLinePunct w:val="0"/>
                    <w:autoSpaceDE/>
                    <w:autoSpaceDN/>
                    <w:bidi w:val="0"/>
                    <w:spacing w:line="360" w:lineRule="exact"/>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58.0</w:t>
                  </w:r>
                </w:p>
              </w:tc>
              <w:tc>
                <w:tcPr>
                  <w:tcW w:w="585" w:type="pct"/>
                  <w:tcBorders>
                    <w:left w:val="single" w:color="auto" w:sz="4" w:space="0"/>
                    <w:right w:val="single" w:color="auto" w:sz="4" w:space="0"/>
                  </w:tcBorders>
                  <w:noWrap w:val="0"/>
                  <w:vAlign w:val="center"/>
                </w:tcPr>
                <w:p w14:paraId="29B9EC2F">
                  <w:pPr>
                    <w:keepNext w:val="0"/>
                    <w:keepLines w:val="0"/>
                    <w:pageBreakBefore w:val="0"/>
                    <w:widowControl/>
                    <w:kinsoku/>
                    <w:wordWrap/>
                    <w:overflowPunct/>
                    <w:topLinePunct w:val="0"/>
                    <w:autoSpaceDE/>
                    <w:autoSpaceDN/>
                    <w:bidi w:val="0"/>
                    <w:spacing w:line="360" w:lineRule="exact"/>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54.4</w:t>
                  </w:r>
                </w:p>
              </w:tc>
              <w:tc>
                <w:tcPr>
                  <w:tcW w:w="586" w:type="pct"/>
                  <w:tcBorders>
                    <w:left w:val="single" w:color="auto" w:sz="4" w:space="0"/>
                    <w:right w:val="single" w:color="auto" w:sz="4" w:space="0"/>
                  </w:tcBorders>
                  <w:noWrap w:val="0"/>
                  <w:vAlign w:val="center"/>
                </w:tcPr>
                <w:p w14:paraId="1776CCA7">
                  <w:pPr>
                    <w:keepNext w:val="0"/>
                    <w:keepLines w:val="0"/>
                    <w:pageBreakBefore w:val="0"/>
                    <w:widowControl/>
                    <w:kinsoku/>
                    <w:wordWrap/>
                    <w:overflowPunct/>
                    <w:topLinePunct w:val="0"/>
                    <w:autoSpaceDE/>
                    <w:autoSpaceDN/>
                    <w:bidi w:val="0"/>
                    <w:spacing w:line="360" w:lineRule="exact"/>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52.0</w:t>
                  </w:r>
                </w:p>
              </w:tc>
              <w:tc>
                <w:tcPr>
                  <w:tcW w:w="590" w:type="pct"/>
                  <w:tcBorders>
                    <w:left w:val="single" w:color="auto" w:sz="4" w:space="0"/>
                    <w:right w:val="single" w:color="auto" w:sz="4" w:space="0"/>
                  </w:tcBorders>
                  <w:noWrap w:val="0"/>
                  <w:vAlign w:val="center"/>
                </w:tcPr>
                <w:p w14:paraId="3F2BCE2B">
                  <w:pPr>
                    <w:keepNext w:val="0"/>
                    <w:keepLines w:val="0"/>
                    <w:pageBreakBefore w:val="0"/>
                    <w:widowControl/>
                    <w:kinsoku/>
                    <w:wordWrap/>
                    <w:overflowPunct/>
                    <w:topLinePunct w:val="0"/>
                    <w:autoSpaceDE/>
                    <w:autoSpaceDN/>
                    <w:bidi w:val="0"/>
                    <w:spacing w:line="360" w:lineRule="exact"/>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48.5</w:t>
                  </w:r>
                </w:p>
              </w:tc>
            </w:tr>
            <w:tr w14:paraId="0D1C892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86" w:hRule="atLeast"/>
                <w:tblHeader/>
                <w:jc w:val="center"/>
              </w:trPr>
              <w:tc>
                <w:tcPr>
                  <w:tcW w:w="895" w:type="pct"/>
                  <w:noWrap w:val="0"/>
                  <w:vAlign w:val="center"/>
                </w:tcPr>
                <w:p w14:paraId="56A1EB47">
                  <w:pPr>
                    <w:keepNext w:val="0"/>
                    <w:keepLines w:val="0"/>
                    <w:pageBreakBefore w:val="0"/>
                    <w:kinsoku/>
                    <w:wordWrap/>
                    <w:overflowPunct/>
                    <w:topLinePunct w:val="0"/>
                    <w:autoSpaceDE/>
                    <w:autoSpaceDN/>
                    <w:bidi w:val="0"/>
                    <w:adjustRightInd w:val="0"/>
                    <w:snapToGrid w:val="0"/>
                    <w:spacing w:line="360" w:lineRule="exact"/>
                    <w:jc w:val="center"/>
                    <w:rPr>
                      <w:rFonts w:hint="eastAsia"/>
                      <w:b w:val="0"/>
                      <w:bCs w:val="0"/>
                      <w:color w:val="auto"/>
                      <w:sz w:val="21"/>
                      <w:szCs w:val="21"/>
                    </w:rPr>
                  </w:pPr>
                  <w:r>
                    <w:rPr>
                      <w:rFonts w:hint="eastAsia"/>
                      <w:b w:val="0"/>
                      <w:bCs w:val="0"/>
                      <w:color w:val="auto"/>
                      <w:sz w:val="21"/>
                      <w:szCs w:val="21"/>
                    </w:rPr>
                    <w:t>推土机</w:t>
                  </w:r>
                </w:p>
              </w:tc>
              <w:tc>
                <w:tcPr>
                  <w:tcW w:w="585" w:type="pct"/>
                  <w:noWrap w:val="0"/>
                  <w:vAlign w:val="center"/>
                </w:tcPr>
                <w:p w14:paraId="3C04BFF2">
                  <w:pPr>
                    <w:keepNext w:val="0"/>
                    <w:keepLines w:val="0"/>
                    <w:pageBreakBefore w:val="0"/>
                    <w:widowControl/>
                    <w:kinsoku/>
                    <w:wordWrap/>
                    <w:overflowPunct/>
                    <w:topLinePunct w:val="0"/>
                    <w:autoSpaceDE/>
                    <w:autoSpaceDN/>
                    <w:bidi w:val="0"/>
                    <w:spacing w:line="360" w:lineRule="exact"/>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76.5</w:t>
                  </w:r>
                </w:p>
              </w:tc>
              <w:tc>
                <w:tcPr>
                  <w:tcW w:w="585" w:type="pct"/>
                  <w:noWrap w:val="0"/>
                  <w:vAlign w:val="center"/>
                </w:tcPr>
                <w:p w14:paraId="2D5CF767">
                  <w:pPr>
                    <w:keepNext w:val="0"/>
                    <w:keepLines w:val="0"/>
                    <w:pageBreakBefore w:val="0"/>
                    <w:widowControl/>
                    <w:kinsoku/>
                    <w:wordWrap/>
                    <w:overflowPunct/>
                    <w:topLinePunct w:val="0"/>
                    <w:autoSpaceDE/>
                    <w:autoSpaceDN/>
                    <w:bidi w:val="0"/>
                    <w:spacing w:line="360" w:lineRule="exact"/>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74.0</w:t>
                  </w:r>
                </w:p>
              </w:tc>
              <w:tc>
                <w:tcPr>
                  <w:tcW w:w="585" w:type="pct"/>
                  <w:noWrap w:val="0"/>
                  <w:vAlign w:val="center"/>
                </w:tcPr>
                <w:p w14:paraId="7C3C8640">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66.0</w:t>
                  </w:r>
                </w:p>
              </w:tc>
              <w:tc>
                <w:tcPr>
                  <w:tcW w:w="585" w:type="pct"/>
                  <w:tcBorders>
                    <w:right w:val="single" w:color="auto" w:sz="4" w:space="0"/>
                  </w:tcBorders>
                  <w:noWrap w:val="0"/>
                  <w:vAlign w:val="center"/>
                </w:tcPr>
                <w:p w14:paraId="64A9B863">
                  <w:pPr>
                    <w:keepNext w:val="0"/>
                    <w:keepLines w:val="0"/>
                    <w:pageBreakBefore w:val="0"/>
                    <w:widowControl/>
                    <w:kinsoku/>
                    <w:wordWrap/>
                    <w:overflowPunct/>
                    <w:topLinePunct w:val="0"/>
                    <w:autoSpaceDE/>
                    <w:autoSpaceDN/>
                    <w:bidi w:val="0"/>
                    <w:spacing w:line="360" w:lineRule="exact"/>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60.0</w:t>
                  </w:r>
                </w:p>
              </w:tc>
              <w:tc>
                <w:tcPr>
                  <w:tcW w:w="585" w:type="pct"/>
                  <w:tcBorders>
                    <w:left w:val="single" w:color="auto" w:sz="4" w:space="0"/>
                    <w:right w:val="single" w:color="auto" w:sz="4" w:space="0"/>
                  </w:tcBorders>
                  <w:noWrap w:val="0"/>
                  <w:vAlign w:val="center"/>
                </w:tcPr>
                <w:p w14:paraId="578C7A63">
                  <w:pPr>
                    <w:keepNext w:val="0"/>
                    <w:keepLines w:val="0"/>
                    <w:pageBreakBefore w:val="0"/>
                    <w:widowControl/>
                    <w:kinsoku/>
                    <w:wordWrap/>
                    <w:overflowPunct/>
                    <w:topLinePunct w:val="0"/>
                    <w:autoSpaceDE/>
                    <w:autoSpaceDN/>
                    <w:bidi w:val="0"/>
                    <w:spacing w:line="360" w:lineRule="exact"/>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56.4</w:t>
                  </w:r>
                </w:p>
              </w:tc>
              <w:tc>
                <w:tcPr>
                  <w:tcW w:w="586" w:type="pct"/>
                  <w:tcBorders>
                    <w:left w:val="single" w:color="auto" w:sz="4" w:space="0"/>
                    <w:right w:val="single" w:color="auto" w:sz="4" w:space="0"/>
                  </w:tcBorders>
                  <w:noWrap w:val="0"/>
                  <w:vAlign w:val="center"/>
                </w:tcPr>
                <w:p w14:paraId="10BF65E8">
                  <w:pPr>
                    <w:keepNext w:val="0"/>
                    <w:keepLines w:val="0"/>
                    <w:pageBreakBefore w:val="0"/>
                    <w:widowControl/>
                    <w:kinsoku/>
                    <w:wordWrap/>
                    <w:overflowPunct/>
                    <w:topLinePunct w:val="0"/>
                    <w:autoSpaceDE/>
                    <w:autoSpaceDN/>
                    <w:bidi w:val="0"/>
                    <w:spacing w:line="360" w:lineRule="exact"/>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54.0</w:t>
                  </w:r>
                </w:p>
              </w:tc>
              <w:tc>
                <w:tcPr>
                  <w:tcW w:w="590" w:type="pct"/>
                  <w:tcBorders>
                    <w:left w:val="single" w:color="auto" w:sz="4" w:space="0"/>
                    <w:right w:val="single" w:color="auto" w:sz="4" w:space="0"/>
                  </w:tcBorders>
                  <w:noWrap w:val="0"/>
                  <w:vAlign w:val="center"/>
                </w:tcPr>
                <w:p w14:paraId="571840C5">
                  <w:pPr>
                    <w:keepNext w:val="0"/>
                    <w:keepLines w:val="0"/>
                    <w:pageBreakBefore w:val="0"/>
                    <w:widowControl/>
                    <w:kinsoku/>
                    <w:wordWrap/>
                    <w:overflowPunct/>
                    <w:topLinePunct w:val="0"/>
                    <w:autoSpaceDE/>
                    <w:autoSpaceDN/>
                    <w:bidi w:val="0"/>
                    <w:spacing w:line="360" w:lineRule="exact"/>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50.5</w:t>
                  </w:r>
                </w:p>
              </w:tc>
            </w:tr>
            <w:tr w14:paraId="4C4DBFD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6" w:hRule="atLeast"/>
                <w:tblHeader/>
                <w:jc w:val="center"/>
              </w:trPr>
              <w:tc>
                <w:tcPr>
                  <w:tcW w:w="895" w:type="pct"/>
                  <w:noWrap w:val="0"/>
                  <w:vAlign w:val="center"/>
                </w:tcPr>
                <w:p w14:paraId="67D68289">
                  <w:pPr>
                    <w:keepNext w:val="0"/>
                    <w:keepLines w:val="0"/>
                    <w:pageBreakBefore w:val="0"/>
                    <w:kinsoku/>
                    <w:wordWrap/>
                    <w:overflowPunct/>
                    <w:topLinePunct w:val="0"/>
                    <w:autoSpaceDE/>
                    <w:autoSpaceDN/>
                    <w:bidi w:val="0"/>
                    <w:adjustRightInd w:val="0"/>
                    <w:snapToGrid w:val="0"/>
                    <w:spacing w:line="360" w:lineRule="exact"/>
                    <w:jc w:val="center"/>
                    <w:rPr>
                      <w:rFonts w:hint="eastAsia"/>
                      <w:b w:val="0"/>
                      <w:bCs w:val="0"/>
                      <w:color w:val="auto"/>
                      <w:sz w:val="21"/>
                      <w:szCs w:val="21"/>
                    </w:rPr>
                  </w:pPr>
                  <w:r>
                    <w:rPr>
                      <w:rFonts w:hint="eastAsia"/>
                      <w:b w:val="0"/>
                      <w:bCs w:val="0"/>
                      <w:color w:val="auto"/>
                      <w:sz w:val="21"/>
                      <w:szCs w:val="21"/>
                    </w:rPr>
                    <w:t>翻斗机</w:t>
                  </w:r>
                </w:p>
              </w:tc>
              <w:tc>
                <w:tcPr>
                  <w:tcW w:w="585" w:type="pct"/>
                  <w:noWrap w:val="0"/>
                  <w:vAlign w:val="center"/>
                </w:tcPr>
                <w:p w14:paraId="57EDC98E">
                  <w:pPr>
                    <w:keepNext w:val="0"/>
                    <w:keepLines w:val="0"/>
                    <w:pageBreakBefore w:val="0"/>
                    <w:widowControl/>
                    <w:kinsoku/>
                    <w:wordWrap/>
                    <w:overflowPunct/>
                    <w:topLinePunct w:val="0"/>
                    <w:autoSpaceDE/>
                    <w:autoSpaceDN/>
                    <w:bidi w:val="0"/>
                    <w:spacing w:line="360" w:lineRule="exact"/>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72.5</w:t>
                  </w:r>
                </w:p>
              </w:tc>
              <w:tc>
                <w:tcPr>
                  <w:tcW w:w="585" w:type="pct"/>
                  <w:noWrap w:val="0"/>
                  <w:vAlign w:val="center"/>
                </w:tcPr>
                <w:p w14:paraId="2C1BB2ED">
                  <w:pPr>
                    <w:keepNext w:val="0"/>
                    <w:keepLines w:val="0"/>
                    <w:pageBreakBefore w:val="0"/>
                    <w:widowControl/>
                    <w:kinsoku/>
                    <w:wordWrap/>
                    <w:overflowPunct/>
                    <w:topLinePunct w:val="0"/>
                    <w:autoSpaceDE/>
                    <w:autoSpaceDN/>
                    <w:bidi w:val="0"/>
                    <w:spacing w:line="360" w:lineRule="exact"/>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70.0</w:t>
                  </w:r>
                </w:p>
              </w:tc>
              <w:tc>
                <w:tcPr>
                  <w:tcW w:w="585" w:type="pct"/>
                  <w:noWrap w:val="0"/>
                  <w:vAlign w:val="center"/>
                </w:tcPr>
                <w:p w14:paraId="25FD14E0">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62.0</w:t>
                  </w:r>
                </w:p>
              </w:tc>
              <w:tc>
                <w:tcPr>
                  <w:tcW w:w="585" w:type="pct"/>
                  <w:tcBorders>
                    <w:right w:val="single" w:color="auto" w:sz="4" w:space="0"/>
                  </w:tcBorders>
                  <w:noWrap w:val="0"/>
                  <w:vAlign w:val="center"/>
                </w:tcPr>
                <w:p w14:paraId="7DEEAF4E">
                  <w:pPr>
                    <w:keepNext w:val="0"/>
                    <w:keepLines w:val="0"/>
                    <w:pageBreakBefore w:val="0"/>
                    <w:widowControl/>
                    <w:kinsoku/>
                    <w:wordWrap/>
                    <w:overflowPunct/>
                    <w:topLinePunct w:val="0"/>
                    <w:autoSpaceDE/>
                    <w:autoSpaceDN/>
                    <w:bidi w:val="0"/>
                    <w:spacing w:line="360" w:lineRule="exact"/>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56.0</w:t>
                  </w:r>
                </w:p>
              </w:tc>
              <w:tc>
                <w:tcPr>
                  <w:tcW w:w="585" w:type="pct"/>
                  <w:tcBorders>
                    <w:left w:val="single" w:color="auto" w:sz="4" w:space="0"/>
                    <w:right w:val="single" w:color="auto" w:sz="4" w:space="0"/>
                  </w:tcBorders>
                  <w:noWrap w:val="0"/>
                  <w:vAlign w:val="center"/>
                </w:tcPr>
                <w:p w14:paraId="64E39B03">
                  <w:pPr>
                    <w:keepNext w:val="0"/>
                    <w:keepLines w:val="0"/>
                    <w:pageBreakBefore w:val="0"/>
                    <w:widowControl/>
                    <w:kinsoku/>
                    <w:wordWrap/>
                    <w:overflowPunct/>
                    <w:topLinePunct w:val="0"/>
                    <w:autoSpaceDE/>
                    <w:autoSpaceDN/>
                    <w:bidi w:val="0"/>
                    <w:spacing w:line="360" w:lineRule="exact"/>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52.4</w:t>
                  </w:r>
                </w:p>
              </w:tc>
              <w:tc>
                <w:tcPr>
                  <w:tcW w:w="586" w:type="pct"/>
                  <w:tcBorders>
                    <w:left w:val="single" w:color="auto" w:sz="4" w:space="0"/>
                    <w:right w:val="single" w:color="auto" w:sz="4" w:space="0"/>
                  </w:tcBorders>
                  <w:noWrap w:val="0"/>
                  <w:vAlign w:val="center"/>
                </w:tcPr>
                <w:p w14:paraId="089663FB">
                  <w:pPr>
                    <w:keepNext w:val="0"/>
                    <w:keepLines w:val="0"/>
                    <w:pageBreakBefore w:val="0"/>
                    <w:widowControl/>
                    <w:kinsoku/>
                    <w:wordWrap/>
                    <w:overflowPunct/>
                    <w:topLinePunct w:val="0"/>
                    <w:autoSpaceDE/>
                    <w:autoSpaceDN/>
                    <w:bidi w:val="0"/>
                    <w:spacing w:line="360" w:lineRule="exact"/>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50.0</w:t>
                  </w:r>
                </w:p>
              </w:tc>
              <w:tc>
                <w:tcPr>
                  <w:tcW w:w="590" w:type="pct"/>
                  <w:tcBorders>
                    <w:left w:val="single" w:color="auto" w:sz="4" w:space="0"/>
                    <w:right w:val="single" w:color="auto" w:sz="4" w:space="0"/>
                  </w:tcBorders>
                  <w:noWrap w:val="0"/>
                  <w:vAlign w:val="center"/>
                </w:tcPr>
                <w:p w14:paraId="61F9072E">
                  <w:pPr>
                    <w:keepNext w:val="0"/>
                    <w:keepLines w:val="0"/>
                    <w:pageBreakBefore w:val="0"/>
                    <w:widowControl/>
                    <w:kinsoku/>
                    <w:wordWrap/>
                    <w:overflowPunct/>
                    <w:topLinePunct w:val="0"/>
                    <w:autoSpaceDE/>
                    <w:autoSpaceDN/>
                    <w:bidi w:val="0"/>
                    <w:spacing w:line="360" w:lineRule="exact"/>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46.5</w:t>
                  </w:r>
                </w:p>
              </w:tc>
            </w:tr>
            <w:tr w14:paraId="733B2BC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03" w:hRule="atLeast"/>
                <w:tblHeader/>
                <w:jc w:val="center"/>
              </w:trPr>
              <w:tc>
                <w:tcPr>
                  <w:tcW w:w="895" w:type="pct"/>
                  <w:noWrap w:val="0"/>
                  <w:vAlign w:val="center"/>
                </w:tcPr>
                <w:p w14:paraId="3EA38402">
                  <w:pPr>
                    <w:keepNext w:val="0"/>
                    <w:keepLines w:val="0"/>
                    <w:pageBreakBefore w:val="0"/>
                    <w:kinsoku/>
                    <w:wordWrap/>
                    <w:overflowPunct/>
                    <w:topLinePunct w:val="0"/>
                    <w:autoSpaceDE/>
                    <w:autoSpaceDN/>
                    <w:bidi w:val="0"/>
                    <w:adjustRightInd w:val="0"/>
                    <w:snapToGrid w:val="0"/>
                    <w:spacing w:line="360" w:lineRule="exact"/>
                    <w:jc w:val="center"/>
                    <w:rPr>
                      <w:rFonts w:hint="eastAsia"/>
                      <w:b w:val="0"/>
                      <w:bCs w:val="0"/>
                      <w:color w:val="auto"/>
                      <w:sz w:val="21"/>
                      <w:szCs w:val="21"/>
                    </w:rPr>
                  </w:pPr>
                  <w:r>
                    <w:rPr>
                      <w:rFonts w:hint="eastAsia"/>
                      <w:b w:val="0"/>
                      <w:bCs w:val="0"/>
                      <w:color w:val="auto"/>
                      <w:sz w:val="21"/>
                      <w:szCs w:val="21"/>
                    </w:rPr>
                    <w:t>自卸车</w:t>
                  </w:r>
                </w:p>
              </w:tc>
              <w:tc>
                <w:tcPr>
                  <w:tcW w:w="585" w:type="pct"/>
                  <w:noWrap w:val="0"/>
                  <w:vAlign w:val="center"/>
                </w:tcPr>
                <w:p w14:paraId="683CE119">
                  <w:pPr>
                    <w:keepNext w:val="0"/>
                    <w:keepLines w:val="0"/>
                    <w:pageBreakBefore w:val="0"/>
                    <w:widowControl/>
                    <w:kinsoku/>
                    <w:wordWrap/>
                    <w:overflowPunct/>
                    <w:topLinePunct w:val="0"/>
                    <w:autoSpaceDE/>
                    <w:autoSpaceDN/>
                    <w:bidi w:val="0"/>
                    <w:spacing w:line="360" w:lineRule="exact"/>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77.5</w:t>
                  </w:r>
                </w:p>
              </w:tc>
              <w:tc>
                <w:tcPr>
                  <w:tcW w:w="585" w:type="pct"/>
                  <w:noWrap w:val="0"/>
                  <w:vAlign w:val="center"/>
                </w:tcPr>
                <w:p w14:paraId="0C284833">
                  <w:pPr>
                    <w:keepNext w:val="0"/>
                    <w:keepLines w:val="0"/>
                    <w:pageBreakBefore w:val="0"/>
                    <w:widowControl/>
                    <w:kinsoku/>
                    <w:wordWrap/>
                    <w:overflowPunct/>
                    <w:topLinePunct w:val="0"/>
                    <w:autoSpaceDE/>
                    <w:autoSpaceDN/>
                    <w:bidi w:val="0"/>
                    <w:spacing w:line="360" w:lineRule="exact"/>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75.0</w:t>
                  </w:r>
                </w:p>
              </w:tc>
              <w:tc>
                <w:tcPr>
                  <w:tcW w:w="585" w:type="pct"/>
                  <w:noWrap w:val="0"/>
                  <w:vAlign w:val="center"/>
                </w:tcPr>
                <w:p w14:paraId="5514A623">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67.0</w:t>
                  </w:r>
                </w:p>
              </w:tc>
              <w:tc>
                <w:tcPr>
                  <w:tcW w:w="585" w:type="pct"/>
                  <w:tcBorders>
                    <w:right w:val="single" w:color="auto" w:sz="4" w:space="0"/>
                  </w:tcBorders>
                  <w:noWrap w:val="0"/>
                  <w:vAlign w:val="center"/>
                </w:tcPr>
                <w:p w14:paraId="0874903C">
                  <w:pPr>
                    <w:keepNext w:val="0"/>
                    <w:keepLines w:val="0"/>
                    <w:pageBreakBefore w:val="0"/>
                    <w:widowControl/>
                    <w:kinsoku/>
                    <w:wordWrap/>
                    <w:overflowPunct/>
                    <w:topLinePunct w:val="0"/>
                    <w:autoSpaceDE/>
                    <w:autoSpaceDN/>
                    <w:bidi w:val="0"/>
                    <w:spacing w:line="360" w:lineRule="exact"/>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61.0</w:t>
                  </w:r>
                </w:p>
              </w:tc>
              <w:tc>
                <w:tcPr>
                  <w:tcW w:w="585" w:type="pct"/>
                  <w:tcBorders>
                    <w:left w:val="single" w:color="auto" w:sz="4" w:space="0"/>
                    <w:right w:val="single" w:color="auto" w:sz="4" w:space="0"/>
                  </w:tcBorders>
                  <w:noWrap w:val="0"/>
                  <w:vAlign w:val="center"/>
                </w:tcPr>
                <w:p w14:paraId="3DF079CA">
                  <w:pPr>
                    <w:keepNext w:val="0"/>
                    <w:keepLines w:val="0"/>
                    <w:pageBreakBefore w:val="0"/>
                    <w:widowControl/>
                    <w:kinsoku/>
                    <w:wordWrap/>
                    <w:overflowPunct/>
                    <w:topLinePunct w:val="0"/>
                    <w:autoSpaceDE/>
                    <w:autoSpaceDN/>
                    <w:bidi w:val="0"/>
                    <w:spacing w:line="360" w:lineRule="exact"/>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57.4</w:t>
                  </w:r>
                </w:p>
              </w:tc>
              <w:tc>
                <w:tcPr>
                  <w:tcW w:w="586" w:type="pct"/>
                  <w:tcBorders>
                    <w:left w:val="single" w:color="auto" w:sz="4" w:space="0"/>
                    <w:right w:val="single" w:color="auto" w:sz="4" w:space="0"/>
                  </w:tcBorders>
                  <w:noWrap w:val="0"/>
                  <w:vAlign w:val="center"/>
                </w:tcPr>
                <w:p w14:paraId="068A216C">
                  <w:pPr>
                    <w:keepNext w:val="0"/>
                    <w:keepLines w:val="0"/>
                    <w:pageBreakBefore w:val="0"/>
                    <w:widowControl/>
                    <w:kinsoku/>
                    <w:wordWrap/>
                    <w:overflowPunct/>
                    <w:topLinePunct w:val="0"/>
                    <w:autoSpaceDE/>
                    <w:autoSpaceDN/>
                    <w:bidi w:val="0"/>
                    <w:spacing w:line="360" w:lineRule="exact"/>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55.0</w:t>
                  </w:r>
                </w:p>
              </w:tc>
              <w:tc>
                <w:tcPr>
                  <w:tcW w:w="590" w:type="pct"/>
                  <w:tcBorders>
                    <w:left w:val="single" w:color="auto" w:sz="4" w:space="0"/>
                    <w:right w:val="single" w:color="auto" w:sz="4" w:space="0"/>
                  </w:tcBorders>
                  <w:noWrap w:val="0"/>
                  <w:vAlign w:val="center"/>
                </w:tcPr>
                <w:p w14:paraId="665E093A">
                  <w:pPr>
                    <w:keepNext w:val="0"/>
                    <w:keepLines w:val="0"/>
                    <w:pageBreakBefore w:val="0"/>
                    <w:widowControl/>
                    <w:kinsoku/>
                    <w:wordWrap/>
                    <w:overflowPunct/>
                    <w:topLinePunct w:val="0"/>
                    <w:autoSpaceDE/>
                    <w:autoSpaceDN/>
                    <w:bidi w:val="0"/>
                    <w:spacing w:line="360" w:lineRule="exact"/>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51.4</w:t>
                  </w:r>
                </w:p>
              </w:tc>
            </w:tr>
            <w:tr w14:paraId="0CB46FE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03" w:hRule="atLeast"/>
                <w:tblHeader/>
                <w:jc w:val="center"/>
              </w:trPr>
              <w:tc>
                <w:tcPr>
                  <w:tcW w:w="895" w:type="pct"/>
                  <w:noWrap w:val="0"/>
                  <w:vAlign w:val="center"/>
                </w:tcPr>
                <w:p w14:paraId="3A6B7AF0">
                  <w:pPr>
                    <w:keepNext w:val="0"/>
                    <w:keepLines w:val="0"/>
                    <w:pageBreakBefore w:val="0"/>
                    <w:kinsoku/>
                    <w:wordWrap/>
                    <w:overflowPunct/>
                    <w:topLinePunct w:val="0"/>
                    <w:autoSpaceDE/>
                    <w:autoSpaceDN/>
                    <w:bidi w:val="0"/>
                    <w:adjustRightInd w:val="0"/>
                    <w:snapToGrid w:val="0"/>
                    <w:spacing w:line="360" w:lineRule="exact"/>
                    <w:jc w:val="center"/>
                    <w:rPr>
                      <w:rFonts w:hint="eastAsia"/>
                      <w:b w:val="0"/>
                      <w:bCs w:val="0"/>
                      <w:color w:val="auto"/>
                      <w:sz w:val="21"/>
                      <w:szCs w:val="21"/>
                    </w:rPr>
                  </w:pPr>
                  <w:r>
                    <w:rPr>
                      <w:rFonts w:hint="eastAsia"/>
                      <w:b w:val="0"/>
                      <w:bCs w:val="0"/>
                      <w:color w:val="auto"/>
                      <w:sz w:val="21"/>
                      <w:szCs w:val="21"/>
                    </w:rPr>
                    <w:t>装载机</w:t>
                  </w:r>
                </w:p>
              </w:tc>
              <w:tc>
                <w:tcPr>
                  <w:tcW w:w="585" w:type="pct"/>
                  <w:noWrap w:val="0"/>
                  <w:vAlign w:val="center"/>
                </w:tcPr>
                <w:p w14:paraId="2805A5A2">
                  <w:pPr>
                    <w:keepNext w:val="0"/>
                    <w:keepLines w:val="0"/>
                    <w:pageBreakBefore w:val="0"/>
                    <w:widowControl/>
                    <w:kinsoku/>
                    <w:wordWrap/>
                    <w:overflowPunct/>
                    <w:topLinePunct w:val="0"/>
                    <w:autoSpaceDE/>
                    <w:autoSpaceDN/>
                    <w:bidi w:val="0"/>
                    <w:spacing w:line="360" w:lineRule="exact"/>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72.5</w:t>
                  </w:r>
                </w:p>
              </w:tc>
              <w:tc>
                <w:tcPr>
                  <w:tcW w:w="585" w:type="pct"/>
                  <w:noWrap w:val="0"/>
                  <w:vAlign w:val="center"/>
                </w:tcPr>
                <w:p w14:paraId="23BC5F74">
                  <w:pPr>
                    <w:keepNext w:val="0"/>
                    <w:keepLines w:val="0"/>
                    <w:pageBreakBefore w:val="0"/>
                    <w:widowControl/>
                    <w:kinsoku/>
                    <w:wordWrap/>
                    <w:overflowPunct/>
                    <w:topLinePunct w:val="0"/>
                    <w:autoSpaceDE/>
                    <w:autoSpaceDN/>
                    <w:bidi w:val="0"/>
                    <w:spacing w:line="360" w:lineRule="exact"/>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70.0</w:t>
                  </w:r>
                </w:p>
              </w:tc>
              <w:tc>
                <w:tcPr>
                  <w:tcW w:w="585" w:type="pct"/>
                  <w:noWrap w:val="0"/>
                  <w:vAlign w:val="center"/>
                </w:tcPr>
                <w:p w14:paraId="621436CC">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62.0</w:t>
                  </w:r>
                </w:p>
              </w:tc>
              <w:tc>
                <w:tcPr>
                  <w:tcW w:w="585" w:type="pct"/>
                  <w:tcBorders>
                    <w:right w:val="single" w:color="auto" w:sz="4" w:space="0"/>
                  </w:tcBorders>
                  <w:noWrap w:val="0"/>
                  <w:vAlign w:val="center"/>
                </w:tcPr>
                <w:p w14:paraId="02A55AF2">
                  <w:pPr>
                    <w:keepNext w:val="0"/>
                    <w:keepLines w:val="0"/>
                    <w:pageBreakBefore w:val="0"/>
                    <w:widowControl/>
                    <w:kinsoku/>
                    <w:wordWrap/>
                    <w:overflowPunct/>
                    <w:topLinePunct w:val="0"/>
                    <w:autoSpaceDE/>
                    <w:autoSpaceDN/>
                    <w:bidi w:val="0"/>
                    <w:spacing w:line="360" w:lineRule="exact"/>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56.0</w:t>
                  </w:r>
                </w:p>
              </w:tc>
              <w:tc>
                <w:tcPr>
                  <w:tcW w:w="585" w:type="pct"/>
                  <w:tcBorders>
                    <w:left w:val="single" w:color="auto" w:sz="4" w:space="0"/>
                    <w:right w:val="single" w:color="auto" w:sz="4" w:space="0"/>
                  </w:tcBorders>
                  <w:noWrap w:val="0"/>
                  <w:vAlign w:val="center"/>
                </w:tcPr>
                <w:p w14:paraId="779C9F52">
                  <w:pPr>
                    <w:keepNext w:val="0"/>
                    <w:keepLines w:val="0"/>
                    <w:pageBreakBefore w:val="0"/>
                    <w:widowControl/>
                    <w:kinsoku/>
                    <w:wordWrap/>
                    <w:overflowPunct/>
                    <w:topLinePunct w:val="0"/>
                    <w:autoSpaceDE/>
                    <w:autoSpaceDN/>
                    <w:bidi w:val="0"/>
                    <w:spacing w:line="360" w:lineRule="exact"/>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52.4</w:t>
                  </w:r>
                </w:p>
              </w:tc>
              <w:tc>
                <w:tcPr>
                  <w:tcW w:w="586" w:type="pct"/>
                  <w:tcBorders>
                    <w:left w:val="single" w:color="auto" w:sz="4" w:space="0"/>
                    <w:right w:val="single" w:color="auto" w:sz="4" w:space="0"/>
                  </w:tcBorders>
                  <w:noWrap w:val="0"/>
                  <w:vAlign w:val="center"/>
                </w:tcPr>
                <w:p w14:paraId="34F7D7A8">
                  <w:pPr>
                    <w:keepNext w:val="0"/>
                    <w:keepLines w:val="0"/>
                    <w:pageBreakBefore w:val="0"/>
                    <w:widowControl/>
                    <w:kinsoku/>
                    <w:wordWrap/>
                    <w:overflowPunct/>
                    <w:topLinePunct w:val="0"/>
                    <w:autoSpaceDE/>
                    <w:autoSpaceDN/>
                    <w:bidi w:val="0"/>
                    <w:spacing w:line="360" w:lineRule="exact"/>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50.0</w:t>
                  </w:r>
                </w:p>
              </w:tc>
              <w:tc>
                <w:tcPr>
                  <w:tcW w:w="590" w:type="pct"/>
                  <w:tcBorders>
                    <w:left w:val="single" w:color="auto" w:sz="4" w:space="0"/>
                    <w:right w:val="single" w:color="auto" w:sz="4" w:space="0"/>
                  </w:tcBorders>
                  <w:noWrap w:val="0"/>
                  <w:vAlign w:val="center"/>
                </w:tcPr>
                <w:p w14:paraId="37F249DB">
                  <w:pPr>
                    <w:keepNext w:val="0"/>
                    <w:keepLines w:val="0"/>
                    <w:pageBreakBefore w:val="0"/>
                    <w:widowControl/>
                    <w:kinsoku/>
                    <w:wordWrap/>
                    <w:overflowPunct/>
                    <w:topLinePunct w:val="0"/>
                    <w:autoSpaceDE/>
                    <w:autoSpaceDN/>
                    <w:bidi w:val="0"/>
                    <w:spacing w:line="360" w:lineRule="exact"/>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46.5</w:t>
                  </w:r>
                </w:p>
              </w:tc>
            </w:tr>
            <w:tr w14:paraId="237A0F8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03" w:hRule="atLeast"/>
                <w:tblHeader/>
                <w:jc w:val="center"/>
              </w:trPr>
              <w:tc>
                <w:tcPr>
                  <w:tcW w:w="895" w:type="pct"/>
                  <w:noWrap w:val="0"/>
                  <w:vAlign w:val="center"/>
                </w:tcPr>
                <w:p w14:paraId="58EB9FE9">
                  <w:pPr>
                    <w:keepNext w:val="0"/>
                    <w:keepLines w:val="0"/>
                    <w:pageBreakBefore w:val="0"/>
                    <w:kinsoku/>
                    <w:wordWrap/>
                    <w:overflowPunct/>
                    <w:topLinePunct w:val="0"/>
                    <w:autoSpaceDE/>
                    <w:autoSpaceDN/>
                    <w:bidi w:val="0"/>
                    <w:adjustRightInd w:val="0"/>
                    <w:snapToGrid w:val="0"/>
                    <w:spacing w:line="360" w:lineRule="exact"/>
                    <w:jc w:val="center"/>
                    <w:rPr>
                      <w:rFonts w:hint="eastAsia"/>
                      <w:b w:val="0"/>
                      <w:bCs w:val="0"/>
                      <w:color w:val="auto"/>
                      <w:sz w:val="21"/>
                      <w:szCs w:val="21"/>
                    </w:rPr>
                  </w:pPr>
                  <w:r>
                    <w:rPr>
                      <w:rFonts w:hint="eastAsia"/>
                      <w:b w:val="0"/>
                      <w:bCs w:val="0"/>
                      <w:color w:val="auto"/>
                      <w:sz w:val="21"/>
                      <w:szCs w:val="21"/>
                    </w:rPr>
                    <w:t>空压机</w:t>
                  </w:r>
                </w:p>
              </w:tc>
              <w:tc>
                <w:tcPr>
                  <w:tcW w:w="585" w:type="pct"/>
                  <w:noWrap w:val="0"/>
                  <w:vAlign w:val="center"/>
                </w:tcPr>
                <w:p w14:paraId="63624BD6">
                  <w:pPr>
                    <w:keepNext w:val="0"/>
                    <w:keepLines w:val="0"/>
                    <w:pageBreakBefore w:val="0"/>
                    <w:widowControl/>
                    <w:kinsoku/>
                    <w:wordWrap/>
                    <w:overflowPunct/>
                    <w:topLinePunct w:val="0"/>
                    <w:autoSpaceDE/>
                    <w:autoSpaceDN/>
                    <w:bidi w:val="0"/>
                    <w:spacing w:line="360" w:lineRule="exact"/>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77.5</w:t>
                  </w:r>
                </w:p>
              </w:tc>
              <w:tc>
                <w:tcPr>
                  <w:tcW w:w="585" w:type="pct"/>
                  <w:noWrap w:val="0"/>
                  <w:vAlign w:val="center"/>
                </w:tcPr>
                <w:p w14:paraId="110EE2B7">
                  <w:pPr>
                    <w:keepNext w:val="0"/>
                    <w:keepLines w:val="0"/>
                    <w:pageBreakBefore w:val="0"/>
                    <w:widowControl/>
                    <w:kinsoku/>
                    <w:wordWrap/>
                    <w:overflowPunct/>
                    <w:topLinePunct w:val="0"/>
                    <w:autoSpaceDE/>
                    <w:autoSpaceDN/>
                    <w:bidi w:val="0"/>
                    <w:spacing w:line="360" w:lineRule="exact"/>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75.0</w:t>
                  </w:r>
                </w:p>
              </w:tc>
              <w:tc>
                <w:tcPr>
                  <w:tcW w:w="585" w:type="pct"/>
                  <w:noWrap w:val="0"/>
                  <w:vAlign w:val="center"/>
                </w:tcPr>
                <w:p w14:paraId="2AAE143F">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67.0</w:t>
                  </w:r>
                </w:p>
              </w:tc>
              <w:tc>
                <w:tcPr>
                  <w:tcW w:w="585" w:type="pct"/>
                  <w:tcBorders>
                    <w:right w:val="single" w:color="auto" w:sz="4" w:space="0"/>
                  </w:tcBorders>
                  <w:noWrap w:val="0"/>
                  <w:vAlign w:val="center"/>
                </w:tcPr>
                <w:p w14:paraId="485A133B">
                  <w:pPr>
                    <w:keepNext w:val="0"/>
                    <w:keepLines w:val="0"/>
                    <w:pageBreakBefore w:val="0"/>
                    <w:widowControl/>
                    <w:kinsoku/>
                    <w:wordWrap/>
                    <w:overflowPunct/>
                    <w:topLinePunct w:val="0"/>
                    <w:autoSpaceDE/>
                    <w:autoSpaceDN/>
                    <w:bidi w:val="0"/>
                    <w:spacing w:line="360" w:lineRule="exact"/>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61.0</w:t>
                  </w:r>
                </w:p>
              </w:tc>
              <w:tc>
                <w:tcPr>
                  <w:tcW w:w="585" w:type="pct"/>
                  <w:tcBorders>
                    <w:left w:val="single" w:color="auto" w:sz="4" w:space="0"/>
                    <w:right w:val="single" w:color="auto" w:sz="4" w:space="0"/>
                  </w:tcBorders>
                  <w:noWrap w:val="0"/>
                  <w:vAlign w:val="center"/>
                </w:tcPr>
                <w:p w14:paraId="16C4A7C1">
                  <w:pPr>
                    <w:keepNext w:val="0"/>
                    <w:keepLines w:val="0"/>
                    <w:pageBreakBefore w:val="0"/>
                    <w:widowControl/>
                    <w:kinsoku/>
                    <w:wordWrap/>
                    <w:overflowPunct/>
                    <w:topLinePunct w:val="0"/>
                    <w:autoSpaceDE/>
                    <w:autoSpaceDN/>
                    <w:bidi w:val="0"/>
                    <w:spacing w:line="360" w:lineRule="exact"/>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57.4</w:t>
                  </w:r>
                </w:p>
              </w:tc>
              <w:tc>
                <w:tcPr>
                  <w:tcW w:w="586" w:type="pct"/>
                  <w:tcBorders>
                    <w:left w:val="single" w:color="auto" w:sz="4" w:space="0"/>
                    <w:right w:val="single" w:color="auto" w:sz="4" w:space="0"/>
                  </w:tcBorders>
                  <w:noWrap w:val="0"/>
                  <w:vAlign w:val="center"/>
                </w:tcPr>
                <w:p w14:paraId="7C722C4B">
                  <w:pPr>
                    <w:keepNext w:val="0"/>
                    <w:keepLines w:val="0"/>
                    <w:pageBreakBefore w:val="0"/>
                    <w:widowControl/>
                    <w:kinsoku/>
                    <w:wordWrap/>
                    <w:overflowPunct/>
                    <w:topLinePunct w:val="0"/>
                    <w:autoSpaceDE/>
                    <w:autoSpaceDN/>
                    <w:bidi w:val="0"/>
                    <w:spacing w:line="360" w:lineRule="exact"/>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55.0</w:t>
                  </w:r>
                </w:p>
              </w:tc>
              <w:tc>
                <w:tcPr>
                  <w:tcW w:w="590" w:type="pct"/>
                  <w:tcBorders>
                    <w:left w:val="single" w:color="auto" w:sz="4" w:space="0"/>
                    <w:right w:val="single" w:color="auto" w:sz="4" w:space="0"/>
                  </w:tcBorders>
                  <w:noWrap w:val="0"/>
                  <w:vAlign w:val="center"/>
                </w:tcPr>
                <w:p w14:paraId="7AFD54EF">
                  <w:pPr>
                    <w:keepNext w:val="0"/>
                    <w:keepLines w:val="0"/>
                    <w:pageBreakBefore w:val="0"/>
                    <w:widowControl/>
                    <w:kinsoku/>
                    <w:wordWrap/>
                    <w:overflowPunct/>
                    <w:topLinePunct w:val="0"/>
                    <w:autoSpaceDE/>
                    <w:autoSpaceDN/>
                    <w:bidi w:val="0"/>
                    <w:spacing w:line="360" w:lineRule="exact"/>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51.4</w:t>
                  </w:r>
                </w:p>
              </w:tc>
            </w:tr>
          </w:tbl>
          <w:p w14:paraId="32D144E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宋体"/>
                <w:color w:val="auto"/>
                <w:sz w:val="24"/>
                <w:szCs w:val="24"/>
                <w:lang w:eastAsia="zh-CN"/>
              </w:rPr>
            </w:pPr>
            <w:r>
              <w:rPr>
                <w:b/>
                <w:bCs/>
                <w:color w:val="auto"/>
                <w:sz w:val="24"/>
                <w:szCs w:val="24"/>
              </w:rPr>
              <w:t>表</w:t>
            </w:r>
            <w:r>
              <w:rPr>
                <w:rFonts w:hint="eastAsia"/>
                <w:b/>
                <w:bCs/>
                <w:color w:val="auto"/>
                <w:sz w:val="24"/>
                <w:szCs w:val="24"/>
                <w:lang w:val="en-US" w:eastAsia="zh-CN"/>
              </w:rPr>
              <w:t>4</w:t>
            </w:r>
            <w:r>
              <w:rPr>
                <w:rFonts w:hint="eastAsia"/>
                <w:b/>
                <w:bCs/>
                <w:color w:val="auto"/>
                <w:sz w:val="24"/>
                <w:szCs w:val="24"/>
              </w:rPr>
              <w:t>-</w:t>
            </w:r>
            <w:r>
              <w:rPr>
                <w:rFonts w:hint="eastAsia"/>
                <w:b/>
                <w:bCs/>
                <w:color w:val="auto"/>
                <w:sz w:val="24"/>
                <w:szCs w:val="24"/>
                <w:lang w:val="en-US" w:eastAsia="zh-CN"/>
              </w:rPr>
              <w:t xml:space="preserve">3  </w:t>
            </w:r>
            <w:r>
              <w:rPr>
                <w:rFonts w:hint="eastAsia"/>
                <w:b/>
                <w:bCs/>
                <w:color w:val="auto"/>
                <w:sz w:val="24"/>
                <w:szCs w:val="24"/>
              </w:rPr>
              <w:t>施工期噪声源组合在不同距离的噪声预测值 单位：dB</w:t>
            </w:r>
            <w:r>
              <w:rPr>
                <w:rFonts w:hint="eastAsia"/>
                <w:b/>
                <w:bCs/>
                <w:color w:val="auto"/>
                <w:sz w:val="24"/>
                <w:szCs w:val="24"/>
                <w:lang w:val="en-US" w:eastAsia="zh-CN"/>
              </w:rPr>
              <w:t>(</w:t>
            </w:r>
            <w:r>
              <w:rPr>
                <w:rFonts w:hint="eastAsia"/>
                <w:b/>
                <w:bCs/>
                <w:color w:val="auto"/>
                <w:sz w:val="24"/>
                <w:szCs w:val="24"/>
              </w:rPr>
              <w:t>A</w:t>
            </w:r>
            <w:r>
              <w:rPr>
                <w:rFonts w:hint="eastAsia"/>
                <w:b/>
                <w:bCs/>
                <w:color w:val="auto"/>
                <w:sz w:val="24"/>
                <w:szCs w:val="24"/>
                <w:lang w:val="en-US" w:eastAsia="zh-CN"/>
              </w:rPr>
              <w:t>)</w:t>
            </w:r>
          </w:p>
          <w:tbl>
            <w:tblPr>
              <w:tblStyle w:val="26"/>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0" w:type="dxa"/>
                <w:bottom w:w="0" w:type="dxa"/>
                <w:right w:w="0" w:type="dxa"/>
              </w:tblCellMar>
            </w:tblPr>
            <w:tblGrid>
              <w:gridCol w:w="2172"/>
              <w:gridCol w:w="873"/>
              <w:gridCol w:w="873"/>
              <w:gridCol w:w="873"/>
              <w:gridCol w:w="873"/>
              <w:gridCol w:w="874"/>
              <w:gridCol w:w="874"/>
              <w:gridCol w:w="881"/>
            </w:tblGrid>
            <w:tr w14:paraId="39825FA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676" w:hRule="atLeast"/>
                <w:tblHeader/>
                <w:jc w:val="center"/>
              </w:trPr>
              <w:tc>
                <w:tcPr>
                  <w:tcW w:w="1308" w:type="pct"/>
                  <w:noWrap w:val="0"/>
                  <w:vAlign w:val="center"/>
                </w:tcPr>
                <w:p w14:paraId="0F2D0065">
                  <w:pPr>
                    <w:keepNext w:val="0"/>
                    <w:keepLines w:val="0"/>
                    <w:pageBreakBefore w:val="0"/>
                    <w:kinsoku/>
                    <w:wordWrap/>
                    <w:overflowPunct/>
                    <w:topLinePunct w:val="0"/>
                    <w:autoSpaceDE/>
                    <w:autoSpaceDN/>
                    <w:bidi w:val="0"/>
                    <w:adjustRightInd w:val="0"/>
                    <w:snapToGrid w:val="0"/>
                    <w:spacing w:line="360" w:lineRule="exact"/>
                    <w:jc w:val="center"/>
                    <w:rPr>
                      <w:rFonts w:hint="eastAsia" w:eastAsia="宋体"/>
                      <w:b w:val="0"/>
                      <w:bCs w:val="0"/>
                      <w:color w:val="auto"/>
                      <w:sz w:val="21"/>
                      <w:szCs w:val="21"/>
                      <w:lang w:eastAsia="zh-CN"/>
                    </w:rPr>
                  </w:pPr>
                  <w:r>
                    <w:rPr>
                      <w:rFonts w:hint="eastAsia" w:eastAsia="宋体"/>
                      <w:b w:val="0"/>
                      <w:bCs w:val="0"/>
                      <w:color w:val="auto"/>
                      <w:sz w:val="21"/>
                      <w:szCs w:val="21"/>
                      <w:lang w:eastAsia="zh-CN"/>
                    </w:rPr>
                    <w:t>噪声源组合</w:t>
                  </w:r>
                </w:p>
              </w:tc>
              <w:tc>
                <w:tcPr>
                  <w:tcW w:w="526" w:type="pct"/>
                  <w:noWrap w:val="0"/>
                  <w:vAlign w:val="center"/>
                </w:tcPr>
                <w:p w14:paraId="17B90657">
                  <w:pPr>
                    <w:keepNext w:val="0"/>
                    <w:keepLines w:val="0"/>
                    <w:pageBreakBefore w:val="0"/>
                    <w:kinsoku/>
                    <w:wordWrap/>
                    <w:overflowPunct/>
                    <w:topLinePunct w:val="0"/>
                    <w:autoSpaceDE/>
                    <w:autoSpaceDN/>
                    <w:bidi w:val="0"/>
                    <w:adjustRightInd w:val="0"/>
                    <w:snapToGrid w:val="0"/>
                    <w:spacing w:line="360" w:lineRule="exact"/>
                    <w:jc w:val="center"/>
                    <w:rPr>
                      <w:b w:val="0"/>
                      <w:bCs w:val="0"/>
                      <w:color w:val="auto"/>
                      <w:sz w:val="21"/>
                      <w:szCs w:val="21"/>
                    </w:rPr>
                  </w:pPr>
                  <w:r>
                    <w:rPr>
                      <w:rFonts w:hint="eastAsia"/>
                      <w:b w:val="0"/>
                      <w:bCs w:val="0"/>
                      <w:color w:val="auto"/>
                      <w:sz w:val="21"/>
                      <w:szCs w:val="21"/>
                    </w:rPr>
                    <w:t>15m</w:t>
                  </w:r>
                </w:p>
              </w:tc>
              <w:tc>
                <w:tcPr>
                  <w:tcW w:w="526" w:type="pct"/>
                  <w:noWrap w:val="0"/>
                  <w:vAlign w:val="center"/>
                </w:tcPr>
                <w:p w14:paraId="126CB15F">
                  <w:pPr>
                    <w:keepNext w:val="0"/>
                    <w:keepLines w:val="0"/>
                    <w:pageBreakBefore w:val="0"/>
                    <w:kinsoku/>
                    <w:wordWrap/>
                    <w:overflowPunct/>
                    <w:topLinePunct w:val="0"/>
                    <w:autoSpaceDE/>
                    <w:autoSpaceDN/>
                    <w:bidi w:val="0"/>
                    <w:adjustRightInd w:val="0"/>
                    <w:snapToGrid w:val="0"/>
                    <w:spacing w:line="360" w:lineRule="exact"/>
                    <w:jc w:val="center"/>
                    <w:rPr>
                      <w:b w:val="0"/>
                      <w:bCs w:val="0"/>
                      <w:color w:val="auto"/>
                      <w:sz w:val="21"/>
                      <w:szCs w:val="21"/>
                    </w:rPr>
                  </w:pPr>
                  <w:r>
                    <w:rPr>
                      <w:rFonts w:hint="eastAsia"/>
                      <w:b w:val="0"/>
                      <w:bCs w:val="0"/>
                      <w:color w:val="auto"/>
                      <w:sz w:val="21"/>
                      <w:szCs w:val="21"/>
                    </w:rPr>
                    <w:t>20m</w:t>
                  </w:r>
                </w:p>
              </w:tc>
              <w:tc>
                <w:tcPr>
                  <w:tcW w:w="526" w:type="pct"/>
                  <w:noWrap w:val="0"/>
                  <w:vAlign w:val="center"/>
                </w:tcPr>
                <w:p w14:paraId="136C9457">
                  <w:pPr>
                    <w:keepNext w:val="0"/>
                    <w:keepLines w:val="0"/>
                    <w:pageBreakBefore w:val="0"/>
                    <w:kinsoku/>
                    <w:wordWrap/>
                    <w:overflowPunct/>
                    <w:topLinePunct w:val="0"/>
                    <w:autoSpaceDE/>
                    <w:autoSpaceDN/>
                    <w:bidi w:val="0"/>
                    <w:adjustRightInd w:val="0"/>
                    <w:snapToGrid w:val="0"/>
                    <w:spacing w:line="360" w:lineRule="exact"/>
                    <w:jc w:val="center"/>
                    <w:rPr>
                      <w:b w:val="0"/>
                      <w:bCs w:val="0"/>
                      <w:color w:val="auto"/>
                      <w:sz w:val="21"/>
                      <w:szCs w:val="21"/>
                    </w:rPr>
                  </w:pPr>
                  <w:r>
                    <w:rPr>
                      <w:rFonts w:hint="eastAsia"/>
                      <w:b w:val="0"/>
                      <w:bCs w:val="0"/>
                      <w:color w:val="auto"/>
                      <w:sz w:val="21"/>
                      <w:szCs w:val="21"/>
                      <w:lang w:val="en-US" w:eastAsia="zh-CN"/>
                    </w:rPr>
                    <w:t>3</w:t>
                  </w:r>
                  <w:r>
                    <w:rPr>
                      <w:rFonts w:hint="eastAsia"/>
                      <w:b w:val="0"/>
                      <w:bCs w:val="0"/>
                      <w:color w:val="auto"/>
                      <w:sz w:val="21"/>
                      <w:szCs w:val="21"/>
                    </w:rPr>
                    <w:t>0m</w:t>
                  </w:r>
                </w:p>
              </w:tc>
              <w:tc>
                <w:tcPr>
                  <w:tcW w:w="526" w:type="pct"/>
                  <w:tcBorders>
                    <w:right w:val="single" w:color="auto" w:sz="4" w:space="0"/>
                  </w:tcBorders>
                  <w:noWrap w:val="0"/>
                  <w:vAlign w:val="center"/>
                </w:tcPr>
                <w:p w14:paraId="3B365D1B">
                  <w:pPr>
                    <w:keepNext w:val="0"/>
                    <w:keepLines w:val="0"/>
                    <w:pageBreakBefore w:val="0"/>
                    <w:kinsoku/>
                    <w:wordWrap/>
                    <w:overflowPunct/>
                    <w:topLinePunct w:val="0"/>
                    <w:autoSpaceDE/>
                    <w:autoSpaceDN/>
                    <w:bidi w:val="0"/>
                    <w:adjustRightInd w:val="0"/>
                    <w:snapToGrid w:val="0"/>
                    <w:spacing w:line="360" w:lineRule="exact"/>
                    <w:jc w:val="center"/>
                    <w:rPr>
                      <w:b w:val="0"/>
                      <w:bCs w:val="0"/>
                      <w:color w:val="auto"/>
                      <w:sz w:val="21"/>
                      <w:szCs w:val="21"/>
                    </w:rPr>
                  </w:pPr>
                  <w:r>
                    <w:rPr>
                      <w:rFonts w:hint="eastAsia"/>
                      <w:b w:val="0"/>
                      <w:bCs w:val="0"/>
                      <w:color w:val="auto"/>
                      <w:sz w:val="21"/>
                      <w:szCs w:val="21"/>
                      <w:lang w:val="en-US" w:eastAsia="zh-CN"/>
                    </w:rPr>
                    <w:t>5</w:t>
                  </w:r>
                  <w:r>
                    <w:rPr>
                      <w:rFonts w:hint="eastAsia"/>
                      <w:b w:val="0"/>
                      <w:bCs w:val="0"/>
                      <w:color w:val="auto"/>
                      <w:sz w:val="21"/>
                      <w:szCs w:val="21"/>
                    </w:rPr>
                    <w:t>0m</w:t>
                  </w:r>
                </w:p>
              </w:tc>
              <w:tc>
                <w:tcPr>
                  <w:tcW w:w="526" w:type="pct"/>
                  <w:tcBorders>
                    <w:left w:val="single" w:color="auto" w:sz="4" w:space="0"/>
                    <w:right w:val="single" w:color="auto" w:sz="4" w:space="0"/>
                  </w:tcBorders>
                  <w:noWrap w:val="0"/>
                  <w:vAlign w:val="center"/>
                </w:tcPr>
                <w:p w14:paraId="4B2F3F7E">
                  <w:pPr>
                    <w:keepNext w:val="0"/>
                    <w:keepLines w:val="0"/>
                    <w:pageBreakBefore w:val="0"/>
                    <w:kinsoku/>
                    <w:wordWrap/>
                    <w:overflowPunct/>
                    <w:topLinePunct w:val="0"/>
                    <w:autoSpaceDE/>
                    <w:autoSpaceDN/>
                    <w:bidi w:val="0"/>
                    <w:adjustRightInd w:val="0"/>
                    <w:snapToGrid w:val="0"/>
                    <w:spacing w:line="360" w:lineRule="exact"/>
                    <w:jc w:val="center"/>
                    <w:rPr>
                      <w:b w:val="0"/>
                      <w:bCs w:val="0"/>
                      <w:color w:val="auto"/>
                      <w:sz w:val="21"/>
                      <w:szCs w:val="21"/>
                    </w:rPr>
                  </w:pPr>
                  <w:r>
                    <w:rPr>
                      <w:rFonts w:hint="eastAsia"/>
                      <w:b w:val="0"/>
                      <w:bCs w:val="0"/>
                      <w:color w:val="auto"/>
                      <w:sz w:val="21"/>
                      <w:szCs w:val="21"/>
                    </w:rPr>
                    <w:t>1</w:t>
                  </w:r>
                  <w:r>
                    <w:rPr>
                      <w:rFonts w:hint="eastAsia"/>
                      <w:b w:val="0"/>
                      <w:bCs w:val="0"/>
                      <w:color w:val="auto"/>
                      <w:sz w:val="21"/>
                      <w:szCs w:val="21"/>
                      <w:lang w:val="en-US" w:eastAsia="zh-CN"/>
                    </w:rPr>
                    <w:t>0</w:t>
                  </w:r>
                  <w:r>
                    <w:rPr>
                      <w:rFonts w:hint="eastAsia"/>
                      <w:b w:val="0"/>
                      <w:bCs w:val="0"/>
                      <w:color w:val="auto"/>
                      <w:sz w:val="21"/>
                      <w:szCs w:val="21"/>
                    </w:rPr>
                    <w:t>0m</w:t>
                  </w:r>
                </w:p>
              </w:tc>
              <w:tc>
                <w:tcPr>
                  <w:tcW w:w="526" w:type="pct"/>
                  <w:tcBorders>
                    <w:left w:val="single" w:color="auto" w:sz="4" w:space="0"/>
                    <w:right w:val="single" w:color="auto" w:sz="4" w:space="0"/>
                  </w:tcBorders>
                  <w:noWrap w:val="0"/>
                  <w:vAlign w:val="center"/>
                </w:tcPr>
                <w:p w14:paraId="113587CF">
                  <w:pPr>
                    <w:keepNext w:val="0"/>
                    <w:keepLines w:val="0"/>
                    <w:pageBreakBefore w:val="0"/>
                    <w:kinsoku/>
                    <w:wordWrap/>
                    <w:overflowPunct/>
                    <w:topLinePunct w:val="0"/>
                    <w:autoSpaceDE/>
                    <w:autoSpaceDN/>
                    <w:bidi w:val="0"/>
                    <w:adjustRightInd w:val="0"/>
                    <w:snapToGrid w:val="0"/>
                    <w:spacing w:line="360" w:lineRule="exact"/>
                    <w:jc w:val="center"/>
                    <w:rPr>
                      <w:rFonts w:hint="default" w:eastAsia="宋体"/>
                      <w:b w:val="0"/>
                      <w:bCs w:val="0"/>
                      <w:color w:val="auto"/>
                      <w:sz w:val="21"/>
                      <w:szCs w:val="21"/>
                      <w:lang w:val="en-US" w:eastAsia="zh-CN"/>
                    </w:rPr>
                  </w:pPr>
                  <w:r>
                    <w:rPr>
                      <w:rFonts w:hint="eastAsia"/>
                      <w:b w:val="0"/>
                      <w:bCs w:val="0"/>
                      <w:color w:val="auto"/>
                      <w:sz w:val="21"/>
                      <w:szCs w:val="21"/>
                      <w:lang w:val="en-US" w:eastAsia="zh-CN"/>
                    </w:rPr>
                    <w:t>150m</w:t>
                  </w:r>
                </w:p>
              </w:tc>
              <w:tc>
                <w:tcPr>
                  <w:tcW w:w="530" w:type="pct"/>
                  <w:tcBorders>
                    <w:left w:val="single" w:color="auto" w:sz="4" w:space="0"/>
                    <w:right w:val="single" w:color="auto" w:sz="4" w:space="0"/>
                  </w:tcBorders>
                  <w:noWrap w:val="0"/>
                  <w:vAlign w:val="center"/>
                </w:tcPr>
                <w:p w14:paraId="39083F20">
                  <w:pPr>
                    <w:keepNext w:val="0"/>
                    <w:keepLines w:val="0"/>
                    <w:pageBreakBefore w:val="0"/>
                    <w:kinsoku/>
                    <w:wordWrap/>
                    <w:overflowPunct/>
                    <w:topLinePunct w:val="0"/>
                    <w:autoSpaceDE/>
                    <w:autoSpaceDN/>
                    <w:bidi w:val="0"/>
                    <w:adjustRightInd w:val="0"/>
                    <w:snapToGrid w:val="0"/>
                    <w:spacing w:line="360" w:lineRule="exact"/>
                    <w:jc w:val="center"/>
                    <w:rPr>
                      <w:b w:val="0"/>
                      <w:bCs w:val="0"/>
                      <w:color w:val="auto"/>
                      <w:sz w:val="21"/>
                      <w:szCs w:val="21"/>
                    </w:rPr>
                  </w:pPr>
                  <w:r>
                    <w:rPr>
                      <w:rFonts w:hint="eastAsia"/>
                      <w:b w:val="0"/>
                      <w:bCs w:val="0"/>
                      <w:color w:val="auto"/>
                      <w:sz w:val="21"/>
                      <w:szCs w:val="21"/>
                    </w:rPr>
                    <w:t>200m</w:t>
                  </w:r>
                </w:p>
              </w:tc>
            </w:tr>
            <w:tr w14:paraId="4B63992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48" w:hRule="atLeast"/>
                <w:tblHeader/>
                <w:jc w:val="center"/>
              </w:trPr>
              <w:tc>
                <w:tcPr>
                  <w:tcW w:w="1308" w:type="pct"/>
                  <w:noWrap w:val="0"/>
                  <w:vAlign w:val="center"/>
                </w:tcPr>
                <w:p w14:paraId="23692837">
                  <w:pPr>
                    <w:keepNext w:val="0"/>
                    <w:keepLines w:val="0"/>
                    <w:pageBreakBefore w:val="0"/>
                    <w:kinsoku/>
                    <w:wordWrap/>
                    <w:overflowPunct/>
                    <w:topLinePunct w:val="0"/>
                    <w:autoSpaceDE/>
                    <w:autoSpaceDN/>
                    <w:bidi w:val="0"/>
                    <w:adjustRightInd w:val="0"/>
                    <w:snapToGrid w:val="0"/>
                    <w:spacing w:line="240" w:lineRule="auto"/>
                    <w:jc w:val="center"/>
                    <w:rPr>
                      <w:rFonts w:hint="eastAsia"/>
                      <w:b w:val="0"/>
                      <w:bCs w:val="0"/>
                      <w:color w:val="auto"/>
                      <w:sz w:val="21"/>
                      <w:szCs w:val="21"/>
                    </w:rPr>
                  </w:pPr>
                  <w:r>
                    <w:rPr>
                      <w:rFonts w:hint="eastAsia"/>
                      <w:b w:val="0"/>
                      <w:bCs w:val="0"/>
                      <w:color w:val="auto"/>
                      <w:sz w:val="21"/>
                      <w:szCs w:val="21"/>
                    </w:rPr>
                    <w:t>组合一：拆除阶段（翻斗机、装载机、推土机、破碎机、自卸车）</w:t>
                  </w:r>
                </w:p>
              </w:tc>
              <w:tc>
                <w:tcPr>
                  <w:tcW w:w="526" w:type="pct"/>
                  <w:noWrap w:val="0"/>
                  <w:vAlign w:val="center"/>
                </w:tcPr>
                <w:p w14:paraId="25154B4B">
                  <w:pPr>
                    <w:keepNext w:val="0"/>
                    <w:keepLines w:val="0"/>
                    <w:pageBreakBefore w:val="0"/>
                    <w:widowControl/>
                    <w:kinsoku/>
                    <w:wordWrap/>
                    <w:overflowPunct/>
                    <w:topLinePunct w:val="0"/>
                    <w:autoSpaceDE/>
                    <w:autoSpaceDN/>
                    <w:bidi w:val="0"/>
                    <w:spacing w:line="360" w:lineRule="exact"/>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82.2</w:t>
                  </w:r>
                </w:p>
              </w:tc>
              <w:tc>
                <w:tcPr>
                  <w:tcW w:w="526" w:type="pct"/>
                  <w:noWrap w:val="0"/>
                  <w:vAlign w:val="center"/>
                </w:tcPr>
                <w:p w14:paraId="5A2FE55E">
                  <w:pPr>
                    <w:keepNext w:val="0"/>
                    <w:keepLines w:val="0"/>
                    <w:pageBreakBefore w:val="0"/>
                    <w:widowControl/>
                    <w:kinsoku/>
                    <w:wordWrap/>
                    <w:overflowPunct/>
                    <w:topLinePunct w:val="0"/>
                    <w:autoSpaceDE/>
                    <w:autoSpaceDN/>
                    <w:bidi w:val="0"/>
                    <w:spacing w:line="360" w:lineRule="exact"/>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78.7</w:t>
                  </w:r>
                </w:p>
              </w:tc>
              <w:tc>
                <w:tcPr>
                  <w:tcW w:w="526" w:type="pct"/>
                  <w:noWrap w:val="0"/>
                  <w:vAlign w:val="center"/>
                </w:tcPr>
                <w:p w14:paraId="01D31793">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74.2</w:t>
                  </w:r>
                </w:p>
              </w:tc>
              <w:tc>
                <w:tcPr>
                  <w:tcW w:w="526" w:type="pct"/>
                  <w:tcBorders>
                    <w:right w:val="single" w:color="auto" w:sz="4" w:space="0"/>
                  </w:tcBorders>
                  <w:noWrap w:val="0"/>
                  <w:vAlign w:val="center"/>
                </w:tcPr>
                <w:p w14:paraId="36BFA65C">
                  <w:pPr>
                    <w:keepNext w:val="0"/>
                    <w:keepLines w:val="0"/>
                    <w:pageBreakBefore w:val="0"/>
                    <w:widowControl/>
                    <w:kinsoku/>
                    <w:wordWrap/>
                    <w:overflowPunct/>
                    <w:topLinePunct w:val="0"/>
                    <w:autoSpaceDE/>
                    <w:autoSpaceDN/>
                    <w:bidi w:val="0"/>
                    <w:spacing w:line="360" w:lineRule="exact"/>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68.2</w:t>
                  </w:r>
                </w:p>
              </w:tc>
              <w:tc>
                <w:tcPr>
                  <w:tcW w:w="526" w:type="pct"/>
                  <w:tcBorders>
                    <w:left w:val="single" w:color="auto" w:sz="4" w:space="0"/>
                    <w:right w:val="single" w:color="auto" w:sz="4" w:space="0"/>
                  </w:tcBorders>
                  <w:noWrap w:val="0"/>
                  <w:vAlign w:val="center"/>
                </w:tcPr>
                <w:p w14:paraId="713A734D">
                  <w:pPr>
                    <w:keepNext w:val="0"/>
                    <w:keepLines w:val="0"/>
                    <w:pageBreakBefore w:val="0"/>
                    <w:widowControl/>
                    <w:kinsoku/>
                    <w:wordWrap/>
                    <w:overflowPunct/>
                    <w:topLinePunct w:val="0"/>
                    <w:autoSpaceDE/>
                    <w:autoSpaceDN/>
                    <w:bidi w:val="0"/>
                    <w:spacing w:line="360" w:lineRule="exact"/>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64.2</w:t>
                  </w:r>
                </w:p>
              </w:tc>
              <w:tc>
                <w:tcPr>
                  <w:tcW w:w="526" w:type="pct"/>
                  <w:tcBorders>
                    <w:left w:val="single" w:color="auto" w:sz="4" w:space="0"/>
                    <w:right w:val="single" w:color="auto" w:sz="4" w:space="0"/>
                  </w:tcBorders>
                  <w:noWrap w:val="0"/>
                  <w:vAlign w:val="center"/>
                </w:tcPr>
                <w:p w14:paraId="0A228919">
                  <w:pPr>
                    <w:keepNext w:val="0"/>
                    <w:keepLines w:val="0"/>
                    <w:pageBreakBefore w:val="0"/>
                    <w:widowControl/>
                    <w:kinsoku/>
                    <w:wordWrap/>
                    <w:overflowPunct/>
                    <w:topLinePunct w:val="0"/>
                    <w:autoSpaceDE/>
                    <w:autoSpaceDN/>
                    <w:bidi w:val="0"/>
                    <w:spacing w:line="360" w:lineRule="exact"/>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61.6</w:t>
                  </w:r>
                </w:p>
              </w:tc>
              <w:tc>
                <w:tcPr>
                  <w:tcW w:w="530" w:type="pct"/>
                  <w:tcBorders>
                    <w:left w:val="single" w:color="auto" w:sz="4" w:space="0"/>
                    <w:right w:val="single" w:color="auto" w:sz="4" w:space="0"/>
                  </w:tcBorders>
                  <w:noWrap w:val="0"/>
                  <w:vAlign w:val="center"/>
                </w:tcPr>
                <w:p w14:paraId="2E672B65">
                  <w:pPr>
                    <w:keepNext w:val="0"/>
                    <w:keepLines w:val="0"/>
                    <w:pageBreakBefore w:val="0"/>
                    <w:widowControl/>
                    <w:kinsoku/>
                    <w:wordWrap/>
                    <w:overflowPunct/>
                    <w:topLinePunct w:val="0"/>
                    <w:autoSpaceDE/>
                    <w:autoSpaceDN/>
                    <w:bidi w:val="0"/>
                    <w:spacing w:line="360" w:lineRule="exact"/>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59.7</w:t>
                  </w:r>
                </w:p>
              </w:tc>
            </w:tr>
            <w:tr w14:paraId="25C7C3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708" w:hRule="atLeast"/>
                <w:tblHeader/>
                <w:jc w:val="center"/>
              </w:trPr>
              <w:tc>
                <w:tcPr>
                  <w:tcW w:w="1308" w:type="pct"/>
                  <w:noWrap w:val="0"/>
                  <w:vAlign w:val="center"/>
                </w:tcPr>
                <w:p w14:paraId="7BDE109D">
                  <w:pPr>
                    <w:keepNext w:val="0"/>
                    <w:keepLines w:val="0"/>
                    <w:pageBreakBefore w:val="0"/>
                    <w:kinsoku/>
                    <w:wordWrap/>
                    <w:overflowPunct/>
                    <w:topLinePunct w:val="0"/>
                    <w:autoSpaceDE/>
                    <w:autoSpaceDN/>
                    <w:bidi w:val="0"/>
                    <w:adjustRightInd w:val="0"/>
                    <w:snapToGrid w:val="0"/>
                    <w:spacing w:line="240" w:lineRule="auto"/>
                    <w:jc w:val="center"/>
                    <w:rPr>
                      <w:rFonts w:hint="eastAsia"/>
                      <w:b w:val="0"/>
                      <w:bCs w:val="0"/>
                      <w:color w:val="auto"/>
                      <w:sz w:val="21"/>
                      <w:szCs w:val="21"/>
                    </w:rPr>
                  </w:pPr>
                  <w:r>
                    <w:rPr>
                      <w:rFonts w:hint="eastAsia"/>
                      <w:b w:val="0"/>
                      <w:bCs w:val="0"/>
                      <w:color w:val="auto"/>
                      <w:sz w:val="21"/>
                      <w:szCs w:val="21"/>
                    </w:rPr>
                    <w:t>组合二：基础阶段（空压机、捣振棒）</w:t>
                  </w:r>
                </w:p>
              </w:tc>
              <w:tc>
                <w:tcPr>
                  <w:tcW w:w="526" w:type="pct"/>
                  <w:noWrap w:val="0"/>
                  <w:vAlign w:val="center"/>
                </w:tcPr>
                <w:p w14:paraId="45A3B68C">
                  <w:pPr>
                    <w:keepNext w:val="0"/>
                    <w:keepLines w:val="0"/>
                    <w:pageBreakBefore w:val="0"/>
                    <w:widowControl/>
                    <w:kinsoku/>
                    <w:wordWrap/>
                    <w:overflowPunct/>
                    <w:topLinePunct w:val="0"/>
                    <w:autoSpaceDE/>
                    <w:autoSpaceDN/>
                    <w:bidi w:val="0"/>
                    <w:spacing w:line="360" w:lineRule="exact"/>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79.6</w:t>
                  </w:r>
                </w:p>
              </w:tc>
              <w:tc>
                <w:tcPr>
                  <w:tcW w:w="526" w:type="pct"/>
                  <w:noWrap w:val="0"/>
                  <w:vAlign w:val="center"/>
                </w:tcPr>
                <w:p w14:paraId="20DD0C03">
                  <w:pPr>
                    <w:keepNext w:val="0"/>
                    <w:keepLines w:val="0"/>
                    <w:pageBreakBefore w:val="0"/>
                    <w:widowControl/>
                    <w:kinsoku/>
                    <w:wordWrap/>
                    <w:overflowPunct/>
                    <w:topLinePunct w:val="0"/>
                    <w:autoSpaceDE/>
                    <w:autoSpaceDN/>
                    <w:bidi w:val="0"/>
                    <w:spacing w:line="360" w:lineRule="exact"/>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76.1</w:t>
                  </w:r>
                </w:p>
              </w:tc>
              <w:tc>
                <w:tcPr>
                  <w:tcW w:w="526" w:type="pct"/>
                  <w:noWrap w:val="0"/>
                  <w:vAlign w:val="center"/>
                </w:tcPr>
                <w:p w14:paraId="4E926802">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71.6</w:t>
                  </w:r>
                </w:p>
              </w:tc>
              <w:tc>
                <w:tcPr>
                  <w:tcW w:w="526" w:type="pct"/>
                  <w:tcBorders>
                    <w:right w:val="single" w:color="auto" w:sz="4" w:space="0"/>
                  </w:tcBorders>
                  <w:noWrap w:val="0"/>
                  <w:vAlign w:val="center"/>
                </w:tcPr>
                <w:p w14:paraId="3BB29CFF">
                  <w:pPr>
                    <w:keepNext w:val="0"/>
                    <w:keepLines w:val="0"/>
                    <w:pageBreakBefore w:val="0"/>
                    <w:widowControl/>
                    <w:kinsoku/>
                    <w:wordWrap/>
                    <w:overflowPunct/>
                    <w:topLinePunct w:val="0"/>
                    <w:autoSpaceDE/>
                    <w:autoSpaceDN/>
                    <w:bidi w:val="0"/>
                    <w:spacing w:line="360" w:lineRule="exact"/>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65.6</w:t>
                  </w:r>
                </w:p>
              </w:tc>
              <w:tc>
                <w:tcPr>
                  <w:tcW w:w="526" w:type="pct"/>
                  <w:tcBorders>
                    <w:left w:val="single" w:color="auto" w:sz="4" w:space="0"/>
                    <w:right w:val="single" w:color="auto" w:sz="4" w:space="0"/>
                  </w:tcBorders>
                  <w:noWrap w:val="0"/>
                  <w:vAlign w:val="center"/>
                </w:tcPr>
                <w:p w14:paraId="378BE950">
                  <w:pPr>
                    <w:keepNext w:val="0"/>
                    <w:keepLines w:val="0"/>
                    <w:pageBreakBefore w:val="0"/>
                    <w:widowControl/>
                    <w:kinsoku/>
                    <w:wordWrap/>
                    <w:overflowPunct/>
                    <w:topLinePunct w:val="0"/>
                    <w:autoSpaceDE/>
                    <w:autoSpaceDN/>
                    <w:bidi w:val="0"/>
                    <w:spacing w:line="360" w:lineRule="exact"/>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61.6</w:t>
                  </w:r>
                </w:p>
              </w:tc>
              <w:tc>
                <w:tcPr>
                  <w:tcW w:w="526" w:type="pct"/>
                  <w:tcBorders>
                    <w:left w:val="single" w:color="auto" w:sz="4" w:space="0"/>
                    <w:right w:val="single" w:color="auto" w:sz="4" w:space="0"/>
                  </w:tcBorders>
                  <w:noWrap w:val="0"/>
                  <w:vAlign w:val="center"/>
                </w:tcPr>
                <w:p w14:paraId="2D275271">
                  <w:pPr>
                    <w:keepNext w:val="0"/>
                    <w:keepLines w:val="0"/>
                    <w:pageBreakBefore w:val="0"/>
                    <w:widowControl/>
                    <w:kinsoku/>
                    <w:wordWrap/>
                    <w:overflowPunct/>
                    <w:topLinePunct w:val="0"/>
                    <w:autoSpaceDE/>
                    <w:autoSpaceDN/>
                    <w:bidi w:val="0"/>
                    <w:spacing w:line="360" w:lineRule="exact"/>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59.0</w:t>
                  </w:r>
                </w:p>
              </w:tc>
              <w:tc>
                <w:tcPr>
                  <w:tcW w:w="530" w:type="pct"/>
                  <w:tcBorders>
                    <w:left w:val="single" w:color="auto" w:sz="4" w:space="0"/>
                    <w:right w:val="single" w:color="auto" w:sz="4" w:space="0"/>
                  </w:tcBorders>
                  <w:noWrap w:val="0"/>
                  <w:vAlign w:val="center"/>
                </w:tcPr>
                <w:p w14:paraId="4DFB2446">
                  <w:pPr>
                    <w:keepNext w:val="0"/>
                    <w:keepLines w:val="0"/>
                    <w:pageBreakBefore w:val="0"/>
                    <w:widowControl/>
                    <w:kinsoku/>
                    <w:wordWrap/>
                    <w:overflowPunct/>
                    <w:topLinePunct w:val="0"/>
                    <w:autoSpaceDE/>
                    <w:autoSpaceDN/>
                    <w:bidi w:val="0"/>
                    <w:spacing w:line="360" w:lineRule="exact"/>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57.1</w:t>
                  </w:r>
                </w:p>
              </w:tc>
            </w:tr>
          </w:tbl>
          <w:p w14:paraId="29AC1CB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color w:val="auto"/>
                <w:sz w:val="24"/>
                <w:lang w:eastAsia="zh-CN"/>
              </w:rPr>
            </w:pPr>
            <w:r>
              <w:rPr>
                <w:rFonts w:hint="eastAsia" w:cs="Times New Roman"/>
                <w:color w:val="auto"/>
                <w:sz w:val="24"/>
                <w:lang w:val="en-US" w:eastAsia="zh-CN"/>
              </w:rPr>
              <w:t>本项目生产车间和办公楼均已建成，</w:t>
            </w:r>
            <w:r>
              <w:rPr>
                <w:rFonts w:hint="eastAsia" w:cs="Times New Roman"/>
                <w:b w:val="0"/>
                <w:bCs w:val="0"/>
                <w:color w:val="auto"/>
                <w:sz w:val="24"/>
                <w:lang w:val="en-US" w:eastAsia="zh-CN"/>
              </w:rPr>
              <w:t>仅需新建一栋成品仓库</w:t>
            </w:r>
            <w:r>
              <w:rPr>
                <w:rFonts w:hint="eastAsia" w:cs="Times New Roman"/>
                <w:color w:val="auto"/>
                <w:sz w:val="24"/>
                <w:lang w:val="en-US" w:eastAsia="zh-CN"/>
              </w:rPr>
              <w:t>，位于厂区西北角，考虑到厂区西侧和北侧存在狮山村穆家畈组居民，</w:t>
            </w:r>
            <w:r>
              <w:rPr>
                <w:rFonts w:hint="eastAsia" w:ascii="Times New Roman" w:hAnsi="Times New Roman" w:cs="Times New Roman"/>
                <w:color w:val="auto"/>
                <w:sz w:val="24"/>
                <w:lang w:eastAsia="zh-CN"/>
              </w:rPr>
              <w:t>为了降低项目施工期间噪声对</w:t>
            </w:r>
            <w:r>
              <w:rPr>
                <w:rFonts w:hint="eastAsia" w:cs="Times New Roman"/>
                <w:color w:val="auto"/>
                <w:sz w:val="24"/>
                <w:lang w:val="en-US" w:eastAsia="zh-CN"/>
              </w:rPr>
              <w:t>北侧狮山村穆家畈组居民以及</w:t>
            </w:r>
            <w:r>
              <w:rPr>
                <w:rFonts w:hint="eastAsia" w:ascii="Times New Roman" w:hAnsi="Times New Roman" w:cs="Times New Roman"/>
                <w:color w:val="auto"/>
                <w:sz w:val="24"/>
                <w:lang w:eastAsia="zh-CN"/>
              </w:rPr>
              <w:t>外环境的影响，建设单位应采取以下措施：</w:t>
            </w:r>
          </w:p>
          <w:p w14:paraId="616FC01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color w:val="auto"/>
                <w:sz w:val="24"/>
                <w:lang w:eastAsia="zh-CN"/>
              </w:rPr>
            </w:pPr>
            <w:r>
              <w:rPr>
                <w:rFonts w:hint="eastAsia" w:ascii="Times New Roman" w:hAnsi="Times New Roman" w:cs="Times New Roman"/>
                <w:color w:val="auto"/>
                <w:sz w:val="24"/>
                <w:lang w:val="en-US" w:eastAsia="zh-CN"/>
              </w:rPr>
              <w:t>①</w:t>
            </w:r>
            <w:r>
              <w:rPr>
                <w:rFonts w:hint="eastAsia" w:ascii="Times New Roman" w:hAnsi="Times New Roman" w:cs="Times New Roman"/>
                <w:color w:val="auto"/>
                <w:sz w:val="24"/>
                <w:lang w:eastAsia="zh-CN"/>
              </w:rPr>
              <w:t>合理安排施工时间，严禁夜间施工。</w:t>
            </w:r>
          </w:p>
          <w:p w14:paraId="27832FD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color w:val="auto"/>
                <w:sz w:val="24"/>
                <w:lang w:eastAsia="zh-CN"/>
              </w:rPr>
            </w:pPr>
            <w:r>
              <w:rPr>
                <w:rFonts w:hint="eastAsia" w:ascii="Times New Roman" w:hAnsi="Times New Roman" w:cs="Times New Roman"/>
                <w:color w:val="auto"/>
                <w:sz w:val="24"/>
                <w:lang w:val="en-US" w:eastAsia="zh-CN"/>
              </w:rPr>
              <w:t>②</w:t>
            </w:r>
            <w:r>
              <w:rPr>
                <w:rFonts w:hint="eastAsia" w:ascii="Times New Roman" w:hAnsi="Times New Roman" w:cs="Times New Roman"/>
                <w:color w:val="auto"/>
                <w:sz w:val="24"/>
                <w:lang w:eastAsia="zh-CN"/>
              </w:rPr>
              <w:t>施工车辆出入现场时须低速、禁鸣，最大限度减少施工噪声影响。</w:t>
            </w:r>
          </w:p>
          <w:p w14:paraId="43880FF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color w:val="auto"/>
                <w:sz w:val="24"/>
                <w:lang w:eastAsia="zh-CN"/>
              </w:rPr>
            </w:pPr>
            <w:r>
              <w:rPr>
                <w:rFonts w:hint="eastAsia" w:ascii="Times New Roman" w:hAnsi="Times New Roman" w:cs="Times New Roman"/>
                <w:color w:val="auto"/>
                <w:sz w:val="24"/>
                <w:lang w:val="en-US" w:eastAsia="zh-CN"/>
              </w:rPr>
              <w:t>③</w:t>
            </w:r>
            <w:r>
              <w:rPr>
                <w:rFonts w:hint="eastAsia" w:ascii="Times New Roman" w:hAnsi="Times New Roman" w:cs="Times New Roman"/>
                <w:color w:val="auto"/>
                <w:sz w:val="24"/>
                <w:lang w:eastAsia="zh-CN"/>
              </w:rPr>
              <w:t>建设管理部门应加强对施工场地的噪声管理，施工企业也应对施工噪声进行自律，文明施工，禁止工人恶意制造噪声。</w:t>
            </w:r>
          </w:p>
          <w:p w14:paraId="4E9E520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color w:val="auto"/>
                <w:sz w:val="24"/>
                <w:lang w:eastAsia="zh-CN"/>
              </w:rPr>
            </w:pPr>
            <w:r>
              <w:rPr>
                <w:rFonts w:hint="eastAsia" w:ascii="Times New Roman" w:hAnsi="Times New Roman" w:cs="Times New Roman"/>
                <w:color w:val="auto"/>
                <w:sz w:val="24"/>
                <w:lang w:val="en-US" w:eastAsia="zh-CN"/>
              </w:rPr>
              <w:t>④</w:t>
            </w:r>
            <w:r>
              <w:rPr>
                <w:rFonts w:hint="eastAsia" w:ascii="Times New Roman" w:hAnsi="Times New Roman" w:cs="Times New Roman"/>
                <w:color w:val="auto"/>
                <w:sz w:val="24"/>
                <w:lang w:eastAsia="zh-CN"/>
              </w:rPr>
              <w:t>必要时，在施工场地外设置临时声屏障。</w:t>
            </w:r>
          </w:p>
          <w:p w14:paraId="0EBB9F8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color w:val="auto"/>
                <w:sz w:val="24"/>
                <w:lang w:eastAsia="zh-CN"/>
              </w:rPr>
            </w:pPr>
            <w:r>
              <w:rPr>
                <w:rFonts w:hint="eastAsia" w:ascii="Times New Roman" w:hAnsi="Times New Roman" w:cs="Times New Roman"/>
                <w:color w:val="auto"/>
                <w:sz w:val="24"/>
                <w:lang w:eastAsia="zh-CN"/>
              </w:rPr>
              <w:t>根据类比计算，建设单位在严格落实上述噪声防治措施后，施工期噪声将得到有效控制，施工噪声能有效降低约15-25dB(A)左右，施工噪声对周围环境的影响基本可在接受范围之内。此外，施工期的噪声影响是暂时的，一旦施工活动结束，施工噪声影响也就随之结束。</w:t>
            </w:r>
          </w:p>
          <w:p w14:paraId="5B41DB2C">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ascii="Times New Roman" w:hAnsi="Times New Roman" w:cs="Times New Roman"/>
                <w:color w:val="auto"/>
                <w:sz w:val="24"/>
              </w:rPr>
            </w:pPr>
            <w:r>
              <w:rPr>
                <w:rFonts w:hint="eastAsia" w:ascii="Times New Roman" w:hAnsi="Times New Roman" w:cs="Times New Roman"/>
                <w:b/>
                <w:bCs/>
                <w:color w:val="auto"/>
                <w:sz w:val="24"/>
                <w:lang w:val="en-US" w:eastAsia="zh-CN"/>
              </w:rPr>
              <w:t>3、</w:t>
            </w:r>
            <w:r>
              <w:rPr>
                <w:rFonts w:hint="eastAsia" w:ascii="Times New Roman" w:hAnsi="Times New Roman" w:cs="Times New Roman"/>
                <w:b/>
                <w:bCs/>
                <w:color w:val="auto"/>
                <w:sz w:val="24"/>
              </w:rPr>
              <w:t>施工期固废环境影响及保护措施</w:t>
            </w:r>
          </w:p>
          <w:p w14:paraId="21D56F3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color w:val="auto"/>
                <w:sz w:val="24"/>
                <w:lang w:eastAsia="zh-CN"/>
              </w:rPr>
            </w:pPr>
            <w:r>
              <w:rPr>
                <w:rFonts w:hint="eastAsia" w:ascii="Times New Roman" w:hAnsi="Times New Roman" w:cs="Times New Roman"/>
                <w:color w:val="auto"/>
                <w:sz w:val="24"/>
                <w:lang w:eastAsia="zh-CN"/>
              </w:rPr>
              <w:t>施工期间主要的固体废物由施工人员生活垃圾、建筑废料和渣土。施工期间产生的固废拟采取以下措施：</w:t>
            </w:r>
          </w:p>
          <w:p w14:paraId="23DC90C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color w:val="auto"/>
                <w:sz w:val="24"/>
                <w:lang w:eastAsia="zh-CN"/>
              </w:rPr>
            </w:pPr>
            <w:r>
              <w:rPr>
                <w:rFonts w:hint="eastAsia" w:ascii="Times New Roman" w:hAnsi="Times New Roman" w:cs="Times New Roman"/>
                <w:color w:val="auto"/>
                <w:sz w:val="24"/>
                <w:lang w:eastAsia="zh-CN"/>
              </w:rPr>
              <w:t>（1）施工人员居住区的生活垃圾要实行袋装化，每天由清洁员清理，集中送至指定堆放点，由市政环卫部门清运。</w:t>
            </w:r>
          </w:p>
          <w:p w14:paraId="713AD59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color w:val="auto"/>
                <w:sz w:val="24"/>
                <w:lang w:eastAsia="zh-CN"/>
              </w:rPr>
            </w:pPr>
            <w:r>
              <w:rPr>
                <w:rFonts w:hint="eastAsia" w:ascii="Times New Roman" w:hAnsi="Times New Roman" w:cs="Times New Roman"/>
                <w:color w:val="auto"/>
                <w:sz w:val="24"/>
                <w:lang w:eastAsia="zh-CN"/>
              </w:rPr>
              <w:t>（2）尽量减少建筑材料在运输、装卸、施工过程中的建筑垃圾在指定的堆放点存放，由市政环卫部门清运。</w:t>
            </w:r>
          </w:p>
          <w:p w14:paraId="560FCB0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color w:val="auto"/>
                <w:sz w:val="24"/>
                <w:lang w:eastAsia="zh-CN"/>
              </w:rPr>
            </w:pPr>
            <w:r>
              <w:rPr>
                <w:rFonts w:hint="eastAsia" w:ascii="Times New Roman" w:hAnsi="Times New Roman" w:cs="Times New Roman"/>
                <w:color w:val="auto"/>
                <w:sz w:val="24"/>
                <w:lang w:eastAsia="zh-CN"/>
              </w:rPr>
              <w:t>（3）在工地废料被运送到合适的市场去</w:t>
            </w:r>
            <w:r>
              <w:rPr>
                <w:rFonts w:hint="eastAsia" w:cs="Times New Roman"/>
                <w:color w:val="auto"/>
                <w:sz w:val="24"/>
                <w:lang w:eastAsia="zh-CN"/>
              </w:rPr>
              <w:t>之前</w:t>
            </w:r>
            <w:r>
              <w:rPr>
                <w:rFonts w:hint="eastAsia" w:ascii="Times New Roman" w:hAnsi="Times New Roman" w:cs="Times New Roman"/>
                <w:color w:val="auto"/>
                <w:sz w:val="24"/>
                <w:lang w:eastAsia="zh-CN"/>
              </w:rPr>
              <w:t>，需要制定一个堆放、分类回收和贮存材料的计划。一般而言，主要是针对钢材、金属、砌块、混凝土、未加工木料，瓦楞板纸等可再生材料进行现场分类和收集。</w:t>
            </w:r>
          </w:p>
          <w:p w14:paraId="315CD54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color w:val="auto"/>
                <w:sz w:val="24"/>
                <w:lang w:eastAsia="zh-CN"/>
              </w:rPr>
            </w:pPr>
            <w:r>
              <w:rPr>
                <w:rFonts w:hint="eastAsia" w:ascii="Times New Roman" w:hAnsi="Times New Roman" w:cs="Times New Roman"/>
                <w:color w:val="auto"/>
                <w:sz w:val="24"/>
                <w:lang w:eastAsia="zh-CN"/>
              </w:rPr>
              <w:t>在运输各种建筑材料（如砂石、水泥、砖、木材等）过程中以及在工程完成后，会残留不少废建筑材料。在施工过程中，建设单位应要求施工单位规范运输，不能随意倾倒建筑垃圾，制造新的“垃圾堆场”，不然会对周围环境造成影响。</w:t>
            </w:r>
          </w:p>
          <w:p w14:paraId="40667BE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vertAlign w:val="baseline"/>
              </w:rPr>
            </w:pPr>
            <w:r>
              <w:rPr>
                <w:rFonts w:hint="eastAsia" w:ascii="Times New Roman" w:hAnsi="Times New Roman" w:cs="Times New Roman"/>
                <w:color w:val="auto"/>
                <w:sz w:val="24"/>
                <w:lang w:eastAsia="zh-CN"/>
              </w:rPr>
              <w:t>根据城市建筑垃圾管理规定，对工程建设（包括建设工程和装饰装修工程）中所产生的渣土、弃土、弃料、淤泥及其它固体废弃物等，由施工单位或承建单位和市容局渣土办联系外运。渣土运输过程中严格执行有关条例和规定，运土车辆应在规定的时间和规定的路线进出施工场地，沿途应注意保持道路的清洁，应尽量减少装土过满、车辆颠簸等造成的渣土倾撒。</w:t>
            </w:r>
          </w:p>
        </w:tc>
      </w:tr>
      <w:tr w14:paraId="1197D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553B8D0C">
            <w:pPr>
              <w:adjustRightInd w:val="0"/>
              <w:snapToGrid w:val="0"/>
              <w:jc w:val="center"/>
              <w:rPr>
                <w:rFonts w:hint="eastAsia" w:ascii="宋体" w:hAnsi="宋体" w:cs="宋体"/>
                <w:bCs/>
                <w:color w:val="auto"/>
                <w:sz w:val="24"/>
                <w:szCs w:val="24"/>
              </w:rPr>
            </w:pPr>
            <w:r>
              <w:rPr>
                <w:rFonts w:hint="eastAsia" w:ascii="宋体" w:hAnsi="宋体" w:cs="宋体"/>
                <w:bCs/>
                <w:color w:val="auto"/>
                <w:sz w:val="24"/>
                <w:szCs w:val="24"/>
              </w:rPr>
              <w:t>运营</w:t>
            </w:r>
          </w:p>
          <w:p w14:paraId="3E4ECBE0">
            <w:pPr>
              <w:adjustRightInd w:val="0"/>
              <w:snapToGrid w:val="0"/>
              <w:jc w:val="center"/>
              <w:rPr>
                <w:rFonts w:hint="eastAsia" w:ascii="宋体" w:hAnsi="宋体" w:cs="宋体"/>
                <w:bCs/>
                <w:color w:val="auto"/>
                <w:sz w:val="24"/>
                <w:szCs w:val="24"/>
              </w:rPr>
            </w:pPr>
            <w:r>
              <w:rPr>
                <w:rFonts w:hint="eastAsia" w:ascii="宋体" w:hAnsi="宋体" w:cs="宋体"/>
                <w:bCs/>
                <w:color w:val="auto"/>
                <w:sz w:val="24"/>
                <w:szCs w:val="24"/>
              </w:rPr>
              <w:t>期环</w:t>
            </w:r>
          </w:p>
          <w:p w14:paraId="395E97F1">
            <w:pPr>
              <w:adjustRightInd w:val="0"/>
              <w:snapToGrid w:val="0"/>
              <w:jc w:val="center"/>
              <w:rPr>
                <w:rFonts w:hint="eastAsia" w:ascii="宋体" w:hAnsi="宋体" w:cs="宋体"/>
                <w:bCs/>
                <w:color w:val="auto"/>
                <w:sz w:val="24"/>
                <w:szCs w:val="24"/>
              </w:rPr>
            </w:pPr>
            <w:r>
              <w:rPr>
                <w:rFonts w:hint="eastAsia" w:ascii="宋体" w:hAnsi="宋体" w:cs="宋体"/>
                <w:bCs/>
                <w:color w:val="auto"/>
                <w:sz w:val="24"/>
                <w:szCs w:val="24"/>
              </w:rPr>
              <w:t>境影</w:t>
            </w:r>
          </w:p>
          <w:p w14:paraId="6019359E">
            <w:pPr>
              <w:adjustRightInd w:val="0"/>
              <w:snapToGrid w:val="0"/>
              <w:jc w:val="center"/>
              <w:rPr>
                <w:rFonts w:hint="eastAsia" w:ascii="宋体" w:hAnsi="宋体" w:cs="宋体"/>
                <w:bCs/>
                <w:color w:val="auto"/>
                <w:sz w:val="24"/>
                <w:szCs w:val="24"/>
              </w:rPr>
            </w:pPr>
            <w:r>
              <w:rPr>
                <w:rFonts w:hint="eastAsia" w:ascii="宋体" w:hAnsi="宋体" w:cs="宋体"/>
                <w:bCs/>
                <w:color w:val="auto"/>
                <w:sz w:val="24"/>
                <w:szCs w:val="24"/>
              </w:rPr>
              <w:t>响和</w:t>
            </w:r>
          </w:p>
          <w:p w14:paraId="38F133DB">
            <w:pPr>
              <w:adjustRightInd w:val="0"/>
              <w:snapToGrid w:val="0"/>
              <w:jc w:val="center"/>
              <w:rPr>
                <w:rFonts w:hint="eastAsia" w:ascii="宋体" w:hAnsi="宋体" w:cs="宋体"/>
                <w:bCs/>
                <w:color w:val="auto"/>
                <w:sz w:val="24"/>
                <w:szCs w:val="24"/>
              </w:rPr>
            </w:pPr>
            <w:r>
              <w:rPr>
                <w:rFonts w:hint="eastAsia" w:ascii="宋体" w:hAnsi="宋体" w:cs="宋体"/>
                <w:bCs/>
                <w:color w:val="auto"/>
                <w:sz w:val="24"/>
                <w:szCs w:val="24"/>
              </w:rPr>
              <w:t>保护</w:t>
            </w:r>
          </w:p>
          <w:p w14:paraId="2094B425">
            <w:pPr>
              <w:jc w:val="center"/>
              <w:rPr>
                <w:rFonts w:hint="eastAsia" w:cs="宋体"/>
                <w:color w:val="auto"/>
                <w:kern w:val="2"/>
                <w:sz w:val="24"/>
                <w:szCs w:val="24"/>
              </w:rPr>
            </w:pPr>
            <w:r>
              <w:rPr>
                <w:rFonts w:hint="eastAsia" w:ascii="宋体" w:hAnsi="宋体" w:cs="宋体"/>
                <w:bCs/>
                <w:color w:val="auto"/>
                <w:sz w:val="24"/>
                <w:szCs w:val="24"/>
              </w:rPr>
              <w:t>措施</w:t>
            </w:r>
          </w:p>
        </w:tc>
        <w:tc>
          <w:tcPr>
            <w:tcW w:w="8514" w:type="dxa"/>
          </w:tcPr>
          <w:p w14:paraId="506EA9F7">
            <w:pPr>
              <w:keepNext w:val="0"/>
              <w:keepLines w:val="0"/>
              <w:pageBreakBefore w:val="0"/>
              <w:widowControl/>
              <w:kinsoku/>
              <w:wordWrap/>
              <w:overflowPunct/>
              <w:topLinePunct w:val="0"/>
              <w:autoSpaceDE/>
              <w:autoSpaceDN/>
              <w:bidi w:val="0"/>
              <w:adjustRightInd/>
              <w:snapToGrid/>
              <w:spacing w:line="360" w:lineRule="auto"/>
              <w:ind w:firstLine="482" w:firstLineChars="200"/>
              <w:jc w:val="left"/>
              <w:textAlignment w:val="auto"/>
              <w:rPr>
                <w:color w:val="auto"/>
              </w:rPr>
            </w:pPr>
            <w:r>
              <w:rPr>
                <w:b/>
                <w:bCs/>
                <w:color w:val="auto"/>
                <w:kern w:val="0"/>
                <w:sz w:val="24"/>
                <w:lang w:bidi="ar"/>
              </w:rPr>
              <w:t>1</w:t>
            </w:r>
            <w:r>
              <w:rPr>
                <w:rFonts w:hint="eastAsia" w:ascii="宋体" w:hAnsi="宋体" w:cs="宋体"/>
                <w:b/>
                <w:bCs/>
                <w:color w:val="auto"/>
                <w:kern w:val="0"/>
                <w:sz w:val="24"/>
                <w:lang w:bidi="ar"/>
              </w:rPr>
              <w:t xml:space="preserve">、运营期大气环境影响和保护措施 </w:t>
            </w:r>
          </w:p>
          <w:p w14:paraId="37CC4845">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jc w:val="both"/>
              <w:textAlignment w:val="auto"/>
              <w:rPr>
                <w:rFonts w:hint="default"/>
                <w:b w:val="0"/>
                <w:bCs w:val="0"/>
                <w:color w:val="auto"/>
                <w:sz w:val="24"/>
                <w:lang w:val="en-US" w:eastAsia="zh-CN"/>
              </w:rPr>
            </w:pPr>
            <w:r>
              <w:rPr>
                <w:rFonts w:hint="eastAsia"/>
                <w:b w:val="0"/>
                <w:bCs w:val="0"/>
                <w:color w:val="auto"/>
                <w:sz w:val="24"/>
                <w:lang w:val="en-US" w:eastAsia="zh-CN"/>
              </w:rPr>
              <w:t>（1）废气源强</w:t>
            </w:r>
          </w:p>
          <w:p w14:paraId="4F5217F7">
            <w:pPr>
              <w:spacing w:line="360" w:lineRule="auto"/>
              <w:ind w:firstLine="480"/>
              <w:jc w:val="both"/>
              <w:rPr>
                <w:rFonts w:hint="eastAsia" w:ascii="Times New Roman" w:hAnsi="宋体"/>
                <w:color w:val="auto"/>
                <w:sz w:val="24"/>
                <w:szCs w:val="24"/>
                <w:lang w:val="en-US" w:eastAsia="zh-CN"/>
              </w:rPr>
            </w:pPr>
            <w:r>
              <w:rPr>
                <w:rFonts w:hint="eastAsia"/>
                <w:sz w:val="24"/>
                <w:szCs w:val="24"/>
              </w:rPr>
              <w:t>本项目</w:t>
            </w:r>
            <w:r>
              <w:rPr>
                <w:rFonts w:hint="eastAsia" w:ascii="Times New Roman" w:hAnsi="Times New Roman" w:eastAsia="宋体" w:cs="Times New Roman"/>
                <w:sz w:val="24"/>
                <w:szCs w:val="24"/>
                <w:lang w:val="en-US" w:eastAsia="zh-CN"/>
              </w:rPr>
              <w:t>挤塑</w:t>
            </w:r>
            <w:r>
              <w:rPr>
                <w:rFonts w:hint="eastAsia" w:cs="Times New Roman"/>
                <w:sz w:val="24"/>
                <w:szCs w:val="24"/>
                <w:lang w:val="en-US" w:eastAsia="zh-CN"/>
              </w:rPr>
              <w:t>、注</w:t>
            </w:r>
            <w:r>
              <w:rPr>
                <w:rFonts w:hint="eastAsia" w:cs="Times New Roman"/>
                <w:color w:val="auto"/>
                <w:sz w:val="24"/>
                <w:szCs w:val="24"/>
                <w:lang w:val="en-US" w:eastAsia="zh-CN"/>
              </w:rPr>
              <w:t>塑以及热熔焊接</w:t>
            </w:r>
            <w:r>
              <w:rPr>
                <w:rFonts w:hint="eastAsia"/>
                <w:color w:val="auto"/>
                <w:sz w:val="24"/>
                <w:szCs w:val="24"/>
              </w:rPr>
              <w:t>工序</w:t>
            </w:r>
            <w:r>
              <w:rPr>
                <w:color w:val="auto"/>
                <w:sz w:val="24"/>
                <w:szCs w:val="24"/>
              </w:rPr>
              <w:t>中</w:t>
            </w:r>
            <w:r>
              <w:rPr>
                <w:rFonts w:hint="eastAsia"/>
                <w:color w:val="auto"/>
                <w:sz w:val="24"/>
                <w:szCs w:val="24"/>
                <w:lang w:eastAsia="zh-CN"/>
              </w:rPr>
              <w:t>会</w:t>
            </w:r>
            <w:r>
              <w:rPr>
                <w:color w:val="auto"/>
                <w:sz w:val="24"/>
                <w:szCs w:val="24"/>
              </w:rPr>
              <w:t>产生</w:t>
            </w:r>
            <w:r>
              <w:rPr>
                <w:rFonts w:hint="eastAsia"/>
                <w:color w:val="auto"/>
                <w:sz w:val="24"/>
                <w:szCs w:val="24"/>
                <w:lang w:eastAsia="zh-CN"/>
              </w:rPr>
              <w:t>有机废气</w:t>
            </w:r>
            <w:r>
              <w:rPr>
                <w:color w:val="auto"/>
                <w:sz w:val="24"/>
                <w:szCs w:val="24"/>
              </w:rPr>
              <w:t>，</w:t>
            </w:r>
            <w:r>
              <w:rPr>
                <w:rFonts w:hint="eastAsia"/>
                <w:color w:val="auto"/>
                <w:sz w:val="24"/>
                <w:szCs w:val="24"/>
              </w:rPr>
              <w:t>温度控制在</w:t>
            </w:r>
            <w:r>
              <w:rPr>
                <w:rFonts w:hint="eastAsia" w:cs="Times New Roman"/>
                <w:color w:val="auto"/>
                <w:sz w:val="24"/>
                <w:lang w:val="en-US" w:eastAsia="zh-CN"/>
              </w:rPr>
              <w:t>230</w:t>
            </w:r>
            <w:r>
              <w:rPr>
                <w:color w:val="auto"/>
                <w:sz w:val="24"/>
                <w:szCs w:val="24"/>
              </w:rPr>
              <w:t>℃</w:t>
            </w:r>
            <w:r>
              <w:rPr>
                <w:rFonts w:hint="eastAsia"/>
                <w:color w:val="auto"/>
                <w:sz w:val="24"/>
                <w:szCs w:val="24"/>
              </w:rPr>
              <w:t>左右，</w:t>
            </w:r>
            <w:r>
              <w:rPr>
                <w:rFonts w:hint="eastAsia"/>
                <w:color w:val="auto"/>
                <w:sz w:val="24"/>
                <w:szCs w:val="24"/>
                <w:lang w:val="zh-CN"/>
              </w:rPr>
              <w:t>本项目所使用的</w:t>
            </w:r>
            <w:r>
              <w:rPr>
                <w:rFonts w:hint="eastAsia"/>
                <w:color w:val="auto"/>
                <w:sz w:val="24"/>
                <w:szCs w:val="24"/>
                <w:lang w:val="en-US" w:eastAsia="zh-CN"/>
              </w:rPr>
              <w:t>PP</w:t>
            </w:r>
            <w:r>
              <w:rPr>
                <w:rFonts w:hint="eastAsia"/>
                <w:color w:val="auto"/>
                <w:sz w:val="24"/>
                <w:szCs w:val="24"/>
                <w:lang w:val="zh-CN"/>
              </w:rPr>
              <w:t>塑料</w:t>
            </w:r>
            <w:r>
              <w:rPr>
                <w:rFonts w:hint="eastAsia"/>
                <w:color w:val="auto"/>
                <w:sz w:val="24"/>
                <w:szCs w:val="24"/>
              </w:rPr>
              <w:t>在此温度下熔化、粘合，并使之具有塑性，低于原料的热分解温度，因此</w:t>
            </w:r>
            <w:r>
              <w:rPr>
                <w:rFonts w:hint="eastAsia"/>
                <w:color w:val="auto"/>
                <w:sz w:val="24"/>
                <w:szCs w:val="24"/>
                <w:lang w:val="en-US" w:eastAsia="zh-CN"/>
              </w:rPr>
              <w:t>基本</w:t>
            </w:r>
            <w:r>
              <w:rPr>
                <w:rFonts w:hint="eastAsia"/>
                <w:color w:val="auto"/>
                <w:sz w:val="24"/>
                <w:szCs w:val="24"/>
              </w:rPr>
              <w:t>不会发生分解，</w:t>
            </w:r>
            <w:r>
              <w:rPr>
                <w:rFonts w:hint="eastAsia"/>
                <w:color w:val="auto"/>
                <w:sz w:val="24"/>
                <w:szCs w:val="24"/>
                <w:lang w:val="en-US" w:eastAsia="zh-CN"/>
              </w:rPr>
              <w:t>会有</w:t>
            </w:r>
            <w:r>
              <w:rPr>
                <w:rFonts w:hint="eastAsia"/>
                <w:color w:val="auto"/>
                <w:sz w:val="24"/>
                <w:szCs w:val="24"/>
              </w:rPr>
              <w:t>少量</w:t>
            </w:r>
            <w:r>
              <w:rPr>
                <w:rFonts w:hint="eastAsia"/>
                <w:color w:val="auto"/>
                <w:sz w:val="24"/>
                <w:szCs w:val="24"/>
                <w:lang w:val="en-US" w:eastAsia="zh-CN"/>
              </w:rPr>
              <w:t>非甲烷总烃</w:t>
            </w:r>
            <w:r>
              <w:rPr>
                <w:rFonts w:hint="eastAsia"/>
                <w:color w:val="auto"/>
                <w:sz w:val="24"/>
                <w:szCs w:val="24"/>
              </w:rPr>
              <w:t>产生</w:t>
            </w:r>
            <w:r>
              <w:rPr>
                <w:color w:val="auto"/>
                <w:sz w:val="24"/>
                <w:szCs w:val="24"/>
              </w:rPr>
              <w:t>。</w:t>
            </w:r>
          </w:p>
          <w:p w14:paraId="6E6BAEA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auto"/>
                <w:sz w:val="24"/>
                <w:szCs w:val="24"/>
                <w:lang w:val="en-US" w:eastAsia="zh-CN"/>
              </w:rPr>
            </w:pPr>
            <w:r>
              <w:rPr>
                <w:rFonts w:hint="eastAsia" w:ascii="Times New Roman" w:hAnsi="Times New Roman" w:eastAsia="宋体" w:cs="Times New Roman"/>
                <w:sz w:val="24"/>
                <w:szCs w:val="24"/>
                <w:lang w:val="en-US" w:eastAsia="zh-CN"/>
              </w:rPr>
              <w:t>挤塑</w:t>
            </w:r>
            <w:r>
              <w:rPr>
                <w:rFonts w:hint="eastAsia" w:cs="Times New Roman"/>
                <w:sz w:val="24"/>
                <w:szCs w:val="24"/>
                <w:lang w:val="en-US" w:eastAsia="zh-CN"/>
              </w:rPr>
              <w:t>、注</w:t>
            </w:r>
            <w:r>
              <w:rPr>
                <w:rFonts w:hint="eastAsia" w:cs="Times New Roman"/>
                <w:color w:val="auto"/>
                <w:sz w:val="24"/>
                <w:szCs w:val="24"/>
                <w:lang w:val="en-US" w:eastAsia="zh-CN"/>
              </w:rPr>
              <w:t>塑</w:t>
            </w:r>
            <w:r>
              <w:rPr>
                <w:rFonts w:hint="eastAsia"/>
                <w:color w:val="auto"/>
                <w:sz w:val="24"/>
                <w:szCs w:val="24"/>
                <w:lang w:val="en-US" w:eastAsia="zh-CN"/>
              </w:rPr>
              <w:t>过程产生的非甲烷总烃，产污系数参照《排放源统计调查产排污核算方法和系数手册》（</w:t>
            </w:r>
            <w:r>
              <w:rPr>
                <w:rFonts w:hint="default"/>
                <w:color w:val="auto"/>
                <w:sz w:val="24"/>
                <w:szCs w:val="24"/>
                <w:lang w:val="en-US" w:eastAsia="zh-CN"/>
              </w:rPr>
              <w:t>2021</w:t>
            </w:r>
            <w:r>
              <w:rPr>
                <w:rFonts w:hint="eastAsia"/>
                <w:color w:val="auto"/>
                <w:sz w:val="24"/>
                <w:szCs w:val="24"/>
                <w:lang w:val="en-US" w:eastAsia="zh-CN"/>
              </w:rPr>
              <w:t>年本）</w:t>
            </w:r>
            <w:r>
              <w:rPr>
                <w:rFonts w:hint="default"/>
                <w:color w:val="auto"/>
                <w:sz w:val="24"/>
                <w:szCs w:val="24"/>
                <w:lang w:val="en-US" w:eastAsia="zh-CN"/>
              </w:rPr>
              <w:t>292</w:t>
            </w:r>
            <w:r>
              <w:rPr>
                <w:rFonts w:hint="eastAsia"/>
                <w:color w:val="auto"/>
                <w:sz w:val="24"/>
                <w:szCs w:val="24"/>
                <w:lang w:val="en-US" w:eastAsia="zh-CN"/>
              </w:rPr>
              <w:t>塑料制品行业系数手册中</w:t>
            </w:r>
            <w:r>
              <w:rPr>
                <w:rFonts w:hint="default"/>
                <w:color w:val="auto"/>
                <w:sz w:val="24"/>
                <w:szCs w:val="24"/>
                <w:lang w:val="en-US" w:eastAsia="zh-CN"/>
              </w:rPr>
              <w:t>2922</w:t>
            </w:r>
            <w:r>
              <w:rPr>
                <w:rFonts w:hint="eastAsia"/>
                <w:color w:val="auto"/>
                <w:sz w:val="24"/>
                <w:szCs w:val="24"/>
                <w:lang w:val="en-US" w:eastAsia="zh-CN"/>
              </w:rPr>
              <w:t>塑料板、管、型材制造行业系数表（以加热熔融形式进行塑料板、管、型材生产的工段），挥发性有机污染物产污系数</w:t>
            </w:r>
            <w:r>
              <w:rPr>
                <w:rFonts w:hint="default"/>
                <w:color w:val="auto"/>
                <w:sz w:val="24"/>
                <w:szCs w:val="24"/>
                <w:lang w:val="en-US" w:eastAsia="zh-CN"/>
              </w:rPr>
              <w:t>1.50</w:t>
            </w:r>
            <w:r>
              <w:rPr>
                <w:rFonts w:hint="eastAsia"/>
                <w:color w:val="auto"/>
                <w:sz w:val="24"/>
                <w:szCs w:val="24"/>
                <w:lang w:val="en-US" w:eastAsia="zh-CN"/>
              </w:rPr>
              <w:t>千克</w:t>
            </w:r>
            <w:r>
              <w:rPr>
                <w:rFonts w:hint="default"/>
                <w:color w:val="auto"/>
                <w:sz w:val="24"/>
                <w:szCs w:val="24"/>
                <w:lang w:val="en-US" w:eastAsia="zh-CN"/>
              </w:rPr>
              <w:t>/</w:t>
            </w:r>
            <w:r>
              <w:rPr>
                <w:rFonts w:hint="eastAsia"/>
                <w:color w:val="auto"/>
                <w:sz w:val="24"/>
                <w:szCs w:val="24"/>
                <w:lang w:val="en-US" w:eastAsia="zh-CN"/>
              </w:rPr>
              <w:t>吨</w:t>
            </w:r>
            <w:r>
              <w:rPr>
                <w:rFonts w:hint="default"/>
                <w:color w:val="auto"/>
                <w:sz w:val="24"/>
                <w:szCs w:val="24"/>
                <w:lang w:val="en-US" w:eastAsia="zh-CN"/>
              </w:rPr>
              <w:t>-</w:t>
            </w:r>
            <w:r>
              <w:rPr>
                <w:rFonts w:hint="eastAsia"/>
                <w:color w:val="auto"/>
                <w:sz w:val="24"/>
                <w:szCs w:val="24"/>
                <w:lang w:val="en-US" w:eastAsia="zh-CN"/>
              </w:rPr>
              <w:t>产品。本项目产品的总量约为6000</w:t>
            </w:r>
            <w:r>
              <w:rPr>
                <w:rFonts w:hint="default"/>
                <w:color w:val="auto"/>
                <w:sz w:val="24"/>
                <w:szCs w:val="24"/>
                <w:lang w:val="en-US" w:eastAsia="zh-CN"/>
              </w:rPr>
              <w:t>t/a</w:t>
            </w:r>
            <w:r>
              <w:rPr>
                <w:rFonts w:hint="eastAsia"/>
                <w:color w:val="auto"/>
                <w:sz w:val="24"/>
                <w:szCs w:val="24"/>
                <w:lang w:val="en-US" w:eastAsia="zh-CN"/>
              </w:rPr>
              <w:t>，则非甲烷总烃气产生量为9</w:t>
            </w:r>
            <w:r>
              <w:rPr>
                <w:rFonts w:hint="default"/>
                <w:color w:val="auto"/>
                <w:sz w:val="24"/>
                <w:szCs w:val="24"/>
                <w:lang w:val="en-US" w:eastAsia="zh-CN"/>
              </w:rPr>
              <w:t>t/a</w:t>
            </w:r>
            <w:r>
              <w:rPr>
                <w:rFonts w:hint="eastAsia"/>
                <w:color w:val="auto"/>
                <w:sz w:val="24"/>
                <w:szCs w:val="24"/>
                <w:lang w:val="en-US" w:eastAsia="zh-CN"/>
              </w:rPr>
              <w:t>。</w:t>
            </w:r>
          </w:p>
          <w:p w14:paraId="2142108B">
            <w:pPr>
              <w:spacing w:line="360" w:lineRule="auto"/>
              <w:ind w:left="0" w:leftChars="0" w:firstLine="480" w:firstLineChars="200"/>
              <w:jc w:val="left"/>
              <w:rPr>
                <w:rFonts w:hint="eastAsia"/>
                <w:color w:val="auto"/>
                <w:sz w:val="24"/>
                <w:szCs w:val="24"/>
                <w:lang w:val="en-US" w:eastAsia="zh-CN"/>
              </w:rPr>
            </w:pPr>
            <w:r>
              <w:rPr>
                <w:rFonts w:hint="eastAsia"/>
                <w:color w:val="auto"/>
                <w:sz w:val="24"/>
                <w:szCs w:val="24"/>
                <w:lang w:val="en-US" w:eastAsia="zh-CN"/>
              </w:rPr>
              <w:t>环保设备在</w:t>
            </w:r>
            <w:r>
              <w:rPr>
                <w:rFonts w:hint="eastAsia" w:cs="Times New Roman"/>
                <w:sz w:val="24"/>
                <w:szCs w:val="24"/>
                <w:lang w:val="en-US" w:eastAsia="zh-CN"/>
              </w:rPr>
              <w:t>热熔焊接过程中</w:t>
            </w:r>
            <w:r>
              <w:rPr>
                <w:rFonts w:hint="eastAsia"/>
                <w:color w:val="auto"/>
                <w:sz w:val="24"/>
                <w:szCs w:val="24"/>
                <w:lang w:val="en-US" w:eastAsia="zh-CN"/>
              </w:rPr>
              <w:t>产生的非甲烷总烃，产污系数参照《排放源统计调查产排污核算方法和系数手册》（</w:t>
            </w:r>
            <w:r>
              <w:rPr>
                <w:rFonts w:hint="default"/>
                <w:color w:val="auto"/>
                <w:sz w:val="24"/>
                <w:szCs w:val="24"/>
                <w:lang w:val="en-US" w:eastAsia="zh-CN"/>
              </w:rPr>
              <w:t>2021</w:t>
            </w:r>
            <w:r>
              <w:rPr>
                <w:rFonts w:hint="eastAsia"/>
                <w:color w:val="auto"/>
                <w:sz w:val="24"/>
                <w:szCs w:val="24"/>
                <w:lang w:val="en-US" w:eastAsia="zh-CN"/>
              </w:rPr>
              <w:t>年本）</w:t>
            </w:r>
            <w:r>
              <w:rPr>
                <w:rFonts w:hint="default"/>
                <w:color w:val="auto"/>
                <w:sz w:val="24"/>
                <w:szCs w:val="24"/>
                <w:lang w:val="en-US" w:eastAsia="zh-CN"/>
              </w:rPr>
              <w:t>292</w:t>
            </w:r>
            <w:r>
              <w:rPr>
                <w:rFonts w:hint="eastAsia"/>
                <w:color w:val="auto"/>
                <w:sz w:val="24"/>
                <w:szCs w:val="24"/>
                <w:lang w:val="en-US" w:eastAsia="zh-CN"/>
              </w:rPr>
              <w:t>塑料制品行业系数手册中</w:t>
            </w:r>
            <w:r>
              <w:rPr>
                <w:rFonts w:hint="default"/>
                <w:color w:val="auto"/>
                <w:sz w:val="24"/>
                <w:szCs w:val="24"/>
                <w:lang w:val="en-US" w:eastAsia="zh-CN"/>
              </w:rPr>
              <w:t>2922</w:t>
            </w:r>
            <w:r>
              <w:rPr>
                <w:rFonts w:hint="eastAsia"/>
                <w:color w:val="auto"/>
                <w:sz w:val="24"/>
                <w:szCs w:val="24"/>
                <w:lang w:val="en-US" w:eastAsia="zh-CN"/>
              </w:rPr>
              <w:t>塑料板、管、型材制造行业系数表（以加热熔融形式进行塑料板、管、型材生产的工段），挥发性有机污染物产污系数</w:t>
            </w:r>
            <w:r>
              <w:rPr>
                <w:rFonts w:hint="default"/>
                <w:color w:val="auto"/>
                <w:sz w:val="24"/>
                <w:szCs w:val="24"/>
                <w:lang w:val="en-US" w:eastAsia="zh-CN"/>
              </w:rPr>
              <w:t>1.50</w:t>
            </w:r>
            <w:r>
              <w:rPr>
                <w:rFonts w:hint="eastAsia"/>
                <w:color w:val="auto"/>
                <w:sz w:val="24"/>
                <w:szCs w:val="24"/>
                <w:lang w:val="en-US" w:eastAsia="zh-CN"/>
              </w:rPr>
              <w:t>千克</w:t>
            </w:r>
            <w:r>
              <w:rPr>
                <w:rFonts w:hint="default"/>
                <w:color w:val="auto"/>
                <w:sz w:val="24"/>
                <w:szCs w:val="24"/>
                <w:lang w:val="en-US" w:eastAsia="zh-CN"/>
              </w:rPr>
              <w:t>/</w:t>
            </w:r>
            <w:r>
              <w:rPr>
                <w:rFonts w:hint="eastAsia"/>
                <w:color w:val="auto"/>
                <w:sz w:val="24"/>
                <w:szCs w:val="24"/>
                <w:lang w:val="en-US" w:eastAsia="zh-CN"/>
              </w:rPr>
              <w:t>吨</w:t>
            </w:r>
            <w:r>
              <w:rPr>
                <w:rFonts w:hint="default"/>
                <w:color w:val="auto"/>
                <w:sz w:val="24"/>
                <w:szCs w:val="24"/>
                <w:lang w:val="en-US" w:eastAsia="zh-CN"/>
              </w:rPr>
              <w:t>-</w:t>
            </w:r>
            <w:r>
              <w:rPr>
                <w:rFonts w:hint="eastAsia"/>
                <w:color w:val="auto"/>
                <w:sz w:val="24"/>
                <w:szCs w:val="24"/>
                <w:lang w:val="en-US" w:eastAsia="zh-CN"/>
              </w:rPr>
              <w:t>产品。本项目环保设备热熔焊接为点对点的焊接，焊接的部位较少，约占环保设备总产量的1%，本项目环保设备产品的总量约为6000</w:t>
            </w:r>
            <w:r>
              <w:rPr>
                <w:rFonts w:hint="default"/>
                <w:color w:val="auto"/>
                <w:sz w:val="24"/>
                <w:szCs w:val="24"/>
                <w:lang w:val="en-US" w:eastAsia="zh-CN"/>
              </w:rPr>
              <w:t>t/a</w:t>
            </w:r>
            <w:r>
              <w:rPr>
                <w:rFonts w:hint="eastAsia"/>
                <w:color w:val="auto"/>
                <w:sz w:val="24"/>
                <w:szCs w:val="24"/>
                <w:lang w:val="en-US" w:eastAsia="zh-CN"/>
              </w:rPr>
              <w:t>，则需要热熔焊接产品量为60</w:t>
            </w:r>
            <w:r>
              <w:rPr>
                <w:rFonts w:hint="default"/>
                <w:color w:val="auto"/>
                <w:sz w:val="24"/>
                <w:szCs w:val="24"/>
                <w:lang w:val="en-US" w:eastAsia="zh-CN"/>
              </w:rPr>
              <w:t>t/a</w:t>
            </w:r>
            <w:r>
              <w:rPr>
                <w:rFonts w:hint="eastAsia"/>
                <w:color w:val="auto"/>
                <w:sz w:val="24"/>
                <w:szCs w:val="24"/>
                <w:lang w:val="en-US" w:eastAsia="zh-CN"/>
              </w:rPr>
              <w:t>，则非甲烷总烃气产生量为0.09</w:t>
            </w:r>
            <w:r>
              <w:rPr>
                <w:rFonts w:hint="default"/>
                <w:color w:val="auto"/>
                <w:sz w:val="24"/>
                <w:szCs w:val="24"/>
                <w:lang w:val="en-US" w:eastAsia="zh-CN"/>
              </w:rPr>
              <w:t>t/a</w:t>
            </w:r>
            <w:r>
              <w:rPr>
                <w:rFonts w:hint="eastAsia"/>
                <w:color w:val="auto"/>
                <w:sz w:val="24"/>
                <w:szCs w:val="24"/>
                <w:lang w:val="en-US" w:eastAsia="zh-CN"/>
              </w:rPr>
              <w:t>。</w:t>
            </w:r>
          </w:p>
          <w:p w14:paraId="1DA1EB92">
            <w:pPr>
              <w:spacing w:line="360" w:lineRule="auto"/>
              <w:ind w:left="0" w:leftChars="0" w:firstLine="480" w:firstLineChars="200"/>
              <w:jc w:val="left"/>
              <w:rPr>
                <w:rFonts w:hint="default"/>
                <w:b/>
                <w:caps/>
                <w:color w:val="auto"/>
                <w:sz w:val="24"/>
                <w:lang w:val="zh-CN"/>
              </w:rPr>
            </w:pPr>
            <w:r>
              <w:rPr>
                <w:rFonts w:hint="eastAsia" w:ascii="Times New Roman" w:hAnsi="Times New Roman" w:eastAsia="宋体" w:cs="Times New Roman"/>
                <w:color w:val="auto"/>
                <w:sz w:val="24"/>
                <w:szCs w:val="24"/>
                <w:highlight w:val="none"/>
                <w:lang w:val="en-US" w:eastAsia="zh-CN"/>
              </w:rPr>
              <w:t>项目有机废气的总产生量为9.09</w:t>
            </w:r>
            <w:r>
              <w:rPr>
                <w:rFonts w:hint="default"/>
                <w:color w:val="auto"/>
                <w:sz w:val="24"/>
                <w:szCs w:val="24"/>
                <w:lang w:val="en-US" w:eastAsia="zh-CN"/>
              </w:rPr>
              <w:t>t/a</w:t>
            </w:r>
            <w:r>
              <w:rPr>
                <w:rFonts w:hint="eastAsia"/>
                <w:color w:val="auto"/>
                <w:sz w:val="24"/>
                <w:szCs w:val="24"/>
                <w:lang w:val="en-US" w:eastAsia="zh-CN"/>
              </w:rPr>
              <w:t>。</w:t>
            </w:r>
            <w:r>
              <w:rPr>
                <w:rFonts w:hint="eastAsia" w:ascii="Times New Roman" w:hAnsi="Times New Roman" w:eastAsia="宋体" w:cs="Times New Roman"/>
                <w:color w:val="auto"/>
                <w:sz w:val="24"/>
                <w:szCs w:val="24"/>
                <w:highlight w:val="none"/>
                <w:lang w:val="en-US" w:eastAsia="zh-CN"/>
              </w:rPr>
              <w:t>生产车间密闭设置，</w:t>
            </w:r>
            <w:r>
              <w:rPr>
                <w:rFonts w:hint="eastAsia" w:cs="Times New Roman"/>
                <w:color w:val="auto"/>
                <w:sz w:val="24"/>
                <w:szCs w:val="24"/>
                <w:highlight w:val="none"/>
                <w:lang w:val="en-US" w:eastAsia="zh-CN"/>
              </w:rPr>
              <w:t>有机</w:t>
            </w:r>
            <w:r>
              <w:rPr>
                <w:rFonts w:hint="eastAsia" w:ascii="Times New Roman" w:hAnsi="Times New Roman" w:eastAsia="宋体" w:cs="Times New Roman"/>
                <w:color w:val="auto"/>
                <w:sz w:val="24"/>
                <w:szCs w:val="24"/>
                <w:highlight w:val="none"/>
                <w:lang w:val="en-US" w:eastAsia="zh-CN"/>
              </w:rPr>
              <w:t>废气通过集气罩+一套二级活性炭吸附装置处理后，由15米排气筒（DA001）排放。废气收集效率按89%计算，二级活性炭有机废气处理效率按95%计，年工作300天，每天</w:t>
            </w:r>
            <w:r>
              <w:rPr>
                <w:rFonts w:hint="eastAsia" w:cs="Times New Roman"/>
                <w:color w:val="auto"/>
                <w:sz w:val="24"/>
                <w:szCs w:val="24"/>
                <w:highlight w:val="none"/>
                <w:lang w:val="en-US" w:eastAsia="zh-CN"/>
              </w:rPr>
              <w:t>10</w:t>
            </w:r>
            <w:r>
              <w:rPr>
                <w:rFonts w:hint="eastAsia" w:ascii="Times New Roman" w:hAnsi="Times New Roman" w:eastAsia="宋体" w:cs="Times New Roman"/>
                <w:color w:val="auto"/>
                <w:sz w:val="24"/>
                <w:szCs w:val="24"/>
                <w:highlight w:val="none"/>
                <w:lang w:val="en-US" w:eastAsia="zh-CN"/>
              </w:rPr>
              <w:t>小时，则本项目</w:t>
            </w:r>
            <w:r>
              <w:rPr>
                <w:rFonts w:hint="eastAsia" w:cs="Times New Roman"/>
                <w:color w:val="auto"/>
                <w:sz w:val="24"/>
                <w:szCs w:val="24"/>
                <w:highlight w:val="none"/>
                <w:lang w:val="en-US" w:eastAsia="zh-CN"/>
              </w:rPr>
              <w:t>有机</w:t>
            </w:r>
            <w:r>
              <w:rPr>
                <w:rFonts w:hint="eastAsia" w:ascii="Times New Roman" w:hAnsi="Times New Roman" w:eastAsia="宋体" w:cs="Times New Roman"/>
                <w:color w:val="auto"/>
                <w:sz w:val="24"/>
                <w:szCs w:val="24"/>
                <w:highlight w:val="none"/>
                <w:lang w:val="en-US" w:eastAsia="zh-CN"/>
              </w:rPr>
              <w:t>废气污染物产生及收集情况详见下表所示。</w:t>
            </w:r>
          </w:p>
          <w:p w14:paraId="382F73A5">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b/>
                <w:caps/>
                <w:color w:val="auto"/>
                <w:sz w:val="24"/>
                <w:szCs w:val="24"/>
                <w:lang w:val="zh-CN" w:eastAsia="zh-CN"/>
              </w:rPr>
            </w:pPr>
            <w:r>
              <w:rPr>
                <w:rFonts w:hint="default"/>
                <w:b/>
                <w:caps/>
                <w:color w:val="auto"/>
                <w:sz w:val="24"/>
                <w:szCs w:val="24"/>
                <w:lang w:val="zh-CN"/>
              </w:rPr>
              <w:t>表</w:t>
            </w:r>
            <w:r>
              <w:rPr>
                <w:rFonts w:hint="eastAsia"/>
                <w:b/>
                <w:caps/>
                <w:color w:val="auto"/>
                <w:sz w:val="24"/>
                <w:szCs w:val="24"/>
                <w:lang w:val="en-US" w:eastAsia="zh-CN"/>
              </w:rPr>
              <w:t>4</w:t>
            </w:r>
            <w:r>
              <w:rPr>
                <w:rFonts w:hint="default" w:ascii="Times New Roman" w:hAnsi="Times New Roman" w:eastAsia="宋体" w:cs="Times New Roman"/>
                <w:color w:val="auto"/>
                <w:kern w:val="0"/>
                <w:sz w:val="24"/>
                <w:szCs w:val="24"/>
              </w:rPr>
              <w:t>-</w:t>
            </w:r>
            <w:r>
              <w:rPr>
                <w:rFonts w:hint="eastAsia"/>
                <w:b/>
                <w:caps/>
                <w:color w:val="auto"/>
                <w:sz w:val="24"/>
                <w:szCs w:val="24"/>
                <w:lang w:val="en-US" w:eastAsia="zh-CN"/>
              </w:rPr>
              <w:t>4  有机废气</w:t>
            </w:r>
            <w:r>
              <w:rPr>
                <w:rFonts w:hint="default"/>
                <w:b/>
                <w:caps/>
                <w:color w:val="auto"/>
                <w:sz w:val="24"/>
                <w:szCs w:val="24"/>
                <w:lang w:val="zh-CN" w:eastAsia="zh-CN"/>
              </w:rPr>
              <w:t>污染物产生及收集情况一览表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1360"/>
              <w:gridCol w:w="982"/>
              <w:gridCol w:w="959"/>
              <w:gridCol w:w="947"/>
              <w:gridCol w:w="1091"/>
              <w:gridCol w:w="1071"/>
              <w:gridCol w:w="1032"/>
            </w:tblGrid>
            <w:tr w14:paraId="2E4C5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510" w:type="pct"/>
                  <w:vMerge w:val="restart"/>
                  <w:noWrap w:val="0"/>
                  <w:vAlign w:val="center"/>
                </w:tcPr>
                <w:p w14:paraId="354120D2">
                  <w:pPr>
                    <w:spacing w:line="240" w:lineRule="auto"/>
                    <w:ind w:firstLine="0" w:firstLineChars="0"/>
                    <w:jc w:val="center"/>
                    <w:rPr>
                      <w:rFonts w:hint="default" w:ascii="Times New Roman" w:hAnsi="Times New Roman" w:eastAsia="宋体" w:cs="Times New Roman"/>
                      <w:b w:val="0"/>
                      <w:bCs w:val="0"/>
                      <w:color w:val="auto"/>
                      <w:sz w:val="21"/>
                      <w:szCs w:val="21"/>
                      <w:lang w:val="zh-CN" w:eastAsia="zh-CN"/>
                    </w:rPr>
                  </w:pPr>
                  <w:r>
                    <w:rPr>
                      <w:rFonts w:hint="default" w:ascii="Times New Roman" w:hAnsi="Times New Roman" w:eastAsia="宋体" w:cs="Times New Roman"/>
                      <w:b w:val="0"/>
                      <w:bCs w:val="0"/>
                      <w:color w:val="auto"/>
                      <w:sz w:val="21"/>
                      <w:szCs w:val="21"/>
                      <w:lang w:val="zh-CN" w:eastAsia="zh-CN"/>
                    </w:rPr>
                    <w:t>污染源</w:t>
                  </w:r>
                </w:p>
              </w:tc>
              <w:tc>
                <w:tcPr>
                  <w:tcW w:w="820" w:type="pct"/>
                  <w:vMerge w:val="restart"/>
                  <w:noWrap w:val="0"/>
                  <w:vAlign w:val="center"/>
                </w:tcPr>
                <w:p w14:paraId="4A179957">
                  <w:pPr>
                    <w:spacing w:line="240" w:lineRule="auto"/>
                    <w:ind w:firstLine="0" w:firstLineChars="0"/>
                    <w:jc w:val="center"/>
                    <w:rPr>
                      <w:rFonts w:hint="default" w:ascii="Times New Roman" w:hAnsi="Times New Roman" w:eastAsia="宋体" w:cs="Times New Roman"/>
                      <w:b w:val="0"/>
                      <w:bCs w:val="0"/>
                      <w:color w:val="auto"/>
                      <w:sz w:val="21"/>
                      <w:szCs w:val="21"/>
                      <w:lang w:val="zh-CN" w:eastAsia="zh-CN"/>
                    </w:rPr>
                  </w:pPr>
                  <w:r>
                    <w:rPr>
                      <w:rFonts w:hint="default" w:ascii="Times New Roman" w:hAnsi="Times New Roman" w:eastAsia="宋体" w:cs="Times New Roman"/>
                      <w:b w:val="0"/>
                      <w:bCs w:val="0"/>
                      <w:color w:val="auto"/>
                      <w:sz w:val="21"/>
                      <w:szCs w:val="21"/>
                      <w:lang w:val="zh-CN" w:eastAsia="zh-CN"/>
                    </w:rPr>
                    <w:t>污染物</w:t>
                  </w:r>
                </w:p>
              </w:tc>
              <w:tc>
                <w:tcPr>
                  <w:tcW w:w="1170" w:type="pct"/>
                  <w:gridSpan w:val="2"/>
                  <w:noWrap w:val="0"/>
                  <w:vAlign w:val="center"/>
                </w:tcPr>
                <w:p w14:paraId="1DB61E35">
                  <w:pPr>
                    <w:spacing w:line="240" w:lineRule="auto"/>
                    <w:ind w:firstLine="0" w:firstLineChars="0"/>
                    <w:jc w:val="center"/>
                    <w:rPr>
                      <w:rFonts w:hint="default" w:ascii="Times New Roman" w:hAnsi="Times New Roman" w:eastAsia="宋体" w:cs="Times New Roman"/>
                      <w:b w:val="0"/>
                      <w:bCs w:val="0"/>
                      <w:color w:val="auto"/>
                      <w:sz w:val="21"/>
                      <w:szCs w:val="21"/>
                      <w:lang w:val="zh-CN"/>
                    </w:rPr>
                  </w:pPr>
                  <w:r>
                    <w:rPr>
                      <w:rFonts w:hint="eastAsia" w:ascii="Times New Roman" w:hAnsi="Times New Roman" w:eastAsia="宋体" w:cs="Times New Roman"/>
                      <w:b w:val="0"/>
                      <w:bCs w:val="0"/>
                      <w:color w:val="auto"/>
                      <w:sz w:val="21"/>
                      <w:szCs w:val="21"/>
                      <w:lang w:val="en-US" w:eastAsia="zh-CN"/>
                    </w:rPr>
                    <w:t>总</w:t>
                  </w:r>
                  <w:r>
                    <w:rPr>
                      <w:rFonts w:hint="default" w:ascii="Times New Roman" w:hAnsi="Times New Roman" w:eastAsia="宋体" w:cs="Times New Roman"/>
                      <w:b w:val="0"/>
                      <w:bCs w:val="0"/>
                      <w:color w:val="auto"/>
                      <w:sz w:val="21"/>
                      <w:szCs w:val="21"/>
                      <w:lang w:val="zh-CN"/>
                    </w:rPr>
                    <w:t>产生情况</w:t>
                  </w:r>
                </w:p>
              </w:tc>
              <w:tc>
                <w:tcPr>
                  <w:tcW w:w="1229" w:type="pct"/>
                  <w:gridSpan w:val="2"/>
                  <w:noWrap w:val="0"/>
                  <w:vAlign w:val="center"/>
                </w:tcPr>
                <w:p w14:paraId="7B01E3C2">
                  <w:pPr>
                    <w:spacing w:line="240" w:lineRule="auto"/>
                    <w:ind w:firstLine="0" w:firstLineChars="0"/>
                    <w:jc w:val="center"/>
                    <w:rPr>
                      <w:rFonts w:hint="default" w:ascii="Times New Roman" w:hAnsi="Times New Roman" w:eastAsia="宋体" w:cs="Times New Roman"/>
                      <w:b w:val="0"/>
                      <w:bCs w:val="0"/>
                      <w:color w:val="auto"/>
                      <w:sz w:val="21"/>
                      <w:szCs w:val="21"/>
                      <w:lang w:val="zh-CN"/>
                    </w:rPr>
                  </w:pPr>
                  <w:r>
                    <w:rPr>
                      <w:rFonts w:hint="default" w:ascii="Times New Roman" w:hAnsi="Times New Roman" w:eastAsia="宋体" w:cs="Times New Roman"/>
                      <w:b w:val="0"/>
                      <w:bCs w:val="0"/>
                      <w:color w:val="auto"/>
                      <w:sz w:val="21"/>
                      <w:szCs w:val="21"/>
                      <w:lang w:val="zh-CN"/>
                    </w:rPr>
                    <w:t>有组织</w:t>
                  </w:r>
                  <w:r>
                    <w:rPr>
                      <w:rFonts w:hint="eastAsia" w:ascii="Times New Roman" w:hAnsi="Times New Roman" w:eastAsia="宋体" w:cs="Times New Roman"/>
                      <w:b w:val="0"/>
                      <w:bCs w:val="0"/>
                      <w:color w:val="auto"/>
                      <w:sz w:val="21"/>
                      <w:szCs w:val="21"/>
                      <w:lang w:val="en-US" w:eastAsia="zh-CN"/>
                    </w:rPr>
                    <w:t>产生</w:t>
                  </w:r>
                  <w:r>
                    <w:rPr>
                      <w:rFonts w:hint="default" w:ascii="Times New Roman" w:hAnsi="Times New Roman" w:eastAsia="宋体" w:cs="Times New Roman"/>
                      <w:b w:val="0"/>
                      <w:bCs w:val="0"/>
                      <w:color w:val="auto"/>
                      <w:sz w:val="21"/>
                      <w:szCs w:val="21"/>
                      <w:lang w:val="zh-CN"/>
                    </w:rPr>
                    <w:t>情况</w:t>
                  </w:r>
                </w:p>
              </w:tc>
              <w:tc>
                <w:tcPr>
                  <w:tcW w:w="1268" w:type="pct"/>
                  <w:gridSpan w:val="2"/>
                  <w:noWrap w:val="0"/>
                  <w:vAlign w:val="center"/>
                </w:tcPr>
                <w:p w14:paraId="0D132EA4">
                  <w:pPr>
                    <w:spacing w:line="240" w:lineRule="auto"/>
                    <w:ind w:firstLine="0" w:firstLineChars="0"/>
                    <w:jc w:val="center"/>
                    <w:rPr>
                      <w:rFonts w:hint="default" w:ascii="Times New Roman" w:hAnsi="Times New Roman" w:eastAsia="宋体" w:cs="Times New Roman"/>
                      <w:b w:val="0"/>
                      <w:bCs w:val="0"/>
                      <w:color w:val="auto"/>
                      <w:sz w:val="21"/>
                      <w:szCs w:val="21"/>
                      <w:lang w:val="zh-CN"/>
                    </w:rPr>
                  </w:pPr>
                  <w:r>
                    <w:rPr>
                      <w:rFonts w:hint="eastAsia" w:ascii="Times New Roman" w:hAnsi="Times New Roman" w:eastAsia="宋体" w:cs="Times New Roman"/>
                      <w:b w:val="0"/>
                      <w:bCs w:val="0"/>
                      <w:color w:val="auto"/>
                      <w:sz w:val="21"/>
                      <w:szCs w:val="21"/>
                      <w:lang w:val="en-US" w:eastAsia="zh-CN"/>
                    </w:rPr>
                    <w:t>有组织排放</w:t>
                  </w:r>
                  <w:r>
                    <w:rPr>
                      <w:rFonts w:hint="default" w:ascii="Times New Roman" w:hAnsi="Times New Roman" w:eastAsia="宋体" w:cs="Times New Roman"/>
                      <w:b w:val="0"/>
                      <w:bCs w:val="0"/>
                      <w:color w:val="auto"/>
                      <w:sz w:val="21"/>
                      <w:szCs w:val="21"/>
                      <w:lang w:val="zh-CN"/>
                    </w:rPr>
                    <w:t>情况</w:t>
                  </w:r>
                </w:p>
              </w:tc>
            </w:tr>
            <w:tr w14:paraId="38B5D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0" w:type="pct"/>
                  <w:vMerge w:val="continue"/>
                  <w:noWrap w:val="0"/>
                  <w:vAlign w:val="center"/>
                </w:tcPr>
                <w:p w14:paraId="1C023CD7">
                  <w:pPr>
                    <w:spacing w:line="240" w:lineRule="auto"/>
                    <w:ind w:firstLine="0" w:firstLineChars="0"/>
                    <w:jc w:val="center"/>
                    <w:rPr>
                      <w:rFonts w:hint="default" w:ascii="Times New Roman" w:hAnsi="Times New Roman" w:eastAsia="宋体" w:cs="Times New Roman"/>
                      <w:b w:val="0"/>
                      <w:bCs w:val="0"/>
                      <w:color w:val="auto"/>
                      <w:sz w:val="21"/>
                      <w:szCs w:val="21"/>
                      <w:lang w:val="zh-CN"/>
                    </w:rPr>
                  </w:pPr>
                </w:p>
              </w:tc>
              <w:tc>
                <w:tcPr>
                  <w:tcW w:w="820" w:type="pct"/>
                  <w:vMerge w:val="continue"/>
                  <w:noWrap w:val="0"/>
                  <w:vAlign w:val="center"/>
                </w:tcPr>
                <w:p w14:paraId="32F863D6">
                  <w:pPr>
                    <w:spacing w:line="240" w:lineRule="auto"/>
                    <w:ind w:firstLine="0" w:firstLineChars="0"/>
                    <w:jc w:val="center"/>
                    <w:rPr>
                      <w:rFonts w:hint="default" w:ascii="Times New Roman" w:hAnsi="Times New Roman" w:eastAsia="宋体" w:cs="Times New Roman"/>
                      <w:b w:val="0"/>
                      <w:bCs w:val="0"/>
                      <w:color w:val="auto"/>
                      <w:sz w:val="21"/>
                      <w:szCs w:val="21"/>
                      <w:lang w:val="zh-CN"/>
                    </w:rPr>
                  </w:pPr>
                </w:p>
              </w:tc>
              <w:tc>
                <w:tcPr>
                  <w:tcW w:w="592" w:type="pct"/>
                  <w:noWrap w:val="0"/>
                  <w:vAlign w:val="center"/>
                </w:tcPr>
                <w:p w14:paraId="3FC0C36E">
                  <w:pPr>
                    <w:spacing w:line="240" w:lineRule="auto"/>
                    <w:ind w:firstLine="0" w:firstLineChars="0"/>
                    <w:jc w:val="center"/>
                    <w:rPr>
                      <w:rFonts w:hint="default" w:ascii="Times New Roman" w:hAnsi="Times New Roman" w:eastAsia="宋体" w:cs="Times New Roman"/>
                      <w:b w:val="0"/>
                      <w:bCs w:val="0"/>
                      <w:color w:val="auto"/>
                      <w:sz w:val="21"/>
                      <w:szCs w:val="21"/>
                      <w:lang w:val="zh-CN"/>
                    </w:rPr>
                  </w:pPr>
                  <w:r>
                    <w:rPr>
                      <w:rFonts w:hint="default" w:ascii="Times New Roman" w:hAnsi="Times New Roman" w:eastAsia="宋体" w:cs="Times New Roman"/>
                      <w:b w:val="0"/>
                      <w:bCs w:val="0"/>
                      <w:color w:val="auto"/>
                      <w:sz w:val="21"/>
                      <w:szCs w:val="21"/>
                      <w:lang w:val="zh-CN"/>
                    </w:rPr>
                    <w:t>产生速率kg/h</w:t>
                  </w:r>
                </w:p>
              </w:tc>
              <w:tc>
                <w:tcPr>
                  <w:tcW w:w="578" w:type="pct"/>
                  <w:noWrap w:val="0"/>
                  <w:vAlign w:val="center"/>
                </w:tcPr>
                <w:p w14:paraId="183C5C9D">
                  <w:pPr>
                    <w:spacing w:line="240" w:lineRule="auto"/>
                    <w:ind w:firstLine="0" w:firstLineChars="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产生量</w:t>
                  </w:r>
                </w:p>
                <w:p w14:paraId="0202C6AB">
                  <w:pPr>
                    <w:spacing w:line="240" w:lineRule="auto"/>
                    <w:ind w:firstLine="0" w:firstLineChars="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t/a</w:t>
                  </w:r>
                </w:p>
              </w:tc>
              <w:tc>
                <w:tcPr>
                  <w:tcW w:w="571" w:type="pct"/>
                  <w:noWrap w:val="0"/>
                  <w:vAlign w:val="center"/>
                </w:tcPr>
                <w:p w14:paraId="7E36EDE2">
                  <w:pPr>
                    <w:spacing w:line="240" w:lineRule="auto"/>
                    <w:ind w:firstLine="0" w:firstLineChars="0"/>
                    <w:jc w:val="center"/>
                    <w:rPr>
                      <w:rFonts w:hint="default" w:ascii="Times New Roman" w:hAnsi="Times New Roman" w:eastAsia="宋体" w:cs="Times New Roman"/>
                      <w:b w:val="0"/>
                      <w:bCs w:val="0"/>
                      <w:color w:val="auto"/>
                      <w:kern w:val="2"/>
                      <w:sz w:val="21"/>
                      <w:szCs w:val="21"/>
                      <w:lang w:val="zh-CN" w:eastAsia="zh-CN" w:bidi="ar-SA"/>
                    </w:rPr>
                  </w:pPr>
                  <w:r>
                    <w:rPr>
                      <w:rFonts w:hint="default" w:ascii="Times New Roman" w:hAnsi="Times New Roman" w:eastAsia="宋体" w:cs="Times New Roman"/>
                      <w:b w:val="0"/>
                      <w:bCs w:val="0"/>
                      <w:color w:val="auto"/>
                      <w:sz w:val="21"/>
                      <w:szCs w:val="21"/>
                      <w:lang w:val="zh-CN"/>
                    </w:rPr>
                    <w:t>收集速率kg/h</w:t>
                  </w:r>
                </w:p>
              </w:tc>
              <w:tc>
                <w:tcPr>
                  <w:tcW w:w="658" w:type="pct"/>
                  <w:noWrap w:val="0"/>
                  <w:vAlign w:val="center"/>
                </w:tcPr>
                <w:p w14:paraId="080D53B5">
                  <w:pPr>
                    <w:spacing w:line="240" w:lineRule="auto"/>
                    <w:ind w:firstLine="0" w:firstLineChars="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sz w:val="21"/>
                      <w:szCs w:val="21"/>
                      <w:lang w:val="zh-CN"/>
                    </w:rPr>
                    <w:t>收集</w:t>
                  </w:r>
                  <w:r>
                    <w:rPr>
                      <w:rFonts w:hint="default" w:ascii="Times New Roman" w:hAnsi="Times New Roman" w:eastAsia="宋体" w:cs="Times New Roman"/>
                      <w:b w:val="0"/>
                      <w:bCs w:val="0"/>
                      <w:color w:val="auto"/>
                      <w:kern w:val="0"/>
                      <w:sz w:val="21"/>
                      <w:szCs w:val="21"/>
                    </w:rPr>
                    <w:t>量</w:t>
                  </w:r>
                </w:p>
                <w:p w14:paraId="3DCC0B64">
                  <w:pPr>
                    <w:spacing w:line="240" w:lineRule="auto"/>
                    <w:ind w:firstLine="0" w:firstLineChars="0"/>
                    <w:jc w:val="center"/>
                    <w:rPr>
                      <w:rFonts w:hint="default" w:ascii="Times New Roman" w:hAnsi="Times New Roman" w:eastAsia="宋体" w:cs="Times New Roman"/>
                      <w:b w:val="0"/>
                      <w:bCs w:val="0"/>
                      <w:color w:val="auto"/>
                      <w:kern w:val="0"/>
                      <w:sz w:val="21"/>
                      <w:szCs w:val="21"/>
                      <w:lang w:val="zh-CN" w:eastAsia="zh-CN" w:bidi="ar-SA"/>
                    </w:rPr>
                  </w:pPr>
                  <w:r>
                    <w:rPr>
                      <w:rFonts w:hint="default" w:ascii="Times New Roman" w:hAnsi="Times New Roman" w:eastAsia="宋体" w:cs="Times New Roman"/>
                      <w:b w:val="0"/>
                      <w:bCs w:val="0"/>
                      <w:color w:val="auto"/>
                      <w:kern w:val="0"/>
                      <w:sz w:val="21"/>
                      <w:szCs w:val="21"/>
                    </w:rPr>
                    <w:t>t/a</w:t>
                  </w:r>
                </w:p>
              </w:tc>
              <w:tc>
                <w:tcPr>
                  <w:tcW w:w="646" w:type="pct"/>
                  <w:noWrap w:val="0"/>
                  <w:vAlign w:val="center"/>
                </w:tcPr>
                <w:p w14:paraId="722F9458">
                  <w:pPr>
                    <w:spacing w:line="240" w:lineRule="auto"/>
                    <w:ind w:firstLine="0" w:firstLineChars="0"/>
                    <w:jc w:val="center"/>
                    <w:rPr>
                      <w:rFonts w:hint="default" w:ascii="Times New Roman" w:hAnsi="Times New Roman" w:eastAsia="宋体" w:cs="Times New Roman"/>
                      <w:b w:val="0"/>
                      <w:bCs w:val="0"/>
                      <w:color w:val="auto"/>
                      <w:kern w:val="2"/>
                      <w:sz w:val="21"/>
                      <w:szCs w:val="21"/>
                      <w:lang w:val="zh-CN" w:eastAsia="zh-CN" w:bidi="ar-SA"/>
                    </w:rPr>
                  </w:pPr>
                  <w:r>
                    <w:rPr>
                      <w:rFonts w:hint="default" w:ascii="Times New Roman" w:hAnsi="Times New Roman" w:eastAsia="宋体" w:cs="Times New Roman"/>
                      <w:b w:val="0"/>
                      <w:bCs w:val="0"/>
                      <w:color w:val="auto"/>
                      <w:sz w:val="21"/>
                      <w:szCs w:val="21"/>
                      <w:lang w:val="zh-CN"/>
                    </w:rPr>
                    <w:t>排放速率kg/h</w:t>
                  </w:r>
                </w:p>
              </w:tc>
              <w:tc>
                <w:tcPr>
                  <w:tcW w:w="622" w:type="pct"/>
                  <w:noWrap w:val="0"/>
                  <w:vAlign w:val="center"/>
                </w:tcPr>
                <w:p w14:paraId="04CA0172">
                  <w:pPr>
                    <w:spacing w:line="240" w:lineRule="auto"/>
                    <w:ind w:firstLine="0" w:firstLineChars="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eastAsia="zh-CN"/>
                    </w:rPr>
                    <w:t>排放</w:t>
                  </w:r>
                  <w:r>
                    <w:rPr>
                      <w:rFonts w:hint="default" w:ascii="Times New Roman" w:hAnsi="Times New Roman" w:eastAsia="宋体" w:cs="Times New Roman"/>
                      <w:b w:val="0"/>
                      <w:bCs w:val="0"/>
                      <w:color w:val="auto"/>
                      <w:kern w:val="0"/>
                      <w:sz w:val="21"/>
                      <w:szCs w:val="21"/>
                    </w:rPr>
                    <w:t>量</w:t>
                  </w:r>
                </w:p>
                <w:p w14:paraId="10FCECD3">
                  <w:pPr>
                    <w:spacing w:line="240" w:lineRule="auto"/>
                    <w:ind w:firstLine="0" w:firstLineChars="0"/>
                    <w:jc w:val="center"/>
                    <w:rPr>
                      <w:rFonts w:hint="default" w:ascii="Times New Roman" w:hAnsi="Times New Roman" w:eastAsia="宋体" w:cs="Times New Roman"/>
                      <w:b w:val="0"/>
                      <w:bCs w:val="0"/>
                      <w:color w:val="auto"/>
                      <w:kern w:val="0"/>
                      <w:sz w:val="21"/>
                      <w:szCs w:val="21"/>
                      <w:lang w:val="zh-CN" w:eastAsia="zh-CN" w:bidi="ar-SA"/>
                    </w:rPr>
                  </w:pPr>
                  <w:r>
                    <w:rPr>
                      <w:rFonts w:hint="default" w:ascii="Times New Roman" w:hAnsi="Times New Roman" w:eastAsia="宋体" w:cs="Times New Roman"/>
                      <w:b w:val="0"/>
                      <w:bCs w:val="0"/>
                      <w:color w:val="auto"/>
                      <w:kern w:val="0"/>
                      <w:sz w:val="21"/>
                      <w:szCs w:val="21"/>
                    </w:rPr>
                    <w:t>t/a</w:t>
                  </w:r>
                </w:p>
              </w:tc>
            </w:tr>
            <w:tr w14:paraId="74ABC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510" w:type="pct"/>
                  <w:noWrap w:val="0"/>
                  <w:vAlign w:val="center"/>
                </w:tcPr>
                <w:p w14:paraId="2197479A">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kern w:val="0"/>
                      <w:sz w:val="21"/>
                      <w:szCs w:val="21"/>
                      <w:lang w:val="en-US" w:eastAsia="zh-CN"/>
                    </w:rPr>
                    <w:t>DA001</w:t>
                  </w:r>
                </w:p>
              </w:tc>
              <w:tc>
                <w:tcPr>
                  <w:tcW w:w="820" w:type="pct"/>
                  <w:noWrap w:val="0"/>
                  <w:vAlign w:val="center"/>
                </w:tcPr>
                <w:p w14:paraId="4A10DA6A">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非甲烷总烃</w:t>
                  </w:r>
                </w:p>
              </w:tc>
              <w:tc>
                <w:tcPr>
                  <w:tcW w:w="982" w:type="dxa"/>
                  <w:noWrap w:val="0"/>
                  <w:vAlign w:val="center"/>
                </w:tcPr>
                <w:p w14:paraId="3A3627EA">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3.03</w:t>
                  </w:r>
                </w:p>
              </w:tc>
              <w:tc>
                <w:tcPr>
                  <w:tcW w:w="959" w:type="dxa"/>
                  <w:noWrap w:val="0"/>
                  <w:vAlign w:val="center"/>
                </w:tcPr>
                <w:p w14:paraId="5A4693FB">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9.09</w:t>
                  </w:r>
                </w:p>
              </w:tc>
              <w:tc>
                <w:tcPr>
                  <w:tcW w:w="947" w:type="dxa"/>
                  <w:noWrap w:val="0"/>
                  <w:vAlign w:val="center"/>
                </w:tcPr>
                <w:p w14:paraId="626AEACD">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2.697 </w:t>
                  </w:r>
                </w:p>
              </w:tc>
              <w:tc>
                <w:tcPr>
                  <w:tcW w:w="1091" w:type="dxa"/>
                  <w:noWrap w:val="0"/>
                  <w:vAlign w:val="center"/>
                </w:tcPr>
                <w:p w14:paraId="46162ABA">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8.090 </w:t>
                  </w:r>
                </w:p>
              </w:tc>
              <w:tc>
                <w:tcPr>
                  <w:tcW w:w="1071" w:type="dxa"/>
                  <w:noWrap w:val="0"/>
                  <w:vAlign w:val="center"/>
                </w:tcPr>
                <w:p w14:paraId="23CF36D6">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0.135 </w:t>
                  </w:r>
                </w:p>
              </w:tc>
              <w:tc>
                <w:tcPr>
                  <w:tcW w:w="1032" w:type="dxa"/>
                  <w:noWrap w:val="0"/>
                  <w:vAlign w:val="center"/>
                </w:tcPr>
                <w:p w14:paraId="70295134">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0.405 </w:t>
                  </w:r>
                </w:p>
              </w:tc>
            </w:tr>
          </w:tbl>
          <w:p w14:paraId="6BB20D93">
            <w:pPr>
              <w:spacing w:line="360" w:lineRule="auto"/>
              <w:ind w:firstLine="482" w:firstLineChars="200"/>
              <w:jc w:val="both"/>
              <w:rPr>
                <w:color w:val="auto"/>
                <w:sz w:val="24"/>
              </w:rPr>
            </w:pPr>
            <w:r>
              <w:rPr>
                <w:rFonts w:hint="eastAsia" w:ascii="Times New Roman" w:hAnsi="Times New Roman" w:cs="Times New Roman"/>
                <w:b/>
                <w:bCs/>
                <w:color w:val="auto"/>
                <w:sz w:val="24"/>
                <w:lang w:val="en-US" w:eastAsia="zh-CN"/>
              </w:rPr>
              <w:t>有机废气</w:t>
            </w:r>
            <w:r>
              <w:rPr>
                <w:rFonts w:hint="eastAsia" w:ascii="Times New Roman" w:hAnsi="Times New Roman" w:cs="Times New Roman"/>
                <w:b/>
                <w:bCs/>
                <w:color w:val="auto"/>
                <w:sz w:val="24"/>
              </w:rPr>
              <w:t>收集</w:t>
            </w:r>
            <w:r>
              <w:rPr>
                <w:rFonts w:ascii="Times New Roman" w:hAnsi="Times New Roman" w:cs="Times New Roman"/>
                <w:b/>
                <w:bCs/>
                <w:color w:val="auto"/>
                <w:sz w:val="24"/>
              </w:rPr>
              <w:t>系统风量的设计依据</w:t>
            </w:r>
            <w:r>
              <w:rPr>
                <w:rFonts w:hint="eastAsia" w:ascii="Times New Roman" w:hAnsi="Times New Roman" w:cs="Times New Roman"/>
                <w:b/>
                <w:bCs/>
                <w:color w:val="auto"/>
                <w:sz w:val="24"/>
              </w:rPr>
              <w:t>如下</w:t>
            </w:r>
            <w:r>
              <w:rPr>
                <w:rFonts w:ascii="Times New Roman" w:hAnsi="Times New Roman" w:cs="Times New Roman"/>
                <w:b/>
                <w:bCs/>
                <w:color w:val="auto"/>
                <w:sz w:val="24"/>
              </w:rPr>
              <w:t>：</w:t>
            </w:r>
          </w:p>
          <w:p w14:paraId="679D2707">
            <w:pPr>
              <w:widowControl/>
              <w:spacing w:line="360" w:lineRule="auto"/>
              <w:ind w:firstLine="480" w:firstLineChars="200"/>
              <w:jc w:val="both"/>
              <w:rPr>
                <w:rFonts w:ascii="Times New Roman" w:hAnsi="Times New Roman" w:cs="Times New Roman"/>
                <w:color w:val="auto"/>
                <w:sz w:val="24"/>
              </w:rPr>
            </w:pPr>
            <w:r>
              <w:rPr>
                <w:rFonts w:hint="eastAsia" w:ascii="Times New Roman" w:hAnsi="Times New Roman" w:eastAsia="宋体" w:cs="Times New Roman"/>
                <w:color w:val="auto"/>
                <w:sz w:val="24"/>
                <w:szCs w:val="24"/>
                <w:highlight w:val="none"/>
                <w:lang w:val="en-US" w:eastAsia="zh-CN"/>
              </w:rPr>
              <w:t>项目生产车间封闭设置，</w:t>
            </w:r>
            <w:r>
              <w:rPr>
                <w:rFonts w:hint="eastAsia" w:cs="Times New Roman"/>
                <w:color w:val="auto"/>
                <w:sz w:val="24"/>
                <w:szCs w:val="24"/>
                <w:highlight w:val="none"/>
                <w:lang w:val="en-US" w:eastAsia="zh-CN"/>
              </w:rPr>
              <w:t>有机</w:t>
            </w:r>
            <w:r>
              <w:rPr>
                <w:rFonts w:hint="eastAsia" w:ascii="Times New Roman" w:hAnsi="Times New Roman" w:eastAsia="宋体" w:cs="Times New Roman"/>
                <w:color w:val="auto"/>
                <w:sz w:val="24"/>
                <w:szCs w:val="24"/>
                <w:highlight w:val="none"/>
                <w:lang w:val="en-US" w:eastAsia="zh-CN"/>
              </w:rPr>
              <w:t>废气通过集气罩收集，经“</w:t>
            </w:r>
            <w:r>
              <w:rPr>
                <w:rFonts w:hint="eastAsia" w:cs="Times New Roman"/>
                <w:color w:val="auto"/>
                <w:sz w:val="24"/>
                <w:szCs w:val="24"/>
                <w:highlight w:val="none"/>
                <w:lang w:val="en-US" w:eastAsia="zh-CN"/>
              </w:rPr>
              <w:t>二级</w:t>
            </w:r>
            <w:r>
              <w:rPr>
                <w:rFonts w:hint="eastAsia" w:ascii="Times New Roman" w:hAnsi="Times New Roman" w:eastAsia="宋体" w:cs="Times New Roman"/>
                <w:color w:val="auto"/>
                <w:sz w:val="24"/>
                <w:szCs w:val="24"/>
                <w:highlight w:val="none"/>
                <w:lang w:val="en-US" w:eastAsia="zh-CN"/>
              </w:rPr>
              <w:t>活性炭吸附”装置处理后，由15米排气筒（DA001）排放。</w:t>
            </w:r>
          </w:p>
          <w:p w14:paraId="13A9D1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cs="Times New Roman"/>
                <w:color w:val="auto"/>
                <w:sz w:val="24"/>
                <w:lang w:val="en-US" w:eastAsia="zh-CN"/>
              </w:rPr>
            </w:pPr>
            <w:r>
              <w:rPr>
                <w:rFonts w:hint="eastAsia" w:cs="Times New Roman"/>
                <w:color w:val="auto"/>
                <w:sz w:val="24"/>
                <w:lang w:val="en-US" w:eastAsia="zh-CN"/>
              </w:rPr>
              <w:t>根据《废气处理工程技术手册》（2013 年版），排风量计算公式：</w:t>
            </w:r>
          </w:p>
          <w:p w14:paraId="12A274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hint="eastAsia" w:cs="Times New Roman"/>
                <w:color w:val="auto"/>
                <w:sz w:val="24"/>
                <w:lang w:val="en-US" w:eastAsia="zh-CN"/>
              </w:rPr>
            </w:pPr>
            <w:r>
              <w:rPr>
                <w:rFonts w:hint="eastAsia" w:cs="Times New Roman"/>
                <w:color w:val="auto"/>
                <w:sz w:val="24"/>
                <w:lang w:val="en-US" w:eastAsia="zh-CN"/>
              </w:rPr>
              <w:t>Q=V×F×3600</w:t>
            </w:r>
          </w:p>
          <w:p w14:paraId="1E94EA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cs="Times New Roman"/>
                <w:color w:val="auto"/>
                <w:sz w:val="24"/>
                <w:lang w:val="en-US" w:eastAsia="zh-CN"/>
              </w:rPr>
            </w:pPr>
            <w:r>
              <w:rPr>
                <w:rFonts w:hint="eastAsia" w:cs="Times New Roman"/>
                <w:color w:val="auto"/>
                <w:sz w:val="24"/>
                <w:lang w:val="en-US" w:eastAsia="zh-CN"/>
              </w:rPr>
              <w:t>其中：Q-集气罩排放量，m</w:t>
            </w:r>
            <w:r>
              <w:rPr>
                <w:rFonts w:hint="eastAsia" w:cs="Times New Roman"/>
                <w:color w:val="auto"/>
                <w:sz w:val="24"/>
                <w:vertAlign w:val="superscript"/>
                <w:lang w:val="en-US" w:eastAsia="zh-CN"/>
              </w:rPr>
              <w:t>3</w:t>
            </w:r>
            <w:r>
              <w:rPr>
                <w:rFonts w:hint="eastAsia" w:cs="Times New Roman"/>
                <w:color w:val="auto"/>
                <w:sz w:val="24"/>
                <w:lang w:val="en-US" w:eastAsia="zh-CN"/>
              </w:rPr>
              <w:t>/h；</w:t>
            </w:r>
          </w:p>
          <w:p w14:paraId="267B74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720" w:firstLineChars="300"/>
              <w:jc w:val="both"/>
              <w:textAlignment w:val="auto"/>
              <w:rPr>
                <w:rFonts w:hint="eastAsia" w:cs="Times New Roman"/>
                <w:color w:val="auto"/>
                <w:sz w:val="24"/>
                <w:lang w:val="en-US" w:eastAsia="zh-CN"/>
              </w:rPr>
            </w:pPr>
            <w:r>
              <w:rPr>
                <w:rFonts w:hint="eastAsia" w:cs="Times New Roman"/>
                <w:color w:val="auto"/>
                <w:sz w:val="24"/>
                <w:lang w:val="en-US" w:eastAsia="zh-CN"/>
              </w:rPr>
              <w:t>V-罩口中吸气平均速度，m/s，其中集气罩取值范围0.25-1m/s，本项目有机废气集气罩V取0.4m/s。</w:t>
            </w:r>
          </w:p>
          <w:p w14:paraId="06859D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720" w:firstLineChars="300"/>
              <w:jc w:val="both"/>
              <w:textAlignment w:val="auto"/>
              <w:rPr>
                <w:rFonts w:hint="eastAsia" w:cs="Times New Roman"/>
                <w:color w:val="auto"/>
                <w:sz w:val="24"/>
                <w:lang w:val="en-US" w:eastAsia="zh-CN"/>
              </w:rPr>
            </w:pPr>
            <w:r>
              <w:rPr>
                <w:rFonts w:hint="eastAsia" w:cs="Times New Roman"/>
                <w:color w:val="auto"/>
                <w:sz w:val="24"/>
                <w:lang w:val="en-US" w:eastAsia="zh-CN"/>
              </w:rPr>
              <w:t>F-集气罩面积，m</w:t>
            </w:r>
            <w:r>
              <w:rPr>
                <w:rFonts w:hint="eastAsia" w:cs="Times New Roman"/>
                <w:color w:val="auto"/>
                <w:sz w:val="24"/>
                <w:vertAlign w:val="superscript"/>
                <w:lang w:val="en-US" w:eastAsia="zh-CN"/>
              </w:rPr>
              <w:t>2</w:t>
            </w:r>
            <w:r>
              <w:rPr>
                <w:rFonts w:hint="eastAsia" w:cs="Times New Roman"/>
                <w:color w:val="auto"/>
                <w:sz w:val="24"/>
                <w:lang w:val="en-US" w:eastAsia="zh-CN"/>
              </w:rPr>
              <w:t>。</w:t>
            </w:r>
          </w:p>
          <w:p w14:paraId="2317A2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cs="Times New Roman"/>
                <w:color w:val="auto"/>
                <w:sz w:val="24"/>
                <w:lang w:val="en-US" w:eastAsia="zh-CN"/>
              </w:rPr>
            </w:pPr>
            <w:r>
              <w:rPr>
                <w:rFonts w:hint="eastAsia" w:cs="Times New Roman"/>
                <w:color w:val="auto"/>
                <w:sz w:val="24"/>
                <w:lang w:val="en-US" w:eastAsia="zh-CN"/>
              </w:rPr>
              <w:t>本项目在注塑机、挤出机出料口上方设置集气罩，共设置11个集气罩。每个</w:t>
            </w:r>
            <w:r>
              <w:rPr>
                <w:rFonts w:ascii="Times New Roman" w:hAnsi="Times New Roman" w:cs="Times New Roman"/>
                <w:color w:val="auto"/>
                <w:sz w:val="24"/>
              </w:rPr>
              <w:t>集气罩设计尺寸为</w:t>
            </w:r>
            <w:r>
              <w:rPr>
                <w:rFonts w:hint="eastAsia" w:ascii="Times New Roman" w:hAnsi="Times New Roman" w:cs="Times New Roman"/>
                <w:color w:val="auto"/>
                <w:sz w:val="24"/>
                <w:lang w:val="en-US" w:eastAsia="zh-CN"/>
              </w:rPr>
              <w:t>0.8</w:t>
            </w:r>
            <w:r>
              <w:rPr>
                <w:rFonts w:ascii="Times New Roman" w:hAnsi="Times New Roman" w:cs="Times New Roman"/>
                <w:color w:val="auto"/>
                <w:sz w:val="24"/>
              </w:rPr>
              <w:t>m*</w:t>
            </w:r>
            <w:r>
              <w:rPr>
                <w:rFonts w:hint="eastAsia" w:ascii="Times New Roman" w:hAnsi="Times New Roman" w:cs="Times New Roman"/>
                <w:color w:val="auto"/>
                <w:sz w:val="24"/>
                <w:lang w:val="en-US" w:eastAsia="zh-CN"/>
              </w:rPr>
              <w:t>0.5</w:t>
            </w:r>
            <w:r>
              <w:rPr>
                <w:rFonts w:ascii="Times New Roman" w:hAnsi="Times New Roman" w:cs="Times New Roman"/>
                <w:color w:val="auto"/>
                <w:sz w:val="24"/>
              </w:rPr>
              <w:t>m</w:t>
            </w:r>
            <w:r>
              <w:rPr>
                <w:rFonts w:hint="eastAsia" w:cs="Times New Roman"/>
                <w:color w:val="auto"/>
                <w:sz w:val="24"/>
                <w:lang w:val="en-US" w:eastAsia="zh-CN"/>
              </w:rPr>
              <w:t>，在热熔焊接工段设置一个集气罩，集气罩</w:t>
            </w:r>
            <w:r>
              <w:rPr>
                <w:rFonts w:ascii="Times New Roman" w:hAnsi="Times New Roman" w:cs="Times New Roman"/>
                <w:color w:val="auto"/>
                <w:sz w:val="24"/>
              </w:rPr>
              <w:t>设计尺寸为</w:t>
            </w:r>
            <w:r>
              <w:rPr>
                <w:rFonts w:hint="eastAsia" w:ascii="Times New Roman" w:hAnsi="Times New Roman" w:cs="Times New Roman"/>
                <w:color w:val="auto"/>
                <w:sz w:val="24"/>
                <w:lang w:val="en-US" w:eastAsia="zh-CN"/>
              </w:rPr>
              <w:t>2.0</w:t>
            </w:r>
            <w:r>
              <w:rPr>
                <w:rFonts w:ascii="Times New Roman" w:hAnsi="Times New Roman" w:cs="Times New Roman"/>
                <w:color w:val="auto"/>
                <w:sz w:val="24"/>
              </w:rPr>
              <w:t>m*</w:t>
            </w:r>
            <w:r>
              <w:rPr>
                <w:rFonts w:hint="eastAsia" w:ascii="Times New Roman" w:hAnsi="Times New Roman" w:cs="Times New Roman"/>
                <w:color w:val="auto"/>
                <w:sz w:val="24"/>
                <w:lang w:val="en-US" w:eastAsia="zh-CN"/>
              </w:rPr>
              <w:t>2.0</w:t>
            </w:r>
            <w:r>
              <w:rPr>
                <w:rFonts w:ascii="Times New Roman" w:hAnsi="Times New Roman" w:cs="Times New Roman"/>
                <w:color w:val="auto"/>
                <w:sz w:val="24"/>
              </w:rPr>
              <w:t>m</w:t>
            </w:r>
            <w:r>
              <w:rPr>
                <w:rFonts w:hint="eastAsia" w:cs="Times New Roman"/>
                <w:color w:val="auto"/>
                <w:sz w:val="24"/>
                <w:lang w:val="en-US" w:eastAsia="zh-CN"/>
              </w:rPr>
              <w:t>，则集气罩总面积为8.4m</w:t>
            </w:r>
            <w:r>
              <w:rPr>
                <w:rFonts w:hint="eastAsia" w:cs="Times New Roman"/>
                <w:color w:val="auto"/>
                <w:sz w:val="24"/>
                <w:vertAlign w:val="superscript"/>
                <w:lang w:val="en-US" w:eastAsia="zh-CN"/>
              </w:rPr>
              <w:t>2</w:t>
            </w:r>
            <w:r>
              <w:rPr>
                <w:rFonts w:hint="eastAsia" w:cs="Times New Roman"/>
                <w:color w:val="auto"/>
                <w:sz w:val="24"/>
                <w:lang w:val="en-US" w:eastAsia="zh-CN"/>
              </w:rPr>
              <w:t>。</w:t>
            </w:r>
          </w:p>
          <w:p w14:paraId="025BBD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b w:val="0"/>
                <w:bCs w:val="0"/>
                <w:color w:val="auto"/>
                <w:lang w:eastAsia="zh-CN"/>
              </w:rPr>
            </w:pPr>
            <w:r>
              <w:rPr>
                <w:rFonts w:hint="eastAsia" w:cs="Times New Roman"/>
                <w:color w:val="auto"/>
                <w:sz w:val="24"/>
                <w:lang w:val="en-US" w:eastAsia="zh-CN"/>
              </w:rPr>
              <w:t>经计算，采用的最小风机风量Q=12096m</w:t>
            </w:r>
            <w:r>
              <w:rPr>
                <w:rFonts w:hint="eastAsia" w:cs="Times New Roman"/>
                <w:color w:val="auto"/>
                <w:sz w:val="24"/>
                <w:vertAlign w:val="superscript"/>
                <w:lang w:val="en-US" w:eastAsia="zh-CN"/>
              </w:rPr>
              <w:t>3</w:t>
            </w:r>
            <w:r>
              <w:rPr>
                <w:rFonts w:hint="eastAsia" w:cs="Times New Roman"/>
                <w:color w:val="auto"/>
                <w:sz w:val="24"/>
                <w:lang w:val="en-US" w:eastAsia="zh-CN"/>
              </w:rPr>
              <w:t>/h。根据《吸附法工业有机废气治理工程技术规范》（HJ 2026-2013）中“6.1.2治理工程的处理能力应根据废气的处理量确定，设计风量宜按照最大废气排放量的120%进行设计”的要求，因此风机风量取15000m</w:t>
            </w:r>
            <w:r>
              <w:rPr>
                <w:rFonts w:hint="eastAsia" w:cs="Times New Roman"/>
                <w:color w:val="auto"/>
                <w:sz w:val="24"/>
                <w:vertAlign w:val="superscript"/>
                <w:lang w:val="en-US" w:eastAsia="zh-CN"/>
              </w:rPr>
              <w:t>3</w:t>
            </w:r>
            <w:r>
              <w:rPr>
                <w:rFonts w:hint="eastAsia" w:cs="Times New Roman"/>
                <w:color w:val="auto"/>
                <w:sz w:val="24"/>
                <w:lang w:val="en-US" w:eastAsia="zh-CN"/>
              </w:rPr>
              <w:t>/h。</w:t>
            </w:r>
          </w:p>
          <w:p w14:paraId="0EC1B649">
            <w:pPr>
              <w:numPr>
                <w:ilvl w:val="0"/>
                <w:numId w:val="0"/>
              </w:numPr>
              <w:spacing w:line="360" w:lineRule="auto"/>
              <w:ind w:firstLine="480" w:firstLineChars="200"/>
              <w:jc w:val="both"/>
              <w:rPr>
                <w:rFonts w:hint="eastAsia" w:ascii="Times New Roman" w:hAnsi="Times New Roman" w:eastAsia="宋体" w:cs="Times New Roman"/>
                <w:b w:val="0"/>
                <w:bCs w:val="0"/>
                <w:color w:val="auto"/>
                <w:kern w:val="2"/>
                <w:sz w:val="24"/>
                <w:szCs w:val="24"/>
                <w:lang w:val="en-US" w:eastAsia="zh-CN" w:bidi="ar"/>
              </w:rPr>
            </w:pPr>
            <w:r>
              <w:rPr>
                <w:rFonts w:hint="default" w:ascii="Times New Roman" w:hAnsi="Times New Roman" w:eastAsia="宋体" w:cs="Times New Roman"/>
                <w:b w:val="0"/>
                <w:bCs w:val="0"/>
                <w:color w:val="auto"/>
                <w:kern w:val="2"/>
                <w:sz w:val="24"/>
                <w:szCs w:val="24"/>
                <w:lang w:val="en-US" w:eastAsia="zh-CN" w:bidi="ar"/>
              </w:rPr>
              <w:t>②</w:t>
            </w:r>
            <w:r>
              <w:rPr>
                <w:rFonts w:hint="eastAsia" w:ascii="Times New Roman" w:hAnsi="Times New Roman" w:eastAsia="宋体" w:cs="Times New Roman"/>
                <w:b w:val="0"/>
                <w:bCs w:val="0"/>
                <w:color w:val="auto"/>
                <w:kern w:val="2"/>
                <w:sz w:val="24"/>
                <w:szCs w:val="24"/>
                <w:lang w:val="en-US" w:eastAsia="zh-CN" w:bidi="ar"/>
              </w:rPr>
              <w:t>破碎粉尘</w:t>
            </w:r>
          </w:p>
          <w:p w14:paraId="18C69DF5">
            <w:pPr>
              <w:adjustRightInd w:val="0"/>
              <w:snapToGrid w:val="0"/>
              <w:spacing w:line="360" w:lineRule="auto"/>
              <w:ind w:firstLine="420"/>
              <w:jc w:val="both"/>
              <w:rPr>
                <w:rFonts w:hint="eastAsia" w:ascii="Times New Roman" w:hAnsi="Times New Roman" w:eastAsia="宋体" w:cs="Times New Roman"/>
                <w:color w:val="auto"/>
                <w:sz w:val="24"/>
                <w:szCs w:val="24"/>
                <w:vertAlign w:val="baseline"/>
                <w:lang w:val="en-US" w:eastAsia="zh-CN"/>
              </w:rPr>
            </w:pPr>
            <w:r>
              <w:rPr>
                <w:rFonts w:hint="eastAsia" w:ascii="宋体" w:hAnsi="宋体" w:eastAsia="宋体" w:cs="宋体"/>
                <w:color w:val="auto"/>
                <w:sz w:val="24"/>
              </w:rPr>
              <w:t>本项目生产中所用</w:t>
            </w:r>
            <w:r>
              <w:rPr>
                <w:rFonts w:hint="eastAsia" w:ascii="宋体" w:hAnsi="宋体" w:eastAsia="宋体" w:cs="宋体"/>
                <w:color w:val="auto"/>
                <w:sz w:val="24"/>
                <w:lang w:val="en-US" w:eastAsia="zh-CN"/>
              </w:rPr>
              <w:t>PP</w:t>
            </w:r>
            <w:r>
              <w:rPr>
                <w:rFonts w:hint="eastAsia" w:ascii="宋体" w:hAnsi="宋体" w:eastAsia="宋体" w:cs="宋体"/>
                <w:color w:val="auto"/>
                <w:sz w:val="24"/>
              </w:rPr>
              <w:t>塑料</w:t>
            </w:r>
            <w:r>
              <w:rPr>
                <w:rFonts w:hint="eastAsia" w:ascii="宋体" w:hAnsi="宋体" w:eastAsia="宋体" w:cs="宋体"/>
                <w:color w:val="auto"/>
                <w:sz w:val="24"/>
                <w:lang w:val="en-US" w:eastAsia="zh-CN"/>
              </w:rPr>
              <w:t>颗粒</w:t>
            </w:r>
            <w:r>
              <w:rPr>
                <w:rFonts w:hint="eastAsia" w:ascii="宋体" w:hAnsi="宋体" w:cs="宋体"/>
                <w:color w:val="auto"/>
                <w:sz w:val="24"/>
                <w:lang w:val="en-US" w:eastAsia="zh-CN"/>
              </w:rPr>
              <w:t>为新料</w:t>
            </w:r>
            <w:r>
              <w:rPr>
                <w:rFonts w:hint="eastAsia" w:ascii="宋体" w:hAnsi="宋体" w:eastAsia="宋体" w:cs="宋体"/>
                <w:color w:val="auto"/>
                <w:sz w:val="24"/>
              </w:rPr>
              <w:t>，但为了体现“循环经济”，本项目对</w:t>
            </w:r>
            <w:r>
              <w:rPr>
                <w:rFonts w:hint="eastAsia" w:ascii="宋体" w:hAnsi="宋体" w:cs="宋体"/>
                <w:color w:val="auto"/>
                <w:sz w:val="24"/>
                <w:lang w:val="en-US" w:eastAsia="zh-CN"/>
              </w:rPr>
              <w:t>生产过程中产生的废</w:t>
            </w:r>
            <w:r>
              <w:rPr>
                <w:rFonts w:hint="eastAsia" w:ascii="宋体" w:hAnsi="宋体" w:eastAsia="宋体" w:cs="宋体"/>
                <w:color w:val="auto"/>
                <w:sz w:val="24"/>
              </w:rPr>
              <w:t>边角料、</w:t>
            </w:r>
            <w:r>
              <w:rPr>
                <w:rFonts w:hint="eastAsia" w:ascii="宋体" w:hAnsi="宋体" w:cs="宋体"/>
                <w:color w:val="auto"/>
                <w:sz w:val="24"/>
                <w:lang w:val="en-US" w:eastAsia="zh-CN"/>
              </w:rPr>
              <w:t>不合格品</w:t>
            </w:r>
            <w:r>
              <w:rPr>
                <w:rFonts w:hint="eastAsia" w:ascii="宋体" w:hAnsi="宋体" w:eastAsia="宋体" w:cs="宋体"/>
                <w:color w:val="auto"/>
                <w:sz w:val="24"/>
              </w:rPr>
              <w:t>等进行破碎回用，破碎过程中有粉尘产生</w:t>
            </w:r>
            <w:r>
              <w:rPr>
                <w:rFonts w:hint="eastAsia" w:ascii="宋体" w:hAnsi="宋体" w:eastAsia="宋体" w:cs="宋体"/>
                <w:color w:val="auto"/>
                <w:sz w:val="24"/>
                <w:lang w:eastAsia="zh-CN"/>
              </w:rPr>
              <w:t>。</w:t>
            </w:r>
            <w:r>
              <w:rPr>
                <w:rFonts w:hint="eastAsia" w:ascii="Times New Roman" w:hAnsi="Times New Roman" w:eastAsia="宋体" w:cs="Times New Roman"/>
                <w:b w:val="0"/>
                <w:color w:val="auto"/>
                <w:kern w:val="2"/>
                <w:sz w:val="24"/>
                <w:szCs w:val="24"/>
                <w:lang w:val="en-US" w:eastAsia="zh-CN" w:bidi="ar-SA"/>
              </w:rPr>
              <w:t>根据企业提供资料，</w:t>
            </w:r>
            <w:r>
              <w:rPr>
                <w:rFonts w:hint="eastAsia" w:cs="Times New Roman"/>
                <w:b w:val="0"/>
                <w:color w:val="auto"/>
                <w:kern w:val="2"/>
                <w:sz w:val="24"/>
                <w:szCs w:val="24"/>
                <w:lang w:val="en-US" w:eastAsia="zh-CN" w:bidi="ar-SA"/>
              </w:rPr>
              <w:t>边角料和</w:t>
            </w:r>
            <w:r>
              <w:rPr>
                <w:rFonts w:hint="eastAsia" w:ascii="Times New Roman" w:hAnsi="Times New Roman" w:eastAsia="宋体" w:cs="Times New Roman"/>
                <w:b w:val="0"/>
                <w:color w:val="auto"/>
                <w:kern w:val="2"/>
                <w:sz w:val="24"/>
                <w:szCs w:val="24"/>
                <w:lang w:val="en-US" w:eastAsia="zh-CN" w:bidi="ar-SA"/>
              </w:rPr>
              <w:t>不合格产品占产品生产量的</w:t>
            </w:r>
            <w:r>
              <w:rPr>
                <w:rFonts w:hint="eastAsia" w:cs="Times New Roman"/>
                <w:b w:val="0"/>
                <w:color w:val="auto"/>
                <w:kern w:val="2"/>
                <w:sz w:val="24"/>
                <w:szCs w:val="24"/>
                <w:lang w:val="en-US" w:eastAsia="zh-CN" w:bidi="ar-SA"/>
              </w:rPr>
              <w:t>2</w:t>
            </w:r>
            <w:r>
              <w:rPr>
                <w:rFonts w:hint="eastAsia" w:ascii="Times New Roman" w:hAnsi="Times New Roman" w:eastAsia="宋体" w:cs="Times New Roman"/>
                <w:b w:val="0"/>
                <w:color w:val="auto"/>
                <w:kern w:val="2"/>
                <w:sz w:val="24"/>
                <w:szCs w:val="24"/>
                <w:lang w:val="en-US" w:eastAsia="zh-CN" w:bidi="ar-SA"/>
              </w:rPr>
              <w:t>%，本项目年</w:t>
            </w:r>
            <w:r>
              <w:rPr>
                <w:rFonts w:hint="eastAsia" w:cs="Times New Roman"/>
                <w:b w:val="0"/>
                <w:color w:val="auto"/>
                <w:kern w:val="2"/>
                <w:sz w:val="24"/>
                <w:szCs w:val="24"/>
                <w:lang w:val="en-US" w:eastAsia="zh-CN" w:bidi="ar-SA"/>
              </w:rPr>
              <w:t>生产产品约6000</w:t>
            </w:r>
            <w:r>
              <w:rPr>
                <w:rFonts w:hint="eastAsia" w:ascii="Times New Roman" w:hAnsi="Times New Roman" w:eastAsia="宋体" w:cs="Times New Roman"/>
                <w:b w:val="0"/>
                <w:color w:val="auto"/>
                <w:kern w:val="2"/>
                <w:sz w:val="24"/>
                <w:szCs w:val="24"/>
                <w:lang w:val="en-US" w:eastAsia="zh-CN" w:bidi="ar-SA"/>
              </w:rPr>
              <w:t>t，预计本项目</w:t>
            </w:r>
            <w:r>
              <w:rPr>
                <w:rFonts w:hint="eastAsia" w:cs="Times New Roman"/>
                <w:b w:val="0"/>
                <w:color w:val="auto"/>
                <w:kern w:val="2"/>
                <w:sz w:val="24"/>
                <w:szCs w:val="24"/>
                <w:lang w:val="en-US" w:eastAsia="zh-CN" w:bidi="ar-SA"/>
              </w:rPr>
              <w:t>边角料和</w:t>
            </w:r>
            <w:r>
              <w:rPr>
                <w:rFonts w:hint="eastAsia" w:ascii="Times New Roman" w:hAnsi="Times New Roman" w:eastAsia="宋体" w:cs="Times New Roman"/>
                <w:b w:val="0"/>
                <w:color w:val="auto"/>
                <w:kern w:val="2"/>
                <w:sz w:val="24"/>
                <w:szCs w:val="24"/>
                <w:lang w:val="en-US" w:eastAsia="zh-CN" w:bidi="ar-SA"/>
              </w:rPr>
              <w:t>不合格品产生量约120t/a。</w:t>
            </w:r>
            <w:r>
              <w:rPr>
                <w:rFonts w:hint="eastAsia" w:ascii="宋体" w:hAnsi="宋体" w:cs="宋体"/>
                <w:color w:val="auto"/>
                <w:sz w:val="24"/>
                <w:lang w:val="en-US" w:eastAsia="zh-CN"/>
              </w:rPr>
              <w:t>由于边角料和不合格品比较少，企业每三天破碎一次，每次破碎时间约2h。</w:t>
            </w:r>
            <w:r>
              <w:rPr>
                <w:rFonts w:hint="eastAsia" w:ascii="Times New Roman" w:hAnsi="Times New Roman" w:eastAsia="宋体" w:cs="Times New Roman"/>
                <w:b w:val="0"/>
                <w:color w:val="auto"/>
                <w:kern w:val="2"/>
                <w:sz w:val="24"/>
                <w:szCs w:val="24"/>
                <w:lang w:val="en-US" w:eastAsia="zh-CN" w:bidi="ar-SA"/>
              </w:rPr>
              <w:t>项目破碎工序设置在</w:t>
            </w:r>
            <w:r>
              <w:rPr>
                <w:rFonts w:hint="eastAsia" w:cs="Times New Roman"/>
                <w:b w:val="0"/>
                <w:color w:val="auto"/>
                <w:kern w:val="2"/>
                <w:sz w:val="24"/>
                <w:szCs w:val="24"/>
                <w:lang w:val="en-US" w:eastAsia="zh-CN" w:bidi="ar-SA"/>
              </w:rPr>
              <w:t>独立</w:t>
            </w:r>
            <w:r>
              <w:rPr>
                <w:rFonts w:hint="eastAsia" w:ascii="Times New Roman" w:hAnsi="Times New Roman" w:eastAsia="宋体" w:cs="Times New Roman"/>
                <w:b w:val="0"/>
                <w:color w:val="auto"/>
                <w:kern w:val="2"/>
                <w:sz w:val="24"/>
                <w:szCs w:val="24"/>
                <w:lang w:val="en-US" w:eastAsia="zh-CN" w:bidi="ar-SA"/>
              </w:rPr>
              <w:t>密闭破碎间内，设置1台破碎机，</w:t>
            </w:r>
            <w:r>
              <w:rPr>
                <w:rFonts w:hint="eastAsia" w:ascii="宋体" w:hAnsi="宋体" w:cs="宋体"/>
                <w:color w:val="auto"/>
                <w:sz w:val="24"/>
                <w:lang w:val="en-US" w:eastAsia="zh-CN"/>
              </w:rPr>
              <w:t>破碎工序将其破碎成粒径较大的颗粒，粉尘产生量极少，本项目</w:t>
            </w:r>
            <w:r>
              <w:rPr>
                <w:rFonts w:hint="eastAsia" w:ascii="宋体" w:hAnsi="宋体" w:eastAsia="宋体" w:cs="宋体"/>
                <w:color w:val="auto"/>
                <w:sz w:val="24"/>
              </w:rPr>
              <w:t>粉尘排放量约为</w:t>
            </w:r>
            <w:r>
              <w:rPr>
                <w:rFonts w:hint="eastAsia" w:ascii="宋体" w:hAnsi="宋体" w:eastAsia="宋体" w:cs="宋体"/>
                <w:color w:val="auto"/>
                <w:sz w:val="24"/>
                <w:lang w:val="en-US" w:eastAsia="zh-CN"/>
              </w:rPr>
              <w:t>破碎量</w:t>
            </w:r>
            <w:r>
              <w:rPr>
                <w:rFonts w:hint="eastAsia" w:ascii="宋体" w:hAnsi="宋体" w:eastAsia="宋体" w:cs="宋体"/>
                <w:color w:val="auto"/>
                <w:sz w:val="24"/>
              </w:rPr>
              <w:t>的1％，</w:t>
            </w:r>
            <w:r>
              <w:rPr>
                <w:rFonts w:hint="eastAsia"/>
                <w:color w:val="auto"/>
                <w:sz w:val="24"/>
                <w:szCs w:val="24"/>
              </w:rPr>
              <w:t>则粉尘产生量为</w:t>
            </w:r>
            <w:r>
              <w:rPr>
                <w:rFonts w:hint="eastAsia"/>
                <w:color w:val="auto"/>
                <w:sz w:val="24"/>
                <w:szCs w:val="24"/>
                <w:lang w:val="en-US" w:eastAsia="zh-CN"/>
              </w:rPr>
              <w:t>1.2</w:t>
            </w:r>
            <w:r>
              <w:rPr>
                <w:color w:val="auto"/>
                <w:sz w:val="24"/>
                <w:szCs w:val="24"/>
              </w:rPr>
              <w:t>t/a</w:t>
            </w:r>
            <w:r>
              <w:rPr>
                <w:rFonts w:hint="eastAsia"/>
                <w:color w:val="auto"/>
                <w:sz w:val="24"/>
                <w:szCs w:val="24"/>
              </w:rPr>
              <w:t>。本环评建议在</w:t>
            </w:r>
            <w:r>
              <w:rPr>
                <w:rFonts w:hint="eastAsia"/>
                <w:color w:val="auto"/>
                <w:sz w:val="24"/>
                <w:szCs w:val="24"/>
                <w:lang w:val="en-US" w:eastAsia="zh-CN"/>
              </w:rPr>
              <w:t>密闭的破碎间进行作业</w:t>
            </w:r>
            <w:r>
              <w:rPr>
                <w:rFonts w:hint="eastAsia"/>
                <w:color w:val="auto"/>
                <w:sz w:val="24"/>
                <w:szCs w:val="24"/>
                <w:lang w:eastAsia="zh-CN"/>
              </w:rPr>
              <w:t>，</w:t>
            </w:r>
            <w:r>
              <w:rPr>
                <w:rFonts w:hint="eastAsia" w:cs="Times New Roman"/>
                <w:color w:val="auto"/>
                <w:sz w:val="24"/>
                <w:szCs w:val="24"/>
                <w:lang w:val="en-US" w:eastAsia="zh-CN"/>
              </w:rPr>
              <w:t>破碎机</w:t>
            </w:r>
            <w:r>
              <w:rPr>
                <w:rFonts w:hint="eastAsia"/>
                <w:color w:val="auto"/>
                <w:sz w:val="24"/>
                <w:szCs w:val="24"/>
              </w:rPr>
              <w:t>上</w:t>
            </w:r>
            <w:r>
              <w:rPr>
                <w:rFonts w:hint="eastAsia"/>
                <w:color w:val="auto"/>
                <w:sz w:val="24"/>
                <w:szCs w:val="24"/>
                <w:lang w:val="en-US" w:eastAsia="zh-CN"/>
              </w:rPr>
              <w:t>方</w:t>
            </w:r>
            <w:r>
              <w:rPr>
                <w:rFonts w:hint="eastAsia"/>
                <w:color w:val="auto"/>
                <w:sz w:val="24"/>
                <w:szCs w:val="24"/>
              </w:rPr>
              <w:t>安装集气装置+</w:t>
            </w:r>
            <w:r>
              <w:rPr>
                <w:rFonts w:hint="eastAsia"/>
                <w:color w:val="auto"/>
                <w:sz w:val="24"/>
                <w:szCs w:val="24"/>
                <w:lang w:eastAsia="zh-CN"/>
              </w:rPr>
              <w:t>布袋收尘器</w:t>
            </w:r>
            <w:r>
              <w:rPr>
                <w:rFonts w:hint="eastAsia"/>
                <w:color w:val="auto"/>
                <w:sz w:val="24"/>
                <w:szCs w:val="24"/>
              </w:rPr>
              <w:t>收集</w:t>
            </w:r>
            <w:r>
              <w:rPr>
                <w:rFonts w:hint="eastAsia"/>
                <w:color w:val="auto"/>
                <w:sz w:val="24"/>
                <w:szCs w:val="24"/>
                <w:lang w:val="en-US" w:eastAsia="zh-CN"/>
              </w:rPr>
              <w:t>后回用于生产</w:t>
            </w:r>
            <w:r>
              <w:rPr>
                <w:rFonts w:hint="eastAsia"/>
                <w:color w:val="auto"/>
                <w:sz w:val="24"/>
                <w:szCs w:val="24"/>
              </w:rPr>
              <w:t>，</w:t>
            </w:r>
            <w:r>
              <w:rPr>
                <w:rFonts w:hint="eastAsia"/>
                <w:color w:val="auto"/>
                <w:sz w:val="24"/>
                <w:szCs w:val="24"/>
                <w:lang w:val="en-US" w:eastAsia="zh-CN"/>
              </w:rPr>
              <w:t>集气罩</w:t>
            </w:r>
            <w:r>
              <w:rPr>
                <w:rFonts w:hint="eastAsia"/>
                <w:color w:val="auto"/>
                <w:sz w:val="24"/>
                <w:szCs w:val="24"/>
              </w:rPr>
              <w:t>收集效率可达</w:t>
            </w:r>
            <w:r>
              <w:rPr>
                <w:color w:val="auto"/>
                <w:sz w:val="24"/>
                <w:szCs w:val="24"/>
              </w:rPr>
              <w:t>9</w:t>
            </w:r>
            <w:r>
              <w:rPr>
                <w:rFonts w:hint="eastAsia"/>
                <w:color w:val="auto"/>
                <w:sz w:val="24"/>
                <w:szCs w:val="24"/>
                <w:lang w:val="en-US" w:eastAsia="zh-CN"/>
              </w:rPr>
              <w:t>0</w:t>
            </w:r>
            <w:r>
              <w:rPr>
                <w:color w:val="auto"/>
                <w:sz w:val="24"/>
                <w:szCs w:val="24"/>
              </w:rPr>
              <w:t>%</w:t>
            </w:r>
            <w:r>
              <w:rPr>
                <w:rFonts w:hint="eastAsia"/>
                <w:color w:val="auto"/>
                <w:sz w:val="24"/>
                <w:szCs w:val="24"/>
              </w:rPr>
              <w:t>以上，</w:t>
            </w:r>
            <w:r>
              <w:rPr>
                <w:rFonts w:hint="eastAsia"/>
                <w:color w:val="auto"/>
                <w:sz w:val="24"/>
                <w:szCs w:val="24"/>
                <w:lang w:eastAsia="zh-CN"/>
              </w:rPr>
              <w:t>布袋收尘器</w:t>
            </w:r>
            <w:r>
              <w:rPr>
                <w:rFonts w:hint="eastAsia"/>
                <w:color w:val="auto"/>
                <w:sz w:val="24"/>
                <w:szCs w:val="24"/>
              </w:rPr>
              <w:t>粉尘去除率可达</w:t>
            </w:r>
            <w:r>
              <w:rPr>
                <w:color w:val="auto"/>
                <w:sz w:val="24"/>
                <w:szCs w:val="24"/>
              </w:rPr>
              <w:t>9</w:t>
            </w:r>
            <w:r>
              <w:rPr>
                <w:rFonts w:hint="eastAsia"/>
                <w:color w:val="auto"/>
                <w:sz w:val="24"/>
                <w:szCs w:val="24"/>
                <w:lang w:val="en-US" w:eastAsia="zh-CN"/>
              </w:rPr>
              <w:t>9</w:t>
            </w:r>
            <w:r>
              <w:rPr>
                <w:color w:val="auto"/>
                <w:sz w:val="24"/>
                <w:szCs w:val="24"/>
              </w:rPr>
              <w:t>%</w:t>
            </w:r>
            <w:r>
              <w:rPr>
                <w:rFonts w:hint="eastAsia"/>
                <w:color w:val="auto"/>
                <w:sz w:val="24"/>
                <w:szCs w:val="24"/>
              </w:rPr>
              <w:t>以上，</w:t>
            </w:r>
            <w:r>
              <w:rPr>
                <w:rFonts w:hint="eastAsia" w:ascii="Times New Roman" w:hAnsi="Times New Roman" w:eastAsia="宋体" w:cs="Times New Roman"/>
                <w:bCs/>
                <w:color w:val="auto"/>
                <w:sz w:val="24"/>
                <w:szCs w:val="24"/>
                <w:lang w:val="en-US" w:eastAsia="zh-CN"/>
              </w:rPr>
              <w:t>本项目破碎工序年生产时间约</w:t>
            </w:r>
            <w:r>
              <w:rPr>
                <w:rFonts w:hint="eastAsia" w:cs="Times New Roman"/>
                <w:bCs/>
                <w:color w:val="auto"/>
                <w:sz w:val="24"/>
                <w:szCs w:val="24"/>
                <w:lang w:val="en-US" w:eastAsia="zh-CN"/>
              </w:rPr>
              <w:t>2</w:t>
            </w:r>
            <w:r>
              <w:rPr>
                <w:rFonts w:hint="eastAsia" w:ascii="Times New Roman" w:hAnsi="Times New Roman" w:eastAsia="宋体" w:cs="Times New Roman"/>
                <w:bCs/>
                <w:color w:val="auto"/>
                <w:sz w:val="24"/>
                <w:szCs w:val="24"/>
                <w:lang w:val="en-US" w:eastAsia="zh-CN"/>
              </w:rPr>
              <w:t>00h</w:t>
            </w:r>
            <w:r>
              <w:rPr>
                <w:rFonts w:hint="eastAsia" w:cs="Times New Roman"/>
                <w:bCs/>
                <w:color w:val="auto"/>
                <w:sz w:val="24"/>
                <w:szCs w:val="24"/>
                <w:lang w:val="en-US" w:eastAsia="zh-CN"/>
              </w:rPr>
              <w:t>，风机风量为3000</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vertAlign w:val="baseline"/>
                <w:lang w:val="en-US" w:eastAsia="zh-CN"/>
              </w:rPr>
              <w:t>/h，</w:t>
            </w:r>
            <w:r>
              <w:rPr>
                <w:rFonts w:hint="eastAsia"/>
                <w:color w:val="auto"/>
                <w:sz w:val="24"/>
                <w:szCs w:val="24"/>
              </w:rPr>
              <w:t>经收集的粉尘由</w:t>
            </w:r>
            <w:r>
              <w:rPr>
                <w:rFonts w:hint="eastAsia"/>
                <w:color w:val="auto"/>
                <w:sz w:val="24"/>
                <w:szCs w:val="24"/>
                <w:lang w:eastAsia="zh-CN"/>
              </w:rPr>
              <w:t>布袋收尘器</w:t>
            </w:r>
            <w:r>
              <w:rPr>
                <w:rFonts w:hint="eastAsia"/>
                <w:color w:val="auto"/>
                <w:sz w:val="24"/>
                <w:szCs w:val="24"/>
              </w:rPr>
              <w:t>处理后</w:t>
            </w:r>
            <w:r>
              <w:rPr>
                <w:rFonts w:hint="eastAsia"/>
                <w:color w:val="auto"/>
                <w:sz w:val="24"/>
                <w:szCs w:val="24"/>
                <w:lang w:val="en-US" w:eastAsia="zh-CN"/>
              </w:rPr>
              <w:t>回用于生产，布袋收尘器收集的粉尘量约为1.07</w:t>
            </w:r>
            <w:r>
              <w:rPr>
                <w:color w:val="auto"/>
                <w:sz w:val="24"/>
                <w:szCs w:val="24"/>
              </w:rPr>
              <w:t>t/a</w:t>
            </w:r>
            <w:r>
              <w:rPr>
                <w:rFonts w:hint="eastAsia"/>
                <w:color w:val="auto"/>
                <w:sz w:val="24"/>
                <w:szCs w:val="24"/>
                <w:lang w:eastAsia="zh-CN"/>
              </w:rPr>
              <w:t>，</w:t>
            </w:r>
            <w:r>
              <w:rPr>
                <w:rFonts w:hint="eastAsia"/>
                <w:color w:val="auto"/>
                <w:sz w:val="24"/>
                <w:szCs w:val="24"/>
                <w:lang w:val="en-US" w:eastAsia="zh-CN"/>
              </w:rPr>
              <w:t>收集后回用于生产。</w:t>
            </w:r>
            <w:r>
              <w:rPr>
                <w:rFonts w:hint="eastAsia"/>
                <w:color w:val="auto"/>
                <w:sz w:val="24"/>
                <w:szCs w:val="24"/>
              </w:rPr>
              <w:t>则未经收集以无组织形式排放的粉尘量为</w:t>
            </w:r>
            <w:r>
              <w:rPr>
                <w:rFonts w:hint="eastAsia"/>
                <w:color w:val="auto"/>
                <w:sz w:val="24"/>
                <w:szCs w:val="24"/>
                <w:lang w:val="en-US" w:eastAsia="zh-CN"/>
              </w:rPr>
              <w:t>0.13</w:t>
            </w:r>
            <w:r>
              <w:rPr>
                <w:color w:val="auto"/>
                <w:sz w:val="24"/>
                <w:szCs w:val="24"/>
              </w:rPr>
              <w:t>t/a</w:t>
            </w:r>
            <w:r>
              <w:rPr>
                <w:rFonts w:hint="eastAsia"/>
                <w:color w:val="auto"/>
                <w:sz w:val="24"/>
                <w:szCs w:val="24"/>
              </w:rPr>
              <w:t>（</w:t>
            </w:r>
            <w:r>
              <w:rPr>
                <w:rFonts w:hint="eastAsia"/>
                <w:color w:val="auto"/>
                <w:sz w:val="24"/>
                <w:szCs w:val="24"/>
                <w:lang w:val="en-US" w:eastAsia="zh-CN"/>
              </w:rPr>
              <w:t>0.65</w:t>
            </w:r>
            <w:r>
              <w:rPr>
                <w:color w:val="auto"/>
                <w:sz w:val="24"/>
                <w:szCs w:val="24"/>
              </w:rPr>
              <w:t>kg/h</w:t>
            </w:r>
            <w:r>
              <w:rPr>
                <w:rFonts w:hint="eastAsia"/>
                <w:color w:val="auto"/>
                <w:sz w:val="24"/>
                <w:szCs w:val="24"/>
              </w:rPr>
              <w:t>）</w:t>
            </w:r>
            <w:r>
              <w:rPr>
                <w:rFonts w:hint="eastAsia" w:ascii="Times New Roman" w:hAnsi="Times New Roman" w:eastAsia="宋体" w:cs="Times New Roman"/>
                <w:color w:val="auto"/>
                <w:sz w:val="24"/>
                <w:szCs w:val="24"/>
                <w:vertAlign w:val="baseline"/>
                <w:lang w:val="en-US" w:eastAsia="zh-CN"/>
              </w:rPr>
              <w:t>。</w:t>
            </w:r>
          </w:p>
          <w:p w14:paraId="4D829F1D">
            <w:pPr>
              <w:numPr>
                <w:ilvl w:val="0"/>
                <w:numId w:val="0"/>
              </w:numPr>
              <w:spacing w:line="360" w:lineRule="auto"/>
              <w:ind w:firstLine="480" w:firstLineChars="200"/>
              <w:jc w:val="both"/>
              <w:rPr>
                <w:rFonts w:hint="eastAsia" w:ascii="Times New Roman" w:hAnsi="Times New Roman" w:eastAsia="宋体" w:cs="Times New Roman"/>
                <w:b w:val="0"/>
                <w:bCs w:val="0"/>
                <w:color w:val="auto"/>
                <w:kern w:val="2"/>
                <w:sz w:val="24"/>
                <w:szCs w:val="24"/>
                <w:lang w:val="en-US" w:eastAsia="zh-CN" w:bidi="ar"/>
              </w:rPr>
            </w:pPr>
            <w:r>
              <w:rPr>
                <w:rFonts w:hint="default" w:ascii="Times New Roman" w:hAnsi="Times New Roman" w:eastAsia="宋体" w:cs="Times New Roman"/>
                <w:b w:val="0"/>
                <w:bCs w:val="0"/>
                <w:color w:val="auto"/>
                <w:kern w:val="2"/>
                <w:sz w:val="24"/>
                <w:szCs w:val="24"/>
                <w:lang w:val="en-US" w:eastAsia="zh-CN" w:bidi="ar"/>
              </w:rPr>
              <w:t>③</w:t>
            </w:r>
            <w:r>
              <w:rPr>
                <w:rFonts w:hint="eastAsia" w:ascii="Times New Roman" w:hAnsi="Times New Roman" w:eastAsia="宋体" w:cs="Times New Roman"/>
                <w:b w:val="0"/>
                <w:bCs w:val="0"/>
                <w:color w:val="auto"/>
                <w:kern w:val="2"/>
                <w:sz w:val="24"/>
                <w:szCs w:val="24"/>
                <w:lang w:val="en-US" w:eastAsia="zh-CN" w:bidi="ar"/>
              </w:rPr>
              <w:t>食堂油烟</w:t>
            </w:r>
          </w:p>
          <w:p w14:paraId="3A6FCCA7">
            <w:pPr>
              <w:numPr>
                <w:ilvl w:val="0"/>
                <w:numId w:val="0"/>
              </w:numPr>
              <w:spacing w:line="360" w:lineRule="auto"/>
              <w:ind w:firstLine="480" w:firstLineChars="200"/>
              <w:jc w:val="both"/>
              <w:rPr>
                <w:rFonts w:hint="eastAsia"/>
                <w:sz w:val="24"/>
              </w:rPr>
            </w:pPr>
            <w:r>
              <w:rPr>
                <w:rFonts w:hint="default"/>
                <w:sz w:val="24"/>
              </w:rPr>
              <w:t>项目劳动定员</w:t>
            </w:r>
            <w:r>
              <w:rPr>
                <w:rFonts w:hint="eastAsia"/>
                <w:sz w:val="24"/>
                <w:lang w:val="en-US" w:eastAsia="zh-CN"/>
              </w:rPr>
              <w:t>20</w:t>
            </w:r>
            <w:r>
              <w:rPr>
                <w:rFonts w:hint="default"/>
                <w:sz w:val="24"/>
              </w:rPr>
              <w:t>人</w:t>
            </w:r>
            <w:r>
              <w:rPr>
                <w:rFonts w:hint="eastAsia"/>
                <w:sz w:val="24"/>
              </w:rPr>
              <w:t>，</w:t>
            </w:r>
            <w:r>
              <w:rPr>
                <w:rFonts w:hint="eastAsia"/>
                <w:sz w:val="24"/>
                <w:lang w:val="en-US" w:eastAsia="zh-CN"/>
              </w:rPr>
              <w:t>提供20</w:t>
            </w:r>
            <w:r>
              <w:rPr>
                <w:rFonts w:hint="eastAsia"/>
                <w:sz w:val="24"/>
                <w:lang w:eastAsia="zh-CN"/>
              </w:rPr>
              <w:t>人</w:t>
            </w:r>
            <w:r>
              <w:rPr>
                <w:rFonts w:hint="eastAsia"/>
                <w:sz w:val="24"/>
              </w:rPr>
              <w:t>就餐。</w:t>
            </w:r>
            <w:r>
              <w:rPr>
                <w:rFonts w:hint="default"/>
                <w:sz w:val="24"/>
              </w:rPr>
              <w:t>烹饪、油炸食品过程中有大量餐饮油烟产生，主要由直径为10-7～10-9cm的不可见的微小油滴组成</w:t>
            </w:r>
            <w:r>
              <w:rPr>
                <w:rFonts w:hint="eastAsia"/>
                <w:sz w:val="24"/>
              </w:rPr>
              <w:t>，</w:t>
            </w:r>
            <w:r>
              <w:rPr>
                <w:rFonts w:hint="default"/>
                <w:sz w:val="24"/>
              </w:rPr>
              <w:t>每人食用油消耗量约25g/d，油烟产生率按5%，则食堂每天油烟产生量为</w:t>
            </w:r>
            <w:r>
              <w:rPr>
                <w:rFonts w:hint="eastAsia"/>
                <w:sz w:val="24"/>
                <w:lang w:val="en-US" w:eastAsia="zh-CN"/>
              </w:rPr>
              <w:t>25</w:t>
            </w:r>
            <w:r>
              <w:rPr>
                <w:rFonts w:hint="eastAsia"/>
                <w:sz w:val="24"/>
              </w:rPr>
              <w:t>g</w:t>
            </w:r>
            <w:r>
              <w:rPr>
                <w:rFonts w:hint="default"/>
                <w:sz w:val="24"/>
              </w:rPr>
              <w:t>/</w:t>
            </w:r>
            <w:r>
              <w:rPr>
                <w:rFonts w:hint="eastAsia"/>
                <w:sz w:val="24"/>
              </w:rPr>
              <w:t>d</w:t>
            </w:r>
            <w:r>
              <w:rPr>
                <w:rFonts w:hint="default"/>
                <w:sz w:val="24"/>
              </w:rPr>
              <w:t>，以每天平均烹调作业4小时计，对照《饮食业油烟排放标准（试行）》（GB18483-2001）中饮食业的规模划分本项目食堂属于</w:t>
            </w:r>
            <w:r>
              <w:rPr>
                <w:rFonts w:hint="eastAsia"/>
                <w:sz w:val="24"/>
                <w:lang w:eastAsia="zh-CN"/>
              </w:rPr>
              <w:t>中型</w:t>
            </w:r>
            <w:r>
              <w:rPr>
                <w:rFonts w:hint="default"/>
                <w:sz w:val="24"/>
              </w:rPr>
              <w:t>类</w:t>
            </w:r>
            <w:r>
              <w:rPr>
                <w:rFonts w:hint="eastAsia"/>
                <w:sz w:val="24"/>
              </w:rPr>
              <w:t>，</w:t>
            </w:r>
            <w:r>
              <w:rPr>
                <w:rFonts w:hint="default"/>
                <w:sz w:val="24"/>
              </w:rPr>
              <w:t>食堂操作间的油烟经排烟管道排往油烟净化器，食堂油烟净化器排风量为</w:t>
            </w:r>
            <w:r>
              <w:rPr>
                <w:rFonts w:hint="eastAsia"/>
                <w:sz w:val="24"/>
              </w:rPr>
              <w:t>5</w:t>
            </w:r>
            <w:r>
              <w:rPr>
                <w:rFonts w:hint="default"/>
                <w:sz w:val="24"/>
              </w:rPr>
              <w:t>000m</w:t>
            </w:r>
            <w:r>
              <w:rPr>
                <w:rFonts w:hint="default"/>
                <w:sz w:val="24"/>
                <w:vertAlign w:val="superscript"/>
              </w:rPr>
              <w:t>3</w:t>
            </w:r>
            <w:r>
              <w:rPr>
                <w:rFonts w:hint="default"/>
                <w:sz w:val="24"/>
              </w:rPr>
              <w:t>/h</w:t>
            </w:r>
            <w:r>
              <w:rPr>
                <w:rFonts w:hint="eastAsia"/>
                <w:sz w:val="24"/>
              </w:rPr>
              <w:t>，收集效率为90%</w:t>
            </w:r>
            <w:r>
              <w:rPr>
                <w:rFonts w:hint="default"/>
                <w:sz w:val="24"/>
              </w:rPr>
              <w:t>，由此可算出食堂的油烟产生浓度为</w:t>
            </w:r>
            <w:r>
              <w:rPr>
                <w:rFonts w:hint="eastAsia"/>
                <w:sz w:val="24"/>
                <w:lang w:val="en-US" w:eastAsia="zh-CN"/>
              </w:rPr>
              <w:t>1.25</w:t>
            </w:r>
            <w:r>
              <w:rPr>
                <w:rFonts w:hint="default"/>
                <w:sz w:val="24"/>
              </w:rPr>
              <w:t>mg/m</w:t>
            </w:r>
            <w:r>
              <w:rPr>
                <w:rFonts w:hint="default"/>
                <w:sz w:val="24"/>
                <w:vertAlign w:val="superscript"/>
              </w:rPr>
              <w:t>3</w:t>
            </w:r>
            <w:r>
              <w:rPr>
                <w:rFonts w:hint="default"/>
                <w:sz w:val="24"/>
              </w:rPr>
              <w:t>，油烟净化器油烟净化效率达</w:t>
            </w:r>
            <w:r>
              <w:rPr>
                <w:rFonts w:hint="eastAsia"/>
                <w:sz w:val="24"/>
              </w:rPr>
              <w:t>8</w:t>
            </w:r>
            <w:r>
              <w:rPr>
                <w:rFonts w:hint="default"/>
                <w:sz w:val="24"/>
              </w:rPr>
              <w:t>0%，则食堂的油烟排放浓度为</w:t>
            </w:r>
            <w:r>
              <w:rPr>
                <w:rFonts w:hint="eastAsia"/>
                <w:sz w:val="24"/>
              </w:rPr>
              <w:t>0.</w:t>
            </w:r>
            <w:r>
              <w:rPr>
                <w:rFonts w:hint="eastAsia"/>
                <w:sz w:val="24"/>
                <w:lang w:val="en-US" w:eastAsia="zh-CN"/>
              </w:rPr>
              <w:t>225</w:t>
            </w:r>
            <w:r>
              <w:rPr>
                <w:rFonts w:hint="default"/>
                <w:sz w:val="24"/>
              </w:rPr>
              <w:t>mg/m</w:t>
            </w:r>
            <w:r>
              <w:rPr>
                <w:rFonts w:hint="default"/>
                <w:sz w:val="24"/>
                <w:vertAlign w:val="superscript"/>
              </w:rPr>
              <w:t>3</w:t>
            </w:r>
            <w:r>
              <w:rPr>
                <w:rFonts w:hint="default"/>
                <w:sz w:val="24"/>
              </w:rPr>
              <w:t>，达到《饮食业油烟排放标准（试行）》（GB18483-2001）中最高允许排放浓度2.0mg/m</w:t>
            </w:r>
            <w:r>
              <w:rPr>
                <w:rFonts w:hint="default"/>
                <w:sz w:val="24"/>
                <w:vertAlign w:val="superscript"/>
              </w:rPr>
              <w:t>3</w:t>
            </w:r>
            <w:r>
              <w:rPr>
                <w:rFonts w:hint="default"/>
                <w:sz w:val="24"/>
              </w:rPr>
              <w:t>的规定</w:t>
            </w:r>
            <w:r>
              <w:rPr>
                <w:rFonts w:hint="eastAsia"/>
                <w:sz w:val="24"/>
                <w:lang w:eastAsia="zh-CN"/>
              </w:rPr>
              <w:t>，</w:t>
            </w:r>
            <w:r>
              <w:rPr>
                <w:rFonts w:hint="eastAsia"/>
                <w:sz w:val="24"/>
                <w:lang w:val="en-US" w:eastAsia="zh-CN"/>
              </w:rPr>
              <w:t>食堂油烟经油烟净化器处理后引致楼顶排放，对大气环境影响较小</w:t>
            </w:r>
            <w:r>
              <w:rPr>
                <w:rFonts w:hint="eastAsia"/>
                <w:sz w:val="24"/>
              </w:rPr>
              <w:t>。</w:t>
            </w:r>
          </w:p>
          <w:p w14:paraId="0E46110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项目废气产排情况汇总详见下表所示。</w:t>
            </w:r>
          </w:p>
        </w:tc>
      </w:tr>
    </w:tbl>
    <w:p w14:paraId="715CC771">
      <w:pPr>
        <w:jc w:val="center"/>
        <w:rPr>
          <w:rFonts w:hint="default"/>
        </w:rPr>
        <w:sectPr>
          <w:pgSz w:w="11906" w:h="16838"/>
          <w:pgMar w:top="1417" w:right="1417" w:bottom="1417" w:left="1417" w:header="851" w:footer="992" w:gutter="0"/>
          <w:pgNumType w:fmt="decimal"/>
          <w:cols w:space="720" w:num="1"/>
          <w:rtlGutter w:val="0"/>
          <w:docGrid w:type="lines" w:linePitch="312" w:charSpace="0"/>
        </w:sect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0"/>
        <w:gridCol w:w="13400"/>
      </w:tblGrid>
      <w:tr w14:paraId="41122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0" w:type="dxa"/>
          </w:tcPr>
          <w:p w14:paraId="4B77C5A7">
            <w:pPr>
              <w:adjustRightInd w:val="0"/>
              <w:snapToGrid w:val="0"/>
              <w:jc w:val="center"/>
              <w:rPr>
                <w:rFonts w:hint="eastAsia" w:ascii="宋体" w:hAnsi="宋体" w:cs="宋体"/>
                <w:bCs/>
                <w:color w:val="auto"/>
                <w:sz w:val="24"/>
                <w:szCs w:val="24"/>
              </w:rPr>
            </w:pPr>
            <w:r>
              <w:rPr>
                <w:rFonts w:hint="eastAsia" w:ascii="宋体" w:hAnsi="宋体" w:cs="宋体"/>
                <w:bCs/>
                <w:color w:val="auto"/>
                <w:sz w:val="24"/>
                <w:szCs w:val="24"/>
              </w:rPr>
              <w:t>运营</w:t>
            </w:r>
          </w:p>
          <w:p w14:paraId="4E9FAA71">
            <w:pPr>
              <w:adjustRightInd w:val="0"/>
              <w:snapToGrid w:val="0"/>
              <w:jc w:val="center"/>
              <w:rPr>
                <w:rFonts w:hint="eastAsia" w:ascii="宋体" w:hAnsi="宋体" w:cs="宋体"/>
                <w:bCs/>
                <w:color w:val="auto"/>
                <w:sz w:val="24"/>
                <w:szCs w:val="24"/>
              </w:rPr>
            </w:pPr>
            <w:r>
              <w:rPr>
                <w:rFonts w:hint="eastAsia" w:ascii="宋体" w:hAnsi="宋体" w:cs="宋体"/>
                <w:bCs/>
                <w:color w:val="auto"/>
                <w:sz w:val="24"/>
                <w:szCs w:val="24"/>
              </w:rPr>
              <w:t>期环</w:t>
            </w:r>
          </w:p>
          <w:p w14:paraId="262CED7B">
            <w:pPr>
              <w:adjustRightInd w:val="0"/>
              <w:snapToGrid w:val="0"/>
              <w:jc w:val="center"/>
              <w:rPr>
                <w:rFonts w:hint="eastAsia" w:ascii="宋体" w:hAnsi="宋体" w:cs="宋体"/>
                <w:bCs/>
                <w:color w:val="auto"/>
                <w:sz w:val="24"/>
                <w:szCs w:val="24"/>
              </w:rPr>
            </w:pPr>
            <w:r>
              <w:rPr>
                <w:rFonts w:hint="eastAsia" w:ascii="宋体" w:hAnsi="宋体" w:cs="宋体"/>
                <w:bCs/>
                <w:color w:val="auto"/>
                <w:sz w:val="24"/>
                <w:szCs w:val="24"/>
              </w:rPr>
              <w:t>境影</w:t>
            </w:r>
          </w:p>
          <w:p w14:paraId="0A3E94CE">
            <w:pPr>
              <w:adjustRightInd w:val="0"/>
              <w:snapToGrid w:val="0"/>
              <w:jc w:val="center"/>
              <w:rPr>
                <w:rFonts w:hint="eastAsia" w:ascii="宋体" w:hAnsi="宋体" w:cs="宋体"/>
                <w:bCs/>
                <w:color w:val="auto"/>
                <w:sz w:val="24"/>
                <w:szCs w:val="24"/>
              </w:rPr>
            </w:pPr>
            <w:r>
              <w:rPr>
                <w:rFonts w:hint="eastAsia" w:ascii="宋体" w:hAnsi="宋体" w:cs="宋体"/>
                <w:bCs/>
                <w:color w:val="auto"/>
                <w:sz w:val="24"/>
                <w:szCs w:val="24"/>
              </w:rPr>
              <w:t>响和</w:t>
            </w:r>
          </w:p>
          <w:p w14:paraId="53895F19">
            <w:pPr>
              <w:adjustRightInd w:val="0"/>
              <w:snapToGrid w:val="0"/>
              <w:jc w:val="center"/>
              <w:rPr>
                <w:rFonts w:hint="eastAsia" w:ascii="宋体" w:hAnsi="宋体" w:cs="宋体"/>
                <w:bCs/>
                <w:color w:val="auto"/>
                <w:sz w:val="24"/>
                <w:szCs w:val="24"/>
              </w:rPr>
            </w:pPr>
            <w:r>
              <w:rPr>
                <w:rFonts w:hint="eastAsia" w:ascii="宋体" w:hAnsi="宋体" w:cs="宋体"/>
                <w:bCs/>
                <w:color w:val="auto"/>
                <w:sz w:val="24"/>
                <w:szCs w:val="24"/>
              </w:rPr>
              <w:t>保护</w:t>
            </w:r>
          </w:p>
          <w:p w14:paraId="0F0756B4">
            <w:pPr>
              <w:pStyle w:val="16"/>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vertAlign w:val="baseline"/>
              </w:rPr>
            </w:pPr>
            <w:r>
              <w:rPr>
                <w:rFonts w:hint="eastAsia" w:ascii="宋体" w:hAnsi="宋体" w:cs="宋体"/>
                <w:bCs/>
                <w:color w:val="auto"/>
                <w:sz w:val="24"/>
                <w:szCs w:val="24"/>
              </w:rPr>
              <w:t>措施</w:t>
            </w:r>
          </w:p>
        </w:tc>
        <w:tc>
          <w:tcPr>
            <w:tcW w:w="13400" w:type="dxa"/>
          </w:tcPr>
          <w:p w14:paraId="781C260C">
            <w:pPr>
              <w:pStyle w:val="32"/>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jc w:val="center"/>
              <w:textAlignment w:val="auto"/>
              <w:rPr>
                <w:rFonts w:hint="eastAsia" w:ascii="Times New Roman" w:hAnsi="宋体" w:eastAsia="宋体" w:cs="Times New Roman"/>
                <w:b/>
                <w:bCs/>
                <w:color w:val="auto"/>
                <w:sz w:val="24"/>
                <w:szCs w:val="24"/>
              </w:rPr>
            </w:pPr>
            <w:r>
              <w:rPr>
                <w:rFonts w:ascii="Times New Roman" w:hAnsi="宋体" w:eastAsia="宋体" w:cs="Times New Roman"/>
                <w:b/>
                <w:bCs/>
                <w:color w:val="auto"/>
                <w:sz w:val="24"/>
                <w:szCs w:val="24"/>
              </w:rPr>
              <w:t>表</w:t>
            </w:r>
            <w:r>
              <w:rPr>
                <w:rFonts w:hint="eastAsia" w:ascii="Times New Roman" w:hAnsi="宋体" w:eastAsia="宋体" w:cs="Times New Roman"/>
                <w:b/>
                <w:bCs/>
                <w:color w:val="auto"/>
                <w:sz w:val="24"/>
                <w:szCs w:val="24"/>
                <w:lang w:val="en-US" w:eastAsia="zh-CN"/>
              </w:rPr>
              <w:t>4</w:t>
            </w:r>
            <w:r>
              <w:rPr>
                <w:rFonts w:ascii="Times New Roman" w:hAnsi="宋体" w:eastAsia="宋体" w:cs="Times New Roman"/>
                <w:b/>
                <w:bCs/>
                <w:color w:val="auto"/>
                <w:sz w:val="24"/>
                <w:szCs w:val="24"/>
              </w:rPr>
              <w:t>-</w:t>
            </w:r>
            <w:r>
              <w:rPr>
                <w:rFonts w:hint="eastAsia" w:ascii="Times New Roman" w:cs="Times New Roman"/>
                <w:b/>
                <w:bCs/>
                <w:color w:val="auto"/>
                <w:sz w:val="24"/>
                <w:szCs w:val="24"/>
                <w:lang w:val="en-US" w:eastAsia="zh-CN"/>
              </w:rPr>
              <w:t>5</w:t>
            </w:r>
            <w:r>
              <w:rPr>
                <w:rFonts w:hint="eastAsia" w:ascii="Times New Roman" w:hAnsi="宋体" w:eastAsia="宋体" w:cs="Times New Roman"/>
                <w:b/>
                <w:bCs/>
                <w:color w:val="auto"/>
                <w:sz w:val="24"/>
                <w:szCs w:val="24"/>
                <w:lang w:val="en-US" w:eastAsia="zh-CN"/>
              </w:rPr>
              <w:t xml:space="preserve">  </w:t>
            </w:r>
            <w:r>
              <w:rPr>
                <w:rFonts w:hint="eastAsia" w:ascii="Times New Roman" w:hAnsi="宋体" w:eastAsia="宋体" w:cs="Times New Roman"/>
                <w:b/>
                <w:bCs/>
                <w:color w:val="auto"/>
                <w:sz w:val="24"/>
                <w:szCs w:val="24"/>
              </w:rPr>
              <w:t>项目</w:t>
            </w:r>
            <w:r>
              <w:rPr>
                <w:rFonts w:hint="eastAsia" w:ascii="Times New Roman" w:hAnsi="宋体" w:eastAsia="宋体" w:cs="Times New Roman"/>
                <w:b/>
                <w:bCs/>
                <w:color w:val="auto"/>
                <w:sz w:val="24"/>
                <w:szCs w:val="24"/>
                <w:lang w:val="en-US" w:eastAsia="zh-CN"/>
              </w:rPr>
              <w:t>有机</w:t>
            </w:r>
            <w:r>
              <w:rPr>
                <w:rFonts w:ascii="Times New Roman" w:hAnsi="宋体" w:eastAsia="宋体" w:cs="Times New Roman"/>
                <w:b/>
                <w:bCs/>
                <w:color w:val="auto"/>
                <w:sz w:val="24"/>
                <w:szCs w:val="24"/>
              </w:rPr>
              <w:t>废气污染物</w:t>
            </w:r>
            <w:r>
              <w:rPr>
                <w:rFonts w:hint="eastAsia" w:ascii="Times New Roman" w:hAnsi="宋体" w:eastAsia="宋体" w:cs="Times New Roman"/>
                <w:b/>
                <w:bCs/>
                <w:color w:val="auto"/>
                <w:sz w:val="24"/>
                <w:szCs w:val="24"/>
              </w:rPr>
              <w:t>有组织产排情况表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9"/>
              <w:gridCol w:w="1146"/>
              <w:gridCol w:w="741"/>
              <w:gridCol w:w="794"/>
              <w:gridCol w:w="866"/>
              <w:gridCol w:w="843"/>
              <w:gridCol w:w="2991"/>
              <w:gridCol w:w="774"/>
              <w:gridCol w:w="820"/>
              <w:gridCol w:w="1052"/>
              <w:gridCol w:w="815"/>
              <w:gridCol w:w="722"/>
              <w:gridCol w:w="596"/>
            </w:tblGrid>
            <w:tr w14:paraId="688BF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2" w:hRule="atLeast"/>
                <w:jc w:val="center"/>
              </w:trPr>
              <w:tc>
                <w:tcPr>
                  <w:tcW w:w="383" w:type="pct"/>
                  <w:vMerge w:val="restart"/>
                  <w:noWrap w:val="0"/>
                  <w:vAlign w:val="center"/>
                </w:tcPr>
                <w:p w14:paraId="1A674D58">
                  <w:pPr>
                    <w:spacing w:line="240" w:lineRule="auto"/>
                    <w:ind w:left="-120" w:leftChars="-50" w:right="-120" w:rightChars="-50"/>
                    <w:jc w:val="center"/>
                    <w:rPr>
                      <w:rFonts w:hint="eastAsia" w:hAnsi="宋体"/>
                      <w:b w:val="0"/>
                      <w:bCs/>
                      <w:color w:val="auto"/>
                      <w:sz w:val="21"/>
                      <w:szCs w:val="21"/>
                    </w:rPr>
                  </w:pPr>
                  <w:r>
                    <w:rPr>
                      <w:rFonts w:hint="eastAsia" w:hAnsi="宋体"/>
                      <w:b w:val="0"/>
                      <w:bCs/>
                      <w:color w:val="auto"/>
                      <w:sz w:val="21"/>
                      <w:szCs w:val="21"/>
                    </w:rPr>
                    <w:t>产排污环节</w:t>
                  </w:r>
                </w:p>
              </w:tc>
              <w:tc>
                <w:tcPr>
                  <w:tcW w:w="435" w:type="pct"/>
                  <w:vMerge w:val="restart"/>
                  <w:noWrap w:val="0"/>
                  <w:vAlign w:val="center"/>
                </w:tcPr>
                <w:p w14:paraId="4674477E">
                  <w:pPr>
                    <w:spacing w:line="240" w:lineRule="auto"/>
                    <w:ind w:left="-120" w:leftChars="-50" w:right="-120" w:rightChars="-50"/>
                    <w:jc w:val="center"/>
                    <w:rPr>
                      <w:rFonts w:hint="eastAsia" w:hAnsi="宋体"/>
                      <w:b w:val="0"/>
                      <w:bCs/>
                      <w:color w:val="auto"/>
                      <w:sz w:val="21"/>
                      <w:szCs w:val="21"/>
                    </w:rPr>
                  </w:pPr>
                  <w:r>
                    <w:rPr>
                      <w:rFonts w:hint="eastAsia" w:hAnsi="宋体"/>
                      <w:b w:val="0"/>
                      <w:bCs/>
                      <w:color w:val="auto"/>
                      <w:sz w:val="21"/>
                      <w:szCs w:val="21"/>
                    </w:rPr>
                    <w:t>污染物</w:t>
                  </w:r>
                </w:p>
                <w:p w14:paraId="58AF6EBB">
                  <w:pPr>
                    <w:spacing w:line="240" w:lineRule="auto"/>
                    <w:ind w:left="-120" w:leftChars="-50" w:right="-120" w:rightChars="-50"/>
                    <w:jc w:val="center"/>
                    <w:rPr>
                      <w:rFonts w:hint="eastAsia" w:hAnsi="宋体"/>
                      <w:b w:val="0"/>
                      <w:bCs/>
                      <w:color w:val="auto"/>
                      <w:sz w:val="21"/>
                      <w:szCs w:val="21"/>
                    </w:rPr>
                  </w:pPr>
                  <w:r>
                    <w:rPr>
                      <w:rFonts w:hint="eastAsia" w:hAnsi="宋体"/>
                      <w:b w:val="0"/>
                      <w:bCs/>
                      <w:color w:val="auto"/>
                      <w:sz w:val="21"/>
                      <w:szCs w:val="21"/>
                    </w:rPr>
                    <w:t>种类</w:t>
                  </w:r>
                </w:p>
              </w:tc>
              <w:tc>
                <w:tcPr>
                  <w:tcW w:w="281" w:type="pct"/>
                  <w:vMerge w:val="restart"/>
                  <w:noWrap w:val="0"/>
                  <w:vAlign w:val="center"/>
                </w:tcPr>
                <w:p w14:paraId="38BA3B65">
                  <w:pPr>
                    <w:spacing w:line="240" w:lineRule="auto"/>
                    <w:ind w:left="-120" w:leftChars="-50" w:right="-120" w:rightChars="-50"/>
                    <w:jc w:val="center"/>
                    <w:rPr>
                      <w:rFonts w:hint="eastAsia" w:hAnsi="宋体"/>
                      <w:b w:val="0"/>
                      <w:bCs/>
                      <w:color w:val="auto"/>
                      <w:sz w:val="21"/>
                      <w:szCs w:val="21"/>
                    </w:rPr>
                  </w:pPr>
                  <w:r>
                    <w:rPr>
                      <w:rFonts w:hint="eastAsia" w:hAnsi="宋体"/>
                      <w:b w:val="0"/>
                      <w:bCs/>
                      <w:color w:val="auto"/>
                      <w:sz w:val="21"/>
                      <w:szCs w:val="21"/>
                    </w:rPr>
                    <w:t>风量</w:t>
                  </w:r>
                </w:p>
                <w:p w14:paraId="4BBB3AB5">
                  <w:pPr>
                    <w:spacing w:line="240" w:lineRule="auto"/>
                    <w:ind w:left="-120" w:leftChars="-50" w:right="-120" w:rightChars="-50"/>
                    <w:jc w:val="center"/>
                    <w:rPr>
                      <w:rFonts w:hint="eastAsia" w:hAnsi="宋体"/>
                      <w:b w:val="0"/>
                      <w:bCs/>
                      <w:color w:val="auto"/>
                      <w:sz w:val="21"/>
                      <w:szCs w:val="21"/>
                    </w:rPr>
                  </w:pPr>
                  <w:r>
                    <w:rPr>
                      <w:rFonts w:hint="eastAsia" w:hAnsi="宋体"/>
                      <w:b w:val="0"/>
                      <w:bCs/>
                      <w:color w:val="auto"/>
                      <w:sz w:val="21"/>
                      <w:szCs w:val="21"/>
                    </w:rPr>
                    <w:t>m</w:t>
                  </w:r>
                  <w:r>
                    <w:rPr>
                      <w:rFonts w:hint="eastAsia" w:hAnsi="宋体"/>
                      <w:b w:val="0"/>
                      <w:bCs/>
                      <w:color w:val="auto"/>
                      <w:sz w:val="21"/>
                      <w:szCs w:val="21"/>
                      <w:vertAlign w:val="superscript"/>
                    </w:rPr>
                    <w:t>3</w:t>
                  </w:r>
                  <w:r>
                    <w:rPr>
                      <w:rFonts w:hint="eastAsia" w:hAnsi="宋体"/>
                      <w:b w:val="0"/>
                      <w:bCs/>
                      <w:color w:val="auto"/>
                      <w:sz w:val="21"/>
                      <w:szCs w:val="21"/>
                    </w:rPr>
                    <w:t>/h</w:t>
                  </w:r>
                </w:p>
              </w:tc>
              <w:tc>
                <w:tcPr>
                  <w:tcW w:w="949" w:type="pct"/>
                  <w:gridSpan w:val="3"/>
                  <w:noWrap w:val="0"/>
                  <w:vAlign w:val="center"/>
                </w:tcPr>
                <w:p w14:paraId="4B3F780E">
                  <w:pPr>
                    <w:spacing w:line="240" w:lineRule="auto"/>
                    <w:jc w:val="center"/>
                    <w:rPr>
                      <w:rFonts w:hint="eastAsia" w:hAnsi="宋体"/>
                      <w:b w:val="0"/>
                      <w:bCs/>
                      <w:color w:val="auto"/>
                      <w:sz w:val="21"/>
                      <w:szCs w:val="21"/>
                    </w:rPr>
                  </w:pPr>
                  <w:r>
                    <w:rPr>
                      <w:rFonts w:hint="eastAsia" w:hAnsi="宋体"/>
                      <w:b w:val="0"/>
                      <w:bCs/>
                      <w:color w:val="auto"/>
                      <w:sz w:val="21"/>
                      <w:szCs w:val="21"/>
                    </w:rPr>
                    <w:t>污染物</w:t>
                  </w:r>
                  <w:r>
                    <w:rPr>
                      <w:rFonts w:hint="eastAsia" w:hAnsi="宋体"/>
                      <w:b w:val="0"/>
                      <w:bCs/>
                      <w:color w:val="auto"/>
                      <w:sz w:val="21"/>
                      <w:szCs w:val="21"/>
                      <w:lang w:val="en-US" w:eastAsia="zh-CN"/>
                    </w:rPr>
                    <w:t>有组织</w:t>
                  </w:r>
                  <w:r>
                    <w:rPr>
                      <w:rFonts w:hint="eastAsia" w:hAnsi="宋体"/>
                      <w:b w:val="0"/>
                      <w:bCs/>
                      <w:color w:val="auto"/>
                      <w:sz w:val="21"/>
                      <w:szCs w:val="21"/>
                    </w:rPr>
                    <w:t>产生情况</w:t>
                  </w:r>
                </w:p>
              </w:tc>
              <w:tc>
                <w:tcPr>
                  <w:tcW w:w="1135" w:type="pct"/>
                  <w:vMerge w:val="restart"/>
                  <w:noWrap w:val="0"/>
                  <w:vAlign w:val="center"/>
                </w:tcPr>
                <w:p w14:paraId="41342C9B">
                  <w:pPr>
                    <w:spacing w:line="240" w:lineRule="auto"/>
                    <w:jc w:val="center"/>
                    <w:rPr>
                      <w:rFonts w:hint="eastAsia" w:hAnsi="宋体"/>
                      <w:b w:val="0"/>
                      <w:bCs/>
                      <w:color w:val="auto"/>
                      <w:sz w:val="21"/>
                      <w:szCs w:val="21"/>
                    </w:rPr>
                  </w:pPr>
                  <w:r>
                    <w:rPr>
                      <w:rFonts w:hint="eastAsia" w:hAnsi="宋体"/>
                      <w:b w:val="0"/>
                      <w:bCs/>
                      <w:color w:val="auto"/>
                      <w:sz w:val="21"/>
                      <w:szCs w:val="21"/>
                    </w:rPr>
                    <w:t>治理措施</w:t>
                  </w:r>
                </w:p>
              </w:tc>
              <w:tc>
                <w:tcPr>
                  <w:tcW w:w="294" w:type="pct"/>
                  <w:vMerge w:val="restart"/>
                  <w:noWrap w:val="0"/>
                  <w:vAlign w:val="center"/>
                </w:tcPr>
                <w:p w14:paraId="48A403B6">
                  <w:pPr>
                    <w:spacing w:line="240" w:lineRule="auto"/>
                    <w:ind w:left="-120" w:leftChars="-50" w:right="-120" w:rightChars="-50"/>
                    <w:jc w:val="center"/>
                    <w:rPr>
                      <w:rFonts w:hint="eastAsia" w:hAnsi="宋体"/>
                      <w:b w:val="0"/>
                      <w:bCs/>
                      <w:color w:val="auto"/>
                      <w:sz w:val="21"/>
                      <w:szCs w:val="21"/>
                    </w:rPr>
                  </w:pPr>
                  <w:r>
                    <w:rPr>
                      <w:rFonts w:hint="eastAsia" w:hAnsi="宋体"/>
                      <w:b w:val="0"/>
                      <w:bCs/>
                      <w:color w:val="auto"/>
                      <w:sz w:val="21"/>
                      <w:szCs w:val="21"/>
                      <w:lang w:val="en-US" w:eastAsia="zh-CN"/>
                    </w:rPr>
                    <w:t>收集</w:t>
                  </w:r>
                  <w:r>
                    <w:rPr>
                      <w:rFonts w:hint="eastAsia" w:hAnsi="宋体"/>
                      <w:b w:val="0"/>
                      <w:bCs/>
                      <w:color w:val="auto"/>
                      <w:sz w:val="21"/>
                      <w:szCs w:val="21"/>
                    </w:rPr>
                    <w:t>率</w:t>
                  </w:r>
                </w:p>
              </w:tc>
              <w:tc>
                <w:tcPr>
                  <w:tcW w:w="311" w:type="pct"/>
                  <w:vMerge w:val="restart"/>
                  <w:noWrap w:val="0"/>
                  <w:vAlign w:val="center"/>
                </w:tcPr>
                <w:p w14:paraId="590C929C">
                  <w:pPr>
                    <w:spacing w:line="240" w:lineRule="auto"/>
                    <w:ind w:left="-120" w:leftChars="-50" w:right="-120" w:rightChars="-50"/>
                    <w:jc w:val="center"/>
                    <w:rPr>
                      <w:rFonts w:hint="eastAsia" w:hAnsi="宋体"/>
                      <w:b w:val="0"/>
                      <w:bCs/>
                      <w:color w:val="auto"/>
                      <w:sz w:val="21"/>
                      <w:szCs w:val="21"/>
                    </w:rPr>
                  </w:pPr>
                  <w:r>
                    <w:rPr>
                      <w:rFonts w:hint="eastAsia" w:hAnsi="宋体"/>
                      <w:b w:val="0"/>
                      <w:bCs/>
                      <w:color w:val="auto"/>
                      <w:sz w:val="21"/>
                      <w:szCs w:val="21"/>
                    </w:rPr>
                    <w:t>去除率</w:t>
                  </w:r>
                </w:p>
              </w:tc>
              <w:tc>
                <w:tcPr>
                  <w:tcW w:w="982" w:type="pct"/>
                  <w:gridSpan w:val="3"/>
                  <w:noWrap w:val="0"/>
                  <w:vAlign w:val="center"/>
                </w:tcPr>
                <w:p w14:paraId="4C34549C">
                  <w:pPr>
                    <w:spacing w:line="240" w:lineRule="auto"/>
                    <w:jc w:val="center"/>
                    <w:rPr>
                      <w:rFonts w:hint="eastAsia" w:hAnsi="宋体"/>
                      <w:b w:val="0"/>
                      <w:bCs/>
                      <w:color w:val="auto"/>
                      <w:sz w:val="21"/>
                      <w:szCs w:val="21"/>
                    </w:rPr>
                  </w:pPr>
                  <w:r>
                    <w:rPr>
                      <w:rFonts w:hint="eastAsia" w:hAnsi="宋体"/>
                      <w:b w:val="0"/>
                      <w:bCs/>
                      <w:color w:val="auto"/>
                      <w:sz w:val="21"/>
                      <w:szCs w:val="21"/>
                    </w:rPr>
                    <w:t>污染物排放情况</w:t>
                  </w:r>
                </w:p>
              </w:tc>
              <w:tc>
                <w:tcPr>
                  <w:tcW w:w="226" w:type="pct"/>
                  <w:vMerge w:val="restart"/>
                  <w:noWrap w:val="0"/>
                  <w:vAlign w:val="center"/>
                </w:tcPr>
                <w:p w14:paraId="74E73AB3">
                  <w:pPr>
                    <w:spacing w:line="240" w:lineRule="auto"/>
                    <w:jc w:val="center"/>
                    <w:rPr>
                      <w:rFonts w:hint="eastAsia" w:hAnsi="宋体"/>
                      <w:b w:val="0"/>
                      <w:bCs/>
                      <w:color w:val="auto"/>
                      <w:sz w:val="21"/>
                      <w:szCs w:val="21"/>
                    </w:rPr>
                  </w:pPr>
                  <w:r>
                    <w:rPr>
                      <w:rFonts w:hint="eastAsia" w:hAnsi="宋体"/>
                      <w:b w:val="0"/>
                      <w:bCs/>
                      <w:color w:val="auto"/>
                      <w:sz w:val="21"/>
                      <w:szCs w:val="21"/>
                    </w:rPr>
                    <w:t>排气筒</w:t>
                  </w:r>
                </w:p>
              </w:tc>
            </w:tr>
            <w:tr w14:paraId="3E570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383" w:type="pct"/>
                  <w:vMerge w:val="continue"/>
                  <w:noWrap w:val="0"/>
                  <w:vAlign w:val="center"/>
                </w:tcPr>
                <w:p w14:paraId="0A4CFAC1">
                  <w:pPr>
                    <w:spacing w:line="240" w:lineRule="auto"/>
                    <w:ind w:left="-120" w:leftChars="-50" w:right="-120" w:rightChars="-50"/>
                    <w:jc w:val="center"/>
                    <w:rPr>
                      <w:rFonts w:hint="eastAsia" w:hAnsi="宋体"/>
                      <w:b w:val="0"/>
                      <w:bCs/>
                      <w:color w:val="auto"/>
                      <w:sz w:val="21"/>
                      <w:szCs w:val="21"/>
                    </w:rPr>
                  </w:pPr>
                </w:p>
              </w:tc>
              <w:tc>
                <w:tcPr>
                  <w:tcW w:w="435" w:type="pct"/>
                  <w:vMerge w:val="continue"/>
                  <w:noWrap w:val="0"/>
                  <w:vAlign w:val="center"/>
                </w:tcPr>
                <w:p w14:paraId="654AD228">
                  <w:pPr>
                    <w:spacing w:line="240" w:lineRule="auto"/>
                    <w:ind w:left="-120" w:leftChars="-50" w:right="-120" w:rightChars="-50"/>
                    <w:jc w:val="center"/>
                    <w:rPr>
                      <w:rFonts w:hint="eastAsia" w:hAnsi="宋体"/>
                      <w:b w:val="0"/>
                      <w:bCs/>
                      <w:color w:val="auto"/>
                      <w:sz w:val="21"/>
                      <w:szCs w:val="21"/>
                    </w:rPr>
                  </w:pPr>
                </w:p>
              </w:tc>
              <w:tc>
                <w:tcPr>
                  <w:tcW w:w="281" w:type="pct"/>
                  <w:vMerge w:val="continue"/>
                  <w:noWrap w:val="0"/>
                  <w:vAlign w:val="center"/>
                </w:tcPr>
                <w:p w14:paraId="2E303F7F">
                  <w:pPr>
                    <w:spacing w:line="240" w:lineRule="auto"/>
                    <w:jc w:val="center"/>
                    <w:rPr>
                      <w:rFonts w:hint="eastAsia" w:hAnsi="宋体"/>
                      <w:b w:val="0"/>
                      <w:bCs/>
                      <w:color w:val="auto"/>
                      <w:sz w:val="21"/>
                      <w:szCs w:val="21"/>
                    </w:rPr>
                  </w:pPr>
                </w:p>
              </w:tc>
              <w:tc>
                <w:tcPr>
                  <w:tcW w:w="301" w:type="pct"/>
                  <w:noWrap w:val="0"/>
                  <w:vAlign w:val="center"/>
                </w:tcPr>
                <w:p w14:paraId="773F27B9">
                  <w:pPr>
                    <w:spacing w:line="240" w:lineRule="auto"/>
                    <w:ind w:left="-72" w:leftChars="-30" w:right="-72" w:rightChars="-30"/>
                    <w:jc w:val="center"/>
                    <w:rPr>
                      <w:rFonts w:hint="eastAsia" w:hAnsi="宋体"/>
                      <w:b w:val="0"/>
                      <w:bCs/>
                      <w:color w:val="auto"/>
                      <w:sz w:val="21"/>
                      <w:szCs w:val="21"/>
                    </w:rPr>
                  </w:pPr>
                  <w:r>
                    <w:rPr>
                      <w:rFonts w:hint="eastAsia" w:hAnsi="宋体"/>
                      <w:b w:val="0"/>
                      <w:bCs/>
                      <w:color w:val="auto"/>
                      <w:sz w:val="21"/>
                      <w:szCs w:val="21"/>
                    </w:rPr>
                    <w:t>浓度</w:t>
                  </w:r>
                </w:p>
                <w:p w14:paraId="4758577B">
                  <w:pPr>
                    <w:spacing w:line="240" w:lineRule="auto"/>
                    <w:ind w:left="-72" w:leftChars="-30" w:right="-72" w:rightChars="-30"/>
                    <w:jc w:val="center"/>
                    <w:rPr>
                      <w:rFonts w:hint="eastAsia" w:hAnsi="宋体"/>
                      <w:b w:val="0"/>
                      <w:bCs/>
                      <w:color w:val="auto"/>
                      <w:sz w:val="21"/>
                      <w:szCs w:val="21"/>
                    </w:rPr>
                  </w:pPr>
                  <w:r>
                    <w:rPr>
                      <w:rFonts w:hint="eastAsia" w:hAnsi="宋体"/>
                      <w:b w:val="0"/>
                      <w:bCs/>
                      <w:color w:val="auto"/>
                      <w:sz w:val="21"/>
                      <w:szCs w:val="21"/>
                    </w:rPr>
                    <w:t>(mg/m</w:t>
                  </w:r>
                  <w:r>
                    <w:rPr>
                      <w:rFonts w:hint="eastAsia" w:hAnsi="宋体"/>
                      <w:b w:val="0"/>
                      <w:bCs/>
                      <w:color w:val="auto"/>
                      <w:sz w:val="21"/>
                      <w:szCs w:val="21"/>
                      <w:vertAlign w:val="superscript"/>
                    </w:rPr>
                    <w:t>3</w:t>
                  </w:r>
                  <w:r>
                    <w:rPr>
                      <w:rFonts w:hint="eastAsia" w:hAnsi="宋体"/>
                      <w:b w:val="0"/>
                      <w:bCs/>
                      <w:color w:val="auto"/>
                      <w:sz w:val="21"/>
                      <w:szCs w:val="21"/>
                    </w:rPr>
                    <w:t>)</w:t>
                  </w:r>
                </w:p>
              </w:tc>
              <w:tc>
                <w:tcPr>
                  <w:tcW w:w="328" w:type="pct"/>
                  <w:noWrap w:val="0"/>
                  <w:vAlign w:val="center"/>
                </w:tcPr>
                <w:p w14:paraId="152B62BD">
                  <w:pPr>
                    <w:spacing w:line="240" w:lineRule="auto"/>
                    <w:ind w:left="-72" w:leftChars="-30" w:right="-72" w:rightChars="-30"/>
                    <w:jc w:val="center"/>
                    <w:rPr>
                      <w:rFonts w:hint="eastAsia" w:hAnsi="宋体"/>
                      <w:b w:val="0"/>
                      <w:bCs/>
                      <w:color w:val="auto"/>
                      <w:sz w:val="21"/>
                      <w:szCs w:val="21"/>
                    </w:rPr>
                  </w:pPr>
                  <w:r>
                    <w:rPr>
                      <w:rFonts w:hint="eastAsia" w:hAnsi="宋体"/>
                      <w:b w:val="0"/>
                      <w:bCs/>
                      <w:color w:val="auto"/>
                      <w:sz w:val="21"/>
                      <w:szCs w:val="21"/>
                    </w:rPr>
                    <w:t>速率</w:t>
                  </w:r>
                </w:p>
                <w:p w14:paraId="20863C3A">
                  <w:pPr>
                    <w:spacing w:line="240" w:lineRule="auto"/>
                    <w:ind w:left="-72" w:leftChars="-30" w:right="-72" w:rightChars="-30"/>
                    <w:jc w:val="center"/>
                    <w:rPr>
                      <w:rFonts w:hAnsi="宋体"/>
                      <w:b w:val="0"/>
                      <w:bCs/>
                      <w:color w:val="auto"/>
                      <w:sz w:val="21"/>
                      <w:szCs w:val="21"/>
                    </w:rPr>
                  </w:pPr>
                  <w:r>
                    <w:rPr>
                      <w:rFonts w:hint="eastAsia" w:hAnsi="宋体"/>
                      <w:b w:val="0"/>
                      <w:bCs/>
                      <w:color w:val="auto"/>
                      <w:sz w:val="21"/>
                      <w:szCs w:val="21"/>
                    </w:rPr>
                    <w:t>（kg/h）</w:t>
                  </w:r>
                </w:p>
              </w:tc>
              <w:tc>
                <w:tcPr>
                  <w:tcW w:w="318" w:type="pct"/>
                  <w:noWrap w:val="0"/>
                  <w:vAlign w:val="center"/>
                </w:tcPr>
                <w:p w14:paraId="0A2E56F2">
                  <w:pPr>
                    <w:spacing w:line="240" w:lineRule="auto"/>
                    <w:ind w:left="-72" w:leftChars="-30" w:right="-72" w:rightChars="-30"/>
                    <w:jc w:val="center"/>
                    <w:rPr>
                      <w:rFonts w:hint="eastAsia" w:hAnsi="宋体"/>
                      <w:b w:val="0"/>
                      <w:bCs/>
                      <w:color w:val="auto"/>
                      <w:sz w:val="21"/>
                      <w:szCs w:val="21"/>
                    </w:rPr>
                  </w:pPr>
                  <w:r>
                    <w:rPr>
                      <w:rFonts w:hAnsi="宋体"/>
                      <w:b w:val="0"/>
                      <w:bCs/>
                      <w:color w:val="auto"/>
                      <w:sz w:val="21"/>
                      <w:szCs w:val="21"/>
                    </w:rPr>
                    <w:t>产生量</w:t>
                  </w:r>
                </w:p>
                <w:p w14:paraId="0AA6F951">
                  <w:pPr>
                    <w:spacing w:line="240" w:lineRule="auto"/>
                    <w:ind w:left="-72" w:leftChars="-30" w:right="-72" w:rightChars="-30"/>
                    <w:jc w:val="center"/>
                    <w:rPr>
                      <w:rFonts w:hint="eastAsia" w:hAnsi="宋体"/>
                      <w:b w:val="0"/>
                      <w:bCs/>
                      <w:color w:val="auto"/>
                      <w:sz w:val="21"/>
                      <w:szCs w:val="21"/>
                    </w:rPr>
                  </w:pPr>
                  <w:r>
                    <w:rPr>
                      <w:rFonts w:hint="eastAsia" w:hAnsi="宋体"/>
                      <w:b w:val="0"/>
                      <w:bCs/>
                      <w:color w:val="auto"/>
                      <w:sz w:val="21"/>
                      <w:szCs w:val="21"/>
                    </w:rPr>
                    <w:t>(</w:t>
                  </w:r>
                  <w:r>
                    <w:rPr>
                      <w:rFonts w:hAnsi="宋体"/>
                      <w:b w:val="0"/>
                      <w:bCs/>
                      <w:color w:val="auto"/>
                      <w:sz w:val="21"/>
                      <w:szCs w:val="21"/>
                    </w:rPr>
                    <w:t>t/a</w:t>
                  </w:r>
                  <w:r>
                    <w:rPr>
                      <w:rFonts w:hint="eastAsia" w:hAnsi="宋体"/>
                      <w:b w:val="0"/>
                      <w:bCs/>
                      <w:color w:val="auto"/>
                      <w:sz w:val="21"/>
                      <w:szCs w:val="21"/>
                    </w:rPr>
                    <w:t>)</w:t>
                  </w:r>
                </w:p>
              </w:tc>
              <w:tc>
                <w:tcPr>
                  <w:tcW w:w="1135" w:type="pct"/>
                  <w:vMerge w:val="continue"/>
                  <w:noWrap w:val="0"/>
                  <w:vAlign w:val="center"/>
                </w:tcPr>
                <w:p w14:paraId="2A800FFE">
                  <w:pPr>
                    <w:spacing w:line="240" w:lineRule="auto"/>
                    <w:ind w:left="-72" w:leftChars="-30" w:right="-72" w:rightChars="-30"/>
                    <w:jc w:val="center"/>
                    <w:rPr>
                      <w:rFonts w:hint="eastAsia" w:hAnsi="宋体"/>
                      <w:b w:val="0"/>
                      <w:bCs/>
                      <w:color w:val="auto"/>
                      <w:sz w:val="21"/>
                      <w:szCs w:val="21"/>
                    </w:rPr>
                  </w:pPr>
                </w:p>
              </w:tc>
              <w:tc>
                <w:tcPr>
                  <w:tcW w:w="294" w:type="pct"/>
                  <w:vMerge w:val="continue"/>
                  <w:noWrap w:val="0"/>
                  <w:vAlign w:val="center"/>
                </w:tcPr>
                <w:p w14:paraId="0ACAC2C1">
                  <w:pPr>
                    <w:spacing w:line="240" w:lineRule="auto"/>
                    <w:ind w:left="-120" w:leftChars="-50" w:right="-120" w:rightChars="-50"/>
                    <w:jc w:val="center"/>
                    <w:rPr>
                      <w:rFonts w:hint="eastAsia" w:hAnsi="宋体"/>
                      <w:b w:val="0"/>
                      <w:bCs/>
                      <w:color w:val="auto"/>
                      <w:sz w:val="21"/>
                      <w:szCs w:val="21"/>
                    </w:rPr>
                  </w:pPr>
                </w:p>
              </w:tc>
              <w:tc>
                <w:tcPr>
                  <w:tcW w:w="311" w:type="pct"/>
                  <w:vMerge w:val="continue"/>
                  <w:noWrap w:val="0"/>
                  <w:vAlign w:val="center"/>
                </w:tcPr>
                <w:p w14:paraId="575C77D6">
                  <w:pPr>
                    <w:spacing w:line="240" w:lineRule="auto"/>
                    <w:ind w:left="-120" w:leftChars="-50" w:right="-120" w:rightChars="-50"/>
                    <w:jc w:val="center"/>
                    <w:rPr>
                      <w:rFonts w:hint="eastAsia" w:hAnsi="宋体"/>
                      <w:b w:val="0"/>
                      <w:bCs/>
                      <w:color w:val="auto"/>
                      <w:sz w:val="21"/>
                      <w:szCs w:val="21"/>
                    </w:rPr>
                  </w:pPr>
                </w:p>
              </w:tc>
              <w:tc>
                <w:tcPr>
                  <w:tcW w:w="399" w:type="pct"/>
                  <w:noWrap w:val="0"/>
                  <w:vAlign w:val="center"/>
                </w:tcPr>
                <w:p w14:paraId="0446B10A">
                  <w:pPr>
                    <w:spacing w:line="240" w:lineRule="auto"/>
                    <w:ind w:left="-72" w:leftChars="-30" w:right="-72" w:rightChars="-30"/>
                    <w:jc w:val="center"/>
                    <w:rPr>
                      <w:rFonts w:hint="eastAsia" w:hAnsi="宋体"/>
                      <w:b w:val="0"/>
                      <w:bCs/>
                      <w:color w:val="auto"/>
                      <w:sz w:val="21"/>
                      <w:szCs w:val="21"/>
                    </w:rPr>
                  </w:pPr>
                  <w:r>
                    <w:rPr>
                      <w:rFonts w:hint="eastAsia" w:hAnsi="宋体"/>
                      <w:b w:val="0"/>
                      <w:bCs/>
                      <w:color w:val="auto"/>
                      <w:sz w:val="21"/>
                      <w:szCs w:val="21"/>
                    </w:rPr>
                    <w:t>浓度（mg/m</w:t>
                  </w:r>
                  <w:r>
                    <w:rPr>
                      <w:rFonts w:hint="eastAsia" w:hAnsi="宋体"/>
                      <w:b w:val="0"/>
                      <w:bCs/>
                      <w:color w:val="auto"/>
                      <w:sz w:val="21"/>
                      <w:szCs w:val="21"/>
                      <w:vertAlign w:val="superscript"/>
                    </w:rPr>
                    <w:t>3</w:t>
                  </w:r>
                  <w:r>
                    <w:rPr>
                      <w:rFonts w:hint="eastAsia" w:hAnsi="宋体"/>
                      <w:b w:val="0"/>
                      <w:bCs/>
                      <w:color w:val="auto"/>
                      <w:sz w:val="21"/>
                      <w:szCs w:val="21"/>
                    </w:rPr>
                    <w:t>）</w:t>
                  </w:r>
                </w:p>
              </w:tc>
              <w:tc>
                <w:tcPr>
                  <w:tcW w:w="309" w:type="pct"/>
                  <w:noWrap w:val="0"/>
                  <w:vAlign w:val="center"/>
                </w:tcPr>
                <w:p w14:paraId="7DC3C597">
                  <w:pPr>
                    <w:spacing w:line="240" w:lineRule="auto"/>
                    <w:ind w:left="-72" w:leftChars="-30" w:right="-72" w:rightChars="-30"/>
                    <w:jc w:val="center"/>
                    <w:rPr>
                      <w:rFonts w:hint="eastAsia" w:hAnsi="宋体"/>
                      <w:b w:val="0"/>
                      <w:bCs/>
                      <w:color w:val="auto"/>
                      <w:sz w:val="21"/>
                      <w:szCs w:val="21"/>
                    </w:rPr>
                  </w:pPr>
                  <w:r>
                    <w:rPr>
                      <w:rFonts w:hint="eastAsia" w:hAnsi="宋体"/>
                      <w:b w:val="0"/>
                      <w:bCs/>
                      <w:color w:val="auto"/>
                      <w:sz w:val="21"/>
                      <w:szCs w:val="21"/>
                    </w:rPr>
                    <w:t>速率</w:t>
                  </w:r>
                </w:p>
                <w:p w14:paraId="1B38CBB8">
                  <w:pPr>
                    <w:spacing w:line="240" w:lineRule="auto"/>
                    <w:ind w:left="-72" w:leftChars="-30" w:right="-72" w:rightChars="-30"/>
                    <w:jc w:val="center"/>
                    <w:rPr>
                      <w:rFonts w:hAnsi="宋体"/>
                      <w:b w:val="0"/>
                      <w:bCs/>
                      <w:color w:val="auto"/>
                      <w:sz w:val="21"/>
                      <w:szCs w:val="21"/>
                    </w:rPr>
                  </w:pPr>
                  <w:r>
                    <w:rPr>
                      <w:rFonts w:hint="eastAsia" w:hAnsi="宋体"/>
                      <w:b w:val="0"/>
                      <w:bCs/>
                      <w:color w:val="auto"/>
                      <w:sz w:val="21"/>
                      <w:szCs w:val="21"/>
                    </w:rPr>
                    <w:t>(kg/h)</w:t>
                  </w:r>
                </w:p>
              </w:tc>
              <w:tc>
                <w:tcPr>
                  <w:tcW w:w="274" w:type="pct"/>
                  <w:noWrap w:val="0"/>
                  <w:vAlign w:val="center"/>
                </w:tcPr>
                <w:p w14:paraId="13D3EF4A">
                  <w:pPr>
                    <w:spacing w:line="240" w:lineRule="auto"/>
                    <w:ind w:left="-72" w:leftChars="-30" w:right="-72" w:rightChars="-30"/>
                    <w:jc w:val="center"/>
                    <w:rPr>
                      <w:rFonts w:hint="eastAsia" w:hAnsi="宋体"/>
                      <w:b w:val="0"/>
                      <w:bCs/>
                      <w:color w:val="auto"/>
                      <w:sz w:val="21"/>
                      <w:szCs w:val="21"/>
                    </w:rPr>
                  </w:pPr>
                  <w:r>
                    <w:rPr>
                      <w:rFonts w:hint="eastAsia" w:hAnsi="宋体"/>
                      <w:b w:val="0"/>
                      <w:bCs/>
                      <w:color w:val="auto"/>
                      <w:sz w:val="21"/>
                      <w:szCs w:val="21"/>
                    </w:rPr>
                    <w:t>排放</w:t>
                  </w:r>
                  <w:r>
                    <w:rPr>
                      <w:rFonts w:hAnsi="宋体"/>
                      <w:b w:val="0"/>
                      <w:bCs/>
                      <w:color w:val="auto"/>
                      <w:sz w:val="21"/>
                      <w:szCs w:val="21"/>
                    </w:rPr>
                    <w:t>量</w:t>
                  </w:r>
                </w:p>
                <w:p w14:paraId="28B73C56">
                  <w:pPr>
                    <w:spacing w:line="240" w:lineRule="auto"/>
                    <w:ind w:left="-72" w:leftChars="-30" w:right="-72" w:rightChars="-30"/>
                    <w:jc w:val="center"/>
                    <w:rPr>
                      <w:rFonts w:hint="eastAsia" w:hAnsi="宋体"/>
                      <w:b w:val="0"/>
                      <w:bCs/>
                      <w:color w:val="auto"/>
                      <w:sz w:val="21"/>
                      <w:szCs w:val="21"/>
                    </w:rPr>
                  </w:pPr>
                  <w:r>
                    <w:rPr>
                      <w:rFonts w:hint="eastAsia" w:hAnsi="宋体"/>
                      <w:b w:val="0"/>
                      <w:bCs/>
                      <w:color w:val="auto"/>
                      <w:sz w:val="21"/>
                      <w:szCs w:val="21"/>
                    </w:rPr>
                    <w:t>(</w:t>
                  </w:r>
                  <w:r>
                    <w:rPr>
                      <w:rFonts w:hAnsi="宋体"/>
                      <w:b w:val="0"/>
                      <w:bCs/>
                      <w:color w:val="auto"/>
                      <w:sz w:val="21"/>
                      <w:szCs w:val="21"/>
                    </w:rPr>
                    <w:t>t/a</w:t>
                  </w:r>
                  <w:r>
                    <w:rPr>
                      <w:rFonts w:hint="eastAsia" w:hAnsi="宋体"/>
                      <w:b w:val="0"/>
                      <w:bCs/>
                      <w:color w:val="auto"/>
                      <w:sz w:val="21"/>
                      <w:szCs w:val="21"/>
                    </w:rPr>
                    <w:t>)</w:t>
                  </w:r>
                </w:p>
              </w:tc>
              <w:tc>
                <w:tcPr>
                  <w:tcW w:w="226" w:type="pct"/>
                  <w:vMerge w:val="continue"/>
                  <w:noWrap w:val="0"/>
                  <w:vAlign w:val="center"/>
                </w:tcPr>
                <w:p w14:paraId="17E52865">
                  <w:pPr>
                    <w:spacing w:line="360" w:lineRule="exact"/>
                    <w:ind w:left="-72" w:leftChars="-30" w:right="-72" w:rightChars="-30"/>
                    <w:jc w:val="center"/>
                    <w:rPr>
                      <w:rFonts w:hint="eastAsia" w:hAnsi="宋体"/>
                      <w:b w:val="0"/>
                      <w:bCs/>
                      <w:color w:val="auto"/>
                      <w:sz w:val="21"/>
                      <w:szCs w:val="21"/>
                    </w:rPr>
                  </w:pPr>
                </w:p>
              </w:tc>
            </w:tr>
            <w:tr w14:paraId="43A85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383" w:type="pct"/>
                  <w:noWrap w:val="0"/>
                  <w:vAlign w:val="center"/>
                </w:tcPr>
                <w:p w14:paraId="768E0D54">
                  <w:pPr>
                    <w:spacing w:line="240" w:lineRule="auto"/>
                    <w:ind w:left="-120" w:leftChars="-50" w:right="-120" w:rightChars="-50"/>
                    <w:jc w:val="center"/>
                    <w:rPr>
                      <w:rFonts w:hint="default" w:hAnsi="宋体"/>
                      <w:b w:val="0"/>
                      <w:bCs/>
                      <w:color w:val="auto"/>
                      <w:sz w:val="21"/>
                      <w:szCs w:val="21"/>
                      <w:lang w:val="en-US" w:eastAsia="zh-CN"/>
                    </w:rPr>
                  </w:pPr>
                  <w:bookmarkStart w:id="15" w:name="OLE_LINK13" w:colFirst="3" w:colLast="4"/>
                  <w:bookmarkStart w:id="16" w:name="OLE_LINK1" w:colFirst="4" w:colLast="5"/>
                  <w:r>
                    <w:rPr>
                      <w:rFonts w:hint="eastAsia" w:hAnsi="宋体"/>
                      <w:b w:val="0"/>
                      <w:bCs/>
                      <w:color w:val="auto"/>
                      <w:sz w:val="21"/>
                      <w:szCs w:val="21"/>
                      <w:lang w:val="en-US" w:eastAsia="zh-CN"/>
                    </w:rPr>
                    <w:t>挤塑、注塑、热熔焊接废气</w:t>
                  </w:r>
                </w:p>
              </w:tc>
              <w:tc>
                <w:tcPr>
                  <w:tcW w:w="435" w:type="pct"/>
                  <w:shd w:val="clear" w:color="auto" w:fill="auto"/>
                  <w:noWrap w:val="0"/>
                  <w:vAlign w:val="center"/>
                </w:tcPr>
                <w:p w14:paraId="25F7568D">
                  <w:pPr>
                    <w:widowControl/>
                    <w:jc w:val="center"/>
                    <w:textAlignment w:val="center"/>
                    <w:rPr>
                      <w:rFonts w:hint="eastAsia" w:ascii="Times New Roman" w:hAnsi="Times New Roman" w:eastAsia="宋体" w:cs="Times New Roman"/>
                      <w:b w:val="0"/>
                      <w:bCs/>
                      <w:color w:val="auto"/>
                      <w:sz w:val="21"/>
                      <w:szCs w:val="21"/>
                      <w:lang w:val="en-US" w:eastAsia="zh-CN" w:bidi="ar-SA"/>
                    </w:rPr>
                  </w:pPr>
                  <w:r>
                    <w:rPr>
                      <w:rFonts w:hint="eastAsia" w:hAnsi="宋体" w:eastAsia="宋体"/>
                      <w:b w:val="0"/>
                      <w:bCs/>
                      <w:color w:val="auto"/>
                      <w:sz w:val="21"/>
                      <w:szCs w:val="21"/>
                      <w:lang w:val="en-US" w:eastAsia="zh-CN"/>
                    </w:rPr>
                    <w:t>非甲烷总烃</w:t>
                  </w:r>
                </w:p>
              </w:tc>
              <w:tc>
                <w:tcPr>
                  <w:tcW w:w="281" w:type="pct"/>
                  <w:shd w:val="clear" w:color="auto" w:fill="auto"/>
                  <w:noWrap w:val="0"/>
                  <w:vAlign w:val="center"/>
                </w:tcPr>
                <w:p w14:paraId="57816D73">
                  <w:pPr>
                    <w:spacing w:line="360" w:lineRule="exact"/>
                    <w:jc w:val="center"/>
                    <w:rPr>
                      <w:rFonts w:hint="eastAsia" w:ascii="Times New Roman" w:hAnsi="宋体" w:eastAsia="宋体" w:cs="Times New Roman"/>
                      <w:b w:val="0"/>
                      <w:bCs/>
                      <w:color w:val="auto"/>
                      <w:sz w:val="21"/>
                      <w:szCs w:val="21"/>
                      <w:lang w:val="en-US" w:eastAsia="zh-CN" w:bidi="ar-SA"/>
                    </w:rPr>
                  </w:pPr>
                  <w:r>
                    <w:rPr>
                      <w:rFonts w:hint="eastAsia" w:hAnsi="宋体" w:cs="Times New Roman"/>
                      <w:b w:val="0"/>
                      <w:bCs/>
                      <w:color w:val="auto"/>
                      <w:sz w:val="21"/>
                      <w:szCs w:val="21"/>
                      <w:lang w:val="en-US" w:eastAsia="zh-CN"/>
                    </w:rPr>
                    <w:t>15000</w:t>
                  </w:r>
                </w:p>
              </w:tc>
              <w:tc>
                <w:tcPr>
                  <w:tcW w:w="794" w:type="dxa"/>
                  <w:shd w:val="clear" w:color="auto" w:fill="auto"/>
                  <w:noWrap w:val="0"/>
                  <w:vAlign w:val="center"/>
                </w:tcPr>
                <w:p w14:paraId="41C74979">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179.78 </w:t>
                  </w:r>
                </w:p>
              </w:tc>
              <w:tc>
                <w:tcPr>
                  <w:tcW w:w="866" w:type="dxa"/>
                  <w:shd w:val="clear" w:color="auto" w:fill="auto"/>
                  <w:noWrap w:val="0"/>
                  <w:vAlign w:val="center"/>
                </w:tcPr>
                <w:p w14:paraId="59BF1582">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2.6967</w:t>
                  </w:r>
                </w:p>
              </w:tc>
              <w:tc>
                <w:tcPr>
                  <w:tcW w:w="840" w:type="dxa"/>
                  <w:shd w:val="clear" w:color="auto" w:fill="auto"/>
                  <w:noWrap w:val="0"/>
                  <w:vAlign w:val="center"/>
                </w:tcPr>
                <w:p w14:paraId="3DF49F82">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8.0901</w:t>
                  </w:r>
                </w:p>
              </w:tc>
              <w:tc>
                <w:tcPr>
                  <w:tcW w:w="1135" w:type="pct"/>
                  <w:shd w:val="clear" w:color="auto" w:fill="auto"/>
                  <w:noWrap w:val="0"/>
                  <w:vAlign w:val="center"/>
                </w:tcPr>
                <w:p w14:paraId="25EF0FFD">
                  <w:pPr>
                    <w:spacing w:line="240" w:lineRule="auto"/>
                    <w:jc w:val="center"/>
                    <w:rPr>
                      <w:rFonts w:hint="default" w:ascii="Times New Roman" w:hAnsi="宋体" w:eastAsia="宋体" w:cs="Times New Roman"/>
                      <w:b w:val="0"/>
                      <w:bCs/>
                      <w:color w:val="auto"/>
                      <w:sz w:val="21"/>
                      <w:szCs w:val="21"/>
                      <w:lang w:val="en-US" w:eastAsia="zh-CN" w:bidi="ar-SA"/>
                    </w:rPr>
                  </w:pPr>
                  <w:r>
                    <w:rPr>
                      <w:rFonts w:hint="eastAsia" w:ascii="Times New Roman" w:hAnsi="Times New Roman" w:eastAsia="宋体" w:cs="Times New Roman"/>
                      <w:color w:val="auto"/>
                      <w:sz w:val="21"/>
                      <w:szCs w:val="21"/>
                      <w:highlight w:val="none"/>
                      <w:lang w:val="en-US" w:eastAsia="zh-CN"/>
                    </w:rPr>
                    <w:t>“</w:t>
                  </w:r>
                  <w:r>
                    <w:rPr>
                      <w:rFonts w:hint="eastAsia" w:ascii="Times New Roman" w:hAnsi="宋体" w:eastAsia="宋体" w:cs="Times New Roman"/>
                      <w:b w:val="0"/>
                      <w:bCs/>
                      <w:color w:val="auto"/>
                      <w:sz w:val="21"/>
                      <w:szCs w:val="21"/>
                      <w:lang w:val="en-US" w:eastAsia="zh-CN"/>
                    </w:rPr>
                    <w:t>集气罩+</w:t>
                  </w:r>
                  <w:r>
                    <w:rPr>
                      <w:rFonts w:hint="eastAsia" w:cs="Times New Roman"/>
                      <w:color w:val="auto"/>
                      <w:sz w:val="21"/>
                      <w:szCs w:val="21"/>
                      <w:highlight w:val="none"/>
                      <w:lang w:val="en-US" w:eastAsia="zh-CN"/>
                    </w:rPr>
                    <w:t>二级</w:t>
                  </w:r>
                  <w:r>
                    <w:rPr>
                      <w:rFonts w:hint="eastAsia" w:ascii="Times New Roman" w:hAnsi="Times New Roman" w:eastAsia="宋体" w:cs="Times New Roman"/>
                      <w:color w:val="auto"/>
                      <w:sz w:val="21"/>
                      <w:szCs w:val="21"/>
                      <w:highlight w:val="none"/>
                      <w:lang w:val="en-US" w:eastAsia="zh-CN"/>
                    </w:rPr>
                    <w:t>活性炭吸附”装置</w:t>
                  </w:r>
                  <w:r>
                    <w:rPr>
                      <w:rFonts w:hint="eastAsia" w:ascii="Times New Roman" w:hAnsi="宋体" w:eastAsia="宋体" w:cs="Times New Roman"/>
                      <w:b w:val="0"/>
                      <w:bCs/>
                      <w:color w:val="auto"/>
                      <w:sz w:val="21"/>
                      <w:szCs w:val="21"/>
                      <w:lang w:val="en-US" w:eastAsia="zh-CN"/>
                    </w:rPr>
                    <w:t>+15m排气筒DA001</w:t>
                  </w:r>
                </w:p>
              </w:tc>
              <w:tc>
                <w:tcPr>
                  <w:tcW w:w="294" w:type="pct"/>
                  <w:shd w:val="clear" w:color="auto" w:fill="auto"/>
                  <w:noWrap w:val="0"/>
                  <w:vAlign w:val="center"/>
                </w:tcPr>
                <w:p w14:paraId="031C0834">
                  <w:pPr>
                    <w:spacing w:line="360" w:lineRule="exact"/>
                    <w:jc w:val="center"/>
                    <w:rPr>
                      <w:rFonts w:hint="eastAsia" w:ascii="Times New Roman" w:hAnsi="宋体" w:eastAsia="宋体" w:cs="Times New Roman"/>
                      <w:b w:val="0"/>
                      <w:bCs/>
                      <w:color w:val="auto"/>
                      <w:sz w:val="21"/>
                      <w:szCs w:val="21"/>
                      <w:lang w:val="en-US" w:eastAsia="zh-CN" w:bidi="ar-SA"/>
                    </w:rPr>
                  </w:pPr>
                  <w:r>
                    <w:rPr>
                      <w:rFonts w:hint="eastAsia" w:ascii="Times New Roman" w:hAnsi="宋体" w:eastAsia="宋体" w:cs="Times New Roman"/>
                      <w:b w:val="0"/>
                      <w:bCs/>
                      <w:color w:val="auto"/>
                      <w:sz w:val="21"/>
                      <w:szCs w:val="21"/>
                      <w:lang w:val="en-US" w:eastAsia="zh-CN"/>
                    </w:rPr>
                    <w:t>89%</w:t>
                  </w:r>
                </w:p>
              </w:tc>
              <w:tc>
                <w:tcPr>
                  <w:tcW w:w="311" w:type="pct"/>
                  <w:shd w:val="clear" w:color="auto" w:fill="auto"/>
                  <w:noWrap w:val="0"/>
                  <w:vAlign w:val="center"/>
                </w:tcPr>
                <w:p w14:paraId="742F6CAE">
                  <w:pPr>
                    <w:spacing w:line="360" w:lineRule="exact"/>
                    <w:jc w:val="center"/>
                    <w:rPr>
                      <w:rFonts w:hint="eastAsia" w:ascii="Times New Roman" w:hAnsi="宋体" w:eastAsia="宋体" w:cs="Times New Roman"/>
                      <w:b w:val="0"/>
                      <w:bCs/>
                      <w:color w:val="auto"/>
                      <w:sz w:val="21"/>
                      <w:szCs w:val="21"/>
                      <w:lang w:val="en-US" w:eastAsia="zh-CN" w:bidi="ar-SA"/>
                    </w:rPr>
                  </w:pPr>
                  <w:r>
                    <w:rPr>
                      <w:rFonts w:hint="eastAsia" w:ascii="Times New Roman" w:hAnsi="宋体" w:eastAsia="宋体" w:cs="Times New Roman"/>
                      <w:b w:val="0"/>
                      <w:bCs/>
                      <w:color w:val="auto"/>
                      <w:sz w:val="21"/>
                      <w:szCs w:val="21"/>
                      <w:lang w:val="en-US" w:eastAsia="zh-CN"/>
                    </w:rPr>
                    <w:t>95%</w:t>
                  </w:r>
                </w:p>
              </w:tc>
              <w:tc>
                <w:tcPr>
                  <w:tcW w:w="1052" w:type="dxa"/>
                  <w:shd w:val="clear" w:color="auto" w:fill="auto"/>
                  <w:noWrap w:val="0"/>
                  <w:vAlign w:val="center"/>
                </w:tcPr>
                <w:p w14:paraId="6D2EF47B">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8.99 </w:t>
                  </w:r>
                </w:p>
              </w:tc>
              <w:tc>
                <w:tcPr>
                  <w:tcW w:w="815" w:type="dxa"/>
                  <w:shd w:val="clear" w:color="auto" w:fill="auto"/>
                  <w:noWrap w:val="0"/>
                  <w:vAlign w:val="center"/>
                </w:tcPr>
                <w:p w14:paraId="4BAE7D8E">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0.135 </w:t>
                  </w:r>
                </w:p>
              </w:tc>
              <w:tc>
                <w:tcPr>
                  <w:tcW w:w="722" w:type="dxa"/>
                  <w:shd w:val="clear" w:color="auto" w:fill="auto"/>
                  <w:noWrap w:val="0"/>
                  <w:vAlign w:val="center"/>
                </w:tcPr>
                <w:p w14:paraId="62547348">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0.405 </w:t>
                  </w:r>
                </w:p>
              </w:tc>
              <w:tc>
                <w:tcPr>
                  <w:tcW w:w="226" w:type="pct"/>
                  <w:shd w:val="clear" w:color="auto" w:fill="auto"/>
                  <w:noWrap w:val="0"/>
                  <w:vAlign w:val="center"/>
                </w:tcPr>
                <w:p w14:paraId="0F54335E">
                  <w:pPr>
                    <w:spacing w:line="360" w:lineRule="exact"/>
                    <w:ind w:left="-120" w:leftChars="-50" w:right="-120" w:rightChars="-50"/>
                    <w:jc w:val="center"/>
                    <w:rPr>
                      <w:rFonts w:hint="eastAsia" w:ascii="Times New Roman" w:hAnsi="Times New Roman" w:eastAsia="宋体" w:cs="Times New Roman"/>
                      <w:b w:val="0"/>
                      <w:bCs/>
                      <w:color w:val="auto"/>
                      <w:sz w:val="21"/>
                      <w:szCs w:val="21"/>
                      <w:lang w:val="en-US" w:eastAsia="en-US" w:bidi="ar-SA"/>
                    </w:rPr>
                  </w:pPr>
                  <w:r>
                    <w:rPr>
                      <w:rFonts w:hint="eastAsia"/>
                      <w:b w:val="0"/>
                      <w:bCs/>
                      <w:color w:val="auto"/>
                      <w:sz w:val="21"/>
                      <w:szCs w:val="21"/>
                    </w:rPr>
                    <w:t>DA00</w:t>
                  </w:r>
                  <w:r>
                    <w:rPr>
                      <w:rFonts w:hint="eastAsia"/>
                      <w:b w:val="0"/>
                      <w:bCs/>
                      <w:color w:val="auto"/>
                      <w:sz w:val="21"/>
                      <w:szCs w:val="21"/>
                      <w:lang w:val="en-US" w:eastAsia="zh-CN"/>
                    </w:rPr>
                    <w:t>1</w:t>
                  </w:r>
                </w:p>
              </w:tc>
            </w:tr>
            <w:bookmarkEnd w:id="15"/>
            <w:bookmarkEnd w:id="16"/>
          </w:tbl>
          <w:p w14:paraId="2BC0FE21">
            <w:pPr>
              <w:pStyle w:val="32"/>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1560" w:leftChars="0" w:firstLine="0" w:firstLineChars="0"/>
              <w:jc w:val="center"/>
              <w:textAlignment w:val="auto"/>
              <w:rPr>
                <w:rFonts w:hint="eastAsia" w:ascii="Times New Roman" w:cs="Times New Roman"/>
                <w:b/>
                <w:bCs/>
                <w:color w:val="auto"/>
                <w:sz w:val="21"/>
                <w:szCs w:val="21"/>
              </w:rPr>
            </w:pPr>
            <w:r>
              <w:rPr>
                <w:rFonts w:ascii="Times New Roman" w:cs="Times New Roman"/>
                <w:b/>
                <w:bCs/>
                <w:color w:val="auto"/>
                <w:sz w:val="24"/>
                <w:szCs w:val="24"/>
              </w:rPr>
              <w:t>表</w:t>
            </w:r>
            <w:r>
              <w:rPr>
                <w:rFonts w:hint="eastAsia" w:ascii="Times New Roman" w:cs="Times New Roman"/>
                <w:b/>
                <w:bCs/>
                <w:color w:val="auto"/>
                <w:sz w:val="24"/>
                <w:szCs w:val="24"/>
                <w:lang w:val="en-US" w:eastAsia="zh-CN"/>
              </w:rPr>
              <w:t>4</w:t>
            </w:r>
            <w:r>
              <w:rPr>
                <w:rFonts w:ascii="Times New Roman" w:cs="Times New Roman"/>
                <w:b/>
                <w:bCs/>
                <w:color w:val="auto"/>
                <w:sz w:val="24"/>
                <w:szCs w:val="24"/>
              </w:rPr>
              <w:t>-</w:t>
            </w:r>
            <w:r>
              <w:rPr>
                <w:rFonts w:hint="eastAsia" w:ascii="Times New Roman" w:cs="Times New Roman"/>
                <w:b/>
                <w:bCs/>
                <w:color w:val="auto"/>
                <w:sz w:val="24"/>
                <w:szCs w:val="24"/>
                <w:lang w:val="en-US" w:eastAsia="zh-CN"/>
              </w:rPr>
              <w:t xml:space="preserve">6  </w:t>
            </w:r>
            <w:r>
              <w:rPr>
                <w:rFonts w:hint="eastAsia" w:ascii="Times New Roman" w:cs="Times New Roman"/>
                <w:b/>
                <w:bCs/>
                <w:color w:val="auto"/>
                <w:sz w:val="24"/>
                <w:szCs w:val="24"/>
              </w:rPr>
              <w:t>项目</w:t>
            </w:r>
            <w:r>
              <w:rPr>
                <w:rFonts w:hint="eastAsia" w:ascii="Times New Roman" w:cs="Times New Roman"/>
                <w:b/>
                <w:bCs/>
                <w:color w:val="auto"/>
                <w:sz w:val="24"/>
                <w:szCs w:val="24"/>
                <w:lang w:val="en-US" w:eastAsia="zh-CN"/>
              </w:rPr>
              <w:t>有机废气</w:t>
            </w:r>
            <w:r>
              <w:rPr>
                <w:rFonts w:hint="eastAsia" w:ascii="Times New Roman" w:cs="Times New Roman"/>
                <w:b/>
                <w:bCs/>
                <w:color w:val="auto"/>
                <w:sz w:val="24"/>
                <w:szCs w:val="24"/>
              </w:rPr>
              <w:t>有组织</w:t>
            </w:r>
            <w:r>
              <w:rPr>
                <w:rFonts w:ascii="Times New Roman" w:cs="Times New Roman"/>
                <w:b/>
                <w:bCs/>
                <w:color w:val="auto"/>
                <w:sz w:val="24"/>
                <w:szCs w:val="24"/>
              </w:rPr>
              <w:t>废气</w:t>
            </w:r>
            <w:r>
              <w:rPr>
                <w:rFonts w:hint="eastAsia" w:ascii="Times New Roman" w:cs="Times New Roman"/>
                <w:b/>
                <w:bCs/>
                <w:color w:val="auto"/>
                <w:sz w:val="24"/>
                <w:szCs w:val="24"/>
              </w:rPr>
              <w:t>排放口基本情况表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4"/>
              <w:gridCol w:w="1033"/>
              <w:gridCol w:w="1239"/>
              <w:gridCol w:w="1157"/>
              <w:gridCol w:w="1020"/>
              <w:gridCol w:w="1434"/>
              <w:gridCol w:w="1376"/>
              <w:gridCol w:w="851"/>
              <w:gridCol w:w="875"/>
              <w:gridCol w:w="804"/>
              <w:gridCol w:w="1033"/>
              <w:gridCol w:w="1493"/>
            </w:tblGrid>
            <w:tr w14:paraId="08B0C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324" w:type="pct"/>
                  <w:vMerge w:val="restart"/>
                  <w:noWrap w:val="0"/>
                  <w:vAlign w:val="center"/>
                </w:tcPr>
                <w:p w14:paraId="2D0AD039">
                  <w:pPr>
                    <w:pStyle w:val="67"/>
                    <w:spacing w:line="320" w:lineRule="exact"/>
                    <w:ind w:left="-72" w:leftChars="-30" w:right="-72" w:rightChars="-30"/>
                    <w:rPr>
                      <w:rFonts w:hint="eastAsia"/>
                      <w:b w:val="0"/>
                      <w:bCs/>
                      <w:color w:val="auto"/>
                      <w:sz w:val="21"/>
                      <w:szCs w:val="21"/>
                    </w:rPr>
                  </w:pPr>
                  <w:r>
                    <w:rPr>
                      <w:rFonts w:hint="eastAsia"/>
                      <w:b w:val="0"/>
                      <w:bCs/>
                      <w:color w:val="auto"/>
                      <w:sz w:val="21"/>
                      <w:szCs w:val="21"/>
                    </w:rPr>
                    <w:t>排放口</w:t>
                  </w:r>
                </w:p>
                <w:p w14:paraId="7E16A8CA">
                  <w:pPr>
                    <w:pStyle w:val="67"/>
                    <w:spacing w:line="320" w:lineRule="exact"/>
                    <w:ind w:left="-72" w:leftChars="-30" w:right="-72" w:rightChars="-30"/>
                    <w:rPr>
                      <w:rFonts w:hint="eastAsia"/>
                      <w:b w:val="0"/>
                      <w:bCs/>
                      <w:color w:val="auto"/>
                      <w:sz w:val="21"/>
                      <w:szCs w:val="21"/>
                    </w:rPr>
                  </w:pPr>
                  <w:r>
                    <w:rPr>
                      <w:rFonts w:hint="eastAsia"/>
                      <w:b w:val="0"/>
                      <w:bCs/>
                      <w:color w:val="auto"/>
                      <w:sz w:val="21"/>
                      <w:szCs w:val="21"/>
                    </w:rPr>
                    <w:t>编号</w:t>
                  </w:r>
                </w:p>
              </w:tc>
              <w:tc>
                <w:tcPr>
                  <w:tcW w:w="392" w:type="pct"/>
                  <w:vMerge w:val="restart"/>
                  <w:noWrap w:val="0"/>
                  <w:vAlign w:val="center"/>
                </w:tcPr>
                <w:p w14:paraId="540C5310">
                  <w:pPr>
                    <w:pStyle w:val="67"/>
                    <w:spacing w:line="320" w:lineRule="exact"/>
                    <w:ind w:left="-72" w:leftChars="-30" w:right="-72" w:rightChars="-30"/>
                    <w:rPr>
                      <w:rFonts w:hint="eastAsia"/>
                      <w:b w:val="0"/>
                      <w:bCs/>
                      <w:color w:val="auto"/>
                      <w:sz w:val="21"/>
                      <w:szCs w:val="21"/>
                    </w:rPr>
                  </w:pPr>
                  <w:r>
                    <w:rPr>
                      <w:rFonts w:hint="eastAsia"/>
                      <w:b w:val="0"/>
                      <w:bCs/>
                      <w:color w:val="auto"/>
                      <w:sz w:val="21"/>
                      <w:szCs w:val="21"/>
                    </w:rPr>
                    <w:t>排放口</w:t>
                  </w:r>
                </w:p>
                <w:p w14:paraId="5FEE5CE8">
                  <w:pPr>
                    <w:pStyle w:val="67"/>
                    <w:spacing w:line="320" w:lineRule="exact"/>
                    <w:ind w:left="-72" w:leftChars="-30" w:right="-72" w:rightChars="-30"/>
                    <w:rPr>
                      <w:rFonts w:hint="eastAsia"/>
                      <w:b w:val="0"/>
                      <w:bCs/>
                      <w:color w:val="auto"/>
                      <w:sz w:val="21"/>
                      <w:szCs w:val="21"/>
                    </w:rPr>
                  </w:pPr>
                  <w:r>
                    <w:rPr>
                      <w:rFonts w:hint="eastAsia"/>
                      <w:b w:val="0"/>
                      <w:bCs/>
                      <w:color w:val="auto"/>
                      <w:sz w:val="21"/>
                      <w:szCs w:val="21"/>
                    </w:rPr>
                    <w:t>名称</w:t>
                  </w:r>
                </w:p>
              </w:tc>
              <w:tc>
                <w:tcPr>
                  <w:tcW w:w="909" w:type="pct"/>
                  <w:gridSpan w:val="2"/>
                  <w:noWrap w:val="0"/>
                  <w:vAlign w:val="center"/>
                </w:tcPr>
                <w:p w14:paraId="2E6D8ED2">
                  <w:pPr>
                    <w:pStyle w:val="67"/>
                    <w:spacing w:line="320" w:lineRule="exact"/>
                    <w:ind w:left="-72" w:leftChars="-30" w:right="-72" w:rightChars="-30"/>
                    <w:rPr>
                      <w:rFonts w:hint="eastAsia"/>
                      <w:b w:val="0"/>
                      <w:bCs/>
                      <w:color w:val="auto"/>
                      <w:sz w:val="21"/>
                      <w:szCs w:val="21"/>
                    </w:rPr>
                  </w:pPr>
                  <w:r>
                    <w:rPr>
                      <w:rFonts w:hint="eastAsia"/>
                      <w:b w:val="0"/>
                      <w:bCs/>
                      <w:color w:val="auto"/>
                      <w:sz w:val="21"/>
                      <w:szCs w:val="21"/>
                    </w:rPr>
                    <w:t>地理坐标</w:t>
                  </w:r>
                </w:p>
              </w:tc>
              <w:tc>
                <w:tcPr>
                  <w:tcW w:w="387" w:type="pct"/>
                  <w:vMerge w:val="restart"/>
                  <w:tcBorders>
                    <w:right w:val="single" w:color="auto" w:sz="6" w:space="0"/>
                  </w:tcBorders>
                  <w:noWrap w:val="0"/>
                  <w:vAlign w:val="center"/>
                </w:tcPr>
                <w:p w14:paraId="597EADE7">
                  <w:pPr>
                    <w:pStyle w:val="67"/>
                    <w:spacing w:line="320" w:lineRule="exact"/>
                    <w:ind w:right="-72" w:rightChars="-30"/>
                    <w:rPr>
                      <w:rFonts w:hint="eastAsia"/>
                      <w:b w:val="0"/>
                      <w:bCs/>
                      <w:color w:val="auto"/>
                      <w:sz w:val="21"/>
                      <w:szCs w:val="21"/>
                    </w:rPr>
                  </w:pPr>
                  <w:r>
                    <w:rPr>
                      <w:rFonts w:hint="eastAsia"/>
                      <w:b w:val="0"/>
                      <w:bCs/>
                      <w:color w:val="auto"/>
                      <w:sz w:val="21"/>
                      <w:szCs w:val="21"/>
                    </w:rPr>
                    <w:t>污染物</w:t>
                  </w:r>
                </w:p>
              </w:tc>
              <w:tc>
                <w:tcPr>
                  <w:tcW w:w="1066" w:type="pct"/>
                  <w:gridSpan w:val="2"/>
                  <w:noWrap w:val="0"/>
                  <w:vAlign w:val="center"/>
                </w:tcPr>
                <w:p w14:paraId="1B9B9670">
                  <w:pPr>
                    <w:pStyle w:val="67"/>
                    <w:spacing w:line="320" w:lineRule="exact"/>
                    <w:ind w:left="-72" w:leftChars="-30" w:right="-72" w:rightChars="-30"/>
                    <w:rPr>
                      <w:b w:val="0"/>
                      <w:bCs/>
                      <w:color w:val="auto"/>
                      <w:sz w:val="21"/>
                      <w:szCs w:val="21"/>
                    </w:rPr>
                  </w:pPr>
                  <w:r>
                    <w:rPr>
                      <w:b w:val="0"/>
                      <w:bCs/>
                      <w:color w:val="auto"/>
                      <w:sz w:val="21"/>
                      <w:szCs w:val="21"/>
                    </w:rPr>
                    <w:t>排放标准</w:t>
                  </w:r>
                </w:p>
              </w:tc>
              <w:tc>
                <w:tcPr>
                  <w:tcW w:w="960" w:type="pct"/>
                  <w:gridSpan w:val="3"/>
                  <w:noWrap w:val="0"/>
                  <w:vAlign w:val="center"/>
                </w:tcPr>
                <w:p w14:paraId="3838431B">
                  <w:pPr>
                    <w:pStyle w:val="67"/>
                    <w:spacing w:line="320" w:lineRule="exact"/>
                    <w:ind w:left="-72" w:leftChars="-30" w:right="-72" w:rightChars="-30"/>
                    <w:rPr>
                      <w:b w:val="0"/>
                      <w:bCs/>
                      <w:color w:val="auto"/>
                      <w:sz w:val="21"/>
                      <w:szCs w:val="21"/>
                    </w:rPr>
                  </w:pPr>
                  <w:r>
                    <w:rPr>
                      <w:b w:val="0"/>
                      <w:bCs/>
                      <w:color w:val="auto"/>
                      <w:sz w:val="21"/>
                      <w:szCs w:val="21"/>
                    </w:rPr>
                    <w:t>排气筒参数</w:t>
                  </w:r>
                </w:p>
              </w:tc>
              <w:tc>
                <w:tcPr>
                  <w:tcW w:w="392" w:type="pct"/>
                  <w:vMerge w:val="restart"/>
                  <w:noWrap w:val="0"/>
                  <w:vAlign w:val="center"/>
                </w:tcPr>
                <w:p w14:paraId="7127D72D">
                  <w:pPr>
                    <w:pStyle w:val="67"/>
                    <w:spacing w:line="320" w:lineRule="exact"/>
                    <w:ind w:left="-72" w:leftChars="-30" w:right="-72" w:rightChars="-30"/>
                    <w:rPr>
                      <w:b w:val="0"/>
                      <w:bCs/>
                      <w:color w:val="auto"/>
                      <w:sz w:val="21"/>
                      <w:szCs w:val="21"/>
                    </w:rPr>
                  </w:pPr>
                  <w:r>
                    <w:rPr>
                      <w:b w:val="0"/>
                      <w:bCs/>
                      <w:color w:val="auto"/>
                      <w:sz w:val="21"/>
                      <w:szCs w:val="21"/>
                    </w:rPr>
                    <w:t>达标</w:t>
                  </w:r>
                </w:p>
                <w:p w14:paraId="2CE4CA11">
                  <w:pPr>
                    <w:pStyle w:val="67"/>
                    <w:spacing w:line="320" w:lineRule="exact"/>
                    <w:ind w:left="-72" w:leftChars="-30" w:right="-72" w:rightChars="-30"/>
                    <w:rPr>
                      <w:b w:val="0"/>
                      <w:bCs/>
                      <w:color w:val="auto"/>
                      <w:sz w:val="21"/>
                      <w:szCs w:val="21"/>
                    </w:rPr>
                  </w:pPr>
                  <w:r>
                    <w:rPr>
                      <w:b w:val="0"/>
                      <w:bCs/>
                      <w:color w:val="auto"/>
                      <w:sz w:val="21"/>
                      <w:szCs w:val="21"/>
                    </w:rPr>
                    <w:t>情况</w:t>
                  </w:r>
                </w:p>
              </w:tc>
              <w:tc>
                <w:tcPr>
                  <w:tcW w:w="566" w:type="pct"/>
                  <w:vMerge w:val="restart"/>
                  <w:noWrap w:val="0"/>
                  <w:vAlign w:val="center"/>
                </w:tcPr>
                <w:p w14:paraId="76D969E9">
                  <w:pPr>
                    <w:pStyle w:val="67"/>
                    <w:spacing w:line="320" w:lineRule="exact"/>
                    <w:ind w:left="-72" w:leftChars="-30" w:right="-72" w:rightChars="-30"/>
                    <w:rPr>
                      <w:rFonts w:hint="eastAsia"/>
                      <w:b w:val="0"/>
                      <w:bCs/>
                      <w:color w:val="auto"/>
                      <w:sz w:val="21"/>
                      <w:szCs w:val="21"/>
                    </w:rPr>
                  </w:pPr>
                  <w:r>
                    <w:rPr>
                      <w:rFonts w:hint="eastAsia"/>
                      <w:b w:val="0"/>
                      <w:bCs/>
                      <w:color w:val="auto"/>
                      <w:sz w:val="21"/>
                      <w:szCs w:val="21"/>
                    </w:rPr>
                    <w:t>排放口</w:t>
                  </w:r>
                </w:p>
                <w:p w14:paraId="726DA34E">
                  <w:pPr>
                    <w:pStyle w:val="67"/>
                    <w:spacing w:line="320" w:lineRule="exact"/>
                    <w:ind w:left="-72" w:leftChars="-30" w:right="-72" w:rightChars="-30"/>
                    <w:rPr>
                      <w:rFonts w:hint="eastAsia"/>
                      <w:b w:val="0"/>
                      <w:bCs/>
                      <w:color w:val="auto"/>
                      <w:sz w:val="21"/>
                      <w:szCs w:val="21"/>
                    </w:rPr>
                  </w:pPr>
                  <w:r>
                    <w:rPr>
                      <w:rFonts w:hint="eastAsia"/>
                      <w:b w:val="0"/>
                      <w:bCs/>
                      <w:color w:val="auto"/>
                      <w:sz w:val="21"/>
                      <w:szCs w:val="21"/>
                    </w:rPr>
                    <w:t>类型</w:t>
                  </w:r>
                </w:p>
              </w:tc>
            </w:tr>
            <w:tr w14:paraId="16CF7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324" w:type="pct"/>
                  <w:vMerge w:val="continue"/>
                  <w:noWrap w:val="0"/>
                  <w:vAlign w:val="center"/>
                </w:tcPr>
                <w:p w14:paraId="58270186">
                  <w:pPr>
                    <w:pStyle w:val="67"/>
                    <w:spacing w:line="320" w:lineRule="exact"/>
                    <w:ind w:left="-72" w:leftChars="-30" w:right="-72" w:rightChars="-30"/>
                    <w:rPr>
                      <w:b w:val="0"/>
                      <w:bCs/>
                      <w:color w:val="auto"/>
                      <w:sz w:val="21"/>
                      <w:szCs w:val="21"/>
                    </w:rPr>
                  </w:pPr>
                </w:p>
              </w:tc>
              <w:tc>
                <w:tcPr>
                  <w:tcW w:w="392" w:type="pct"/>
                  <w:vMerge w:val="continue"/>
                  <w:noWrap w:val="0"/>
                  <w:vAlign w:val="center"/>
                </w:tcPr>
                <w:p w14:paraId="5DF2548D">
                  <w:pPr>
                    <w:pStyle w:val="67"/>
                    <w:spacing w:line="320" w:lineRule="exact"/>
                    <w:ind w:left="-72" w:leftChars="-30" w:right="-72" w:rightChars="-30"/>
                    <w:rPr>
                      <w:b w:val="0"/>
                      <w:bCs/>
                      <w:color w:val="auto"/>
                      <w:sz w:val="21"/>
                      <w:szCs w:val="21"/>
                    </w:rPr>
                  </w:pPr>
                </w:p>
              </w:tc>
              <w:tc>
                <w:tcPr>
                  <w:tcW w:w="470" w:type="pct"/>
                  <w:tcBorders>
                    <w:right w:val="single" w:color="auto" w:sz="6" w:space="0"/>
                  </w:tcBorders>
                  <w:noWrap w:val="0"/>
                  <w:vAlign w:val="center"/>
                </w:tcPr>
                <w:p w14:paraId="313A90B8">
                  <w:pPr>
                    <w:pStyle w:val="67"/>
                    <w:spacing w:line="320" w:lineRule="exact"/>
                    <w:ind w:left="-72" w:leftChars="-30" w:right="-72" w:rightChars="-30"/>
                    <w:rPr>
                      <w:rFonts w:hint="eastAsia"/>
                      <w:b w:val="0"/>
                      <w:bCs/>
                      <w:color w:val="auto"/>
                      <w:sz w:val="21"/>
                      <w:szCs w:val="21"/>
                    </w:rPr>
                  </w:pPr>
                  <w:r>
                    <w:rPr>
                      <w:rFonts w:hint="eastAsia"/>
                      <w:b w:val="0"/>
                      <w:bCs/>
                      <w:color w:val="auto"/>
                      <w:sz w:val="21"/>
                      <w:szCs w:val="21"/>
                    </w:rPr>
                    <w:t>经度/E</w:t>
                  </w:r>
                </w:p>
              </w:tc>
              <w:tc>
                <w:tcPr>
                  <w:tcW w:w="439" w:type="pct"/>
                  <w:tcBorders>
                    <w:left w:val="single" w:color="auto" w:sz="6" w:space="0"/>
                  </w:tcBorders>
                  <w:noWrap w:val="0"/>
                  <w:vAlign w:val="center"/>
                </w:tcPr>
                <w:p w14:paraId="12E6CCDC">
                  <w:pPr>
                    <w:pStyle w:val="67"/>
                    <w:spacing w:line="320" w:lineRule="exact"/>
                    <w:ind w:left="-72" w:leftChars="-30" w:right="-72" w:rightChars="-30"/>
                    <w:rPr>
                      <w:rFonts w:hint="eastAsia"/>
                      <w:b w:val="0"/>
                      <w:bCs/>
                      <w:color w:val="auto"/>
                      <w:sz w:val="21"/>
                      <w:szCs w:val="21"/>
                    </w:rPr>
                  </w:pPr>
                  <w:r>
                    <w:rPr>
                      <w:rFonts w:hint="eastAsia"/>
                      <w:b w:val="0"/>
                      <w:bCs/>
                      <w:color w:val="auto"/>
                      <w:sz w:val="21"/>
                      <w:szCs w:val="21"/>
                    </w:rPr>
                    <w:t>纬度/N</w:t>
                  </w:r>
                </w:p>
              </w:tc>
              <w:tc>
                <w:tcPr>
                  <w:tcW w:w="387" w:type="pct"/>
                  <w:vMerge w:val="continue"/>
                  <w:tcBorders>
                    <w:right w:val="single" w:color="auto" w:sz="6" w:space="0"/>
                  </w:tcBorders>
                  <w:noWrap w:val="0"/>
                  <w:vAlign w:val="center"/>
                </w:tcPr>
                <w:p w14:paraId="59FB6A35">
                  <w:pPr>
                    <w:pStyle w:val="67"/>
                    <w:adjustRightInd w:val="0"/>
                    <w:spacing w:line="320" w:lineRule="exact"/>
                    <w:ind w:left="-72" w:leftChars="-30" w:right="-72" w:rightChars="-30"/>
                    <w:rPr>
                      <w:b w:val="0"/>
                      <w:bCs/>
                      <w:color w:val="auto"/>
                      <w:sz w:val="21"/>
                      <w:szCs w:val="21"/>
                    </w:rPr>
                  </w:pPr>
                </w:p>
              </w:tc>
              <w:tc>
                <w:tcPr>
                  <w:tcW w:w="544" w:type="pct"/>
                  <w:noWrap w:val="0"/>
                  <w:vAlign w:val="center"/>
                </w:tcPr>
                <w:p w14:paraId="789FB3D2">
                  <w:pPr>
                    <w:pStyle w:val="67"/>
                    <w:spacing w:line="320" w:lineRule="exact"/>
                    <w:ind w:left="-120" w:leftChars="-50" w:right="-120" w:rightChars="-50"/>
                    <w:rPr>
                      <w:rFonts w:hint="eastAsia" w:hAnsi="宋体"/>
                      <w:b w:val="0"/>
                      <w:bCs/>
                      <w:color w:val="auto"/>
                      <w:sz w:val="21"/>
                      <w:szCs w:val="21"/>
                    </w:rPr>
                  </w:pPr>
                  <w:r>
                    <w:rPr>
                      <w:rFonts w:hAnsi="宋体"/>
                      <w:b w:val="0"/>
                      <w:bCs/>
                      <w:color w:val="auto"/>
                      <w:sz w:val="21"/>
                      <w:szCs w:val="21"/>
                    </w:rPr>
                    <w:t>最高允许排放浓度</w:t>
                  </w:r>
                  <w:r>
                    <w:rPr>
                      <w:rFonts w:hint="eastAsia" w:hAnsi="宋体"/>
                      <w:b w:val="0"/>
                      <w:bCs/>
                      <w:color w:val="auto"/>
                      <w:sz w:val="21"/>
                      <w:szCs w:val="21"/>
                    </w:rPr>
                    <w:t>(</w:t>
                  </w:r>
                  <w:r>
                    <w:rPr>
                      <w:rFonts w:hAnsi="宋体"/>
                      <w:b w:val="0"/>
                      <w:bCs/>
                      <w:color w:val="auto"/>
                      <w:sz w:val="21"/>
                      <w:szCs w:val="21"/>
                    </w:rPr>
                    <w:t>mg/m</w:t>
                  </w:r>
                  <w:r>
                    <w:rPr>
                      <w:rFonts w:hAnsi="宋体"/>
                      <w:b w:val="0"/>
                      <w:bCs/>
                      <w:color w:val="auto"/>
                      <w:sz w:val="21"/>
                      <w:szCs w:val="21"/>
                      <w:vertAlign w:val="superscript"/>
                    </w:rPr>
                    <w:t>3</w:t>
                  </w:r>
                  <w:r>
                    <w:rPr>
                      <w:rFonts w:hint="eastAsia" w:hAnsi="宋体"/>
                      <w:b w:val="0"/>
                      <w:bCs/>
                      <w:color w:val="auto"/>
                      <w:sz w:val="21"/>
                      <w:szCs w:val="21"/>
                    </w:rPr>
                    <w:t>)</w:t>
                  </w:r>
                </w:p>
              </w:tc>
              <w:tc>
                <w:tcPr>
                  <w:tcW w:w="522" w:type="pct"/>
                  <w:noWrap w:val="0"/>
                  <w:vAlign w:val="center"/>
                </w:tcPr>
                <w:p w14:paraId="17AB4B68">
                  <w:pPr>
                    <w:pStyle w:val="67"/>
                    <w:spacing w:line="320" w:lineRule="exact"/>
                    <w:ind w:left="-120" w:leftChars="-50" w:right="-120" w:rightChars="-50"/>
                    <w:rPr>
                      <w:rFonts w:hint="eastAsia" w:hAnsi="宋体"/>
                      <w:b w:val="0"/>
                      <w:bCs/>
                      <w:color w:val="auto"/>
                      <w:sz w:val="21"/>
                      <w:szCs w:val="21"/>
                    </w:rPr>
                  </w:pPr>
                  <w:r>
                    <w:rPr>
                      <w:rFonts w:hint="eastAsia" w:hAnsi="宋体"/>
                      <w:b w:val="0"/>
                      <w:bCs/>
                      <w:color w:val="auto"/>
                      <w:sz w:val="21"/>
                      <w:szCs w:val="21"/>
                    </w:rPr>
                    <w:t>最高允许排放速率(kg/h)</w:t>
                  </w:r>
                </w:p>
              </w:tc>
              <w:tc>
                <w:tcPr>
                  <w:tcW w:w="323" w:type="pct"/>
                  <w:noWrap w:val="0"/>
                  <w:vAlign w:val="center"/>
                </w:tcPr>
                <w:p w14:paraId="6179F158">
                  <w:pPr>
                    <w:pStyle w:val="67"/>
                    <w:spacing w:line="320" w:lineRule="exact"/>
                    <w:ind w:left="-120" w:leftChars="-50" w:right="-120" w:rightChars="-50"/>
                    <w:rPr>
                      <w:rFonts w:hint="eastAsia"/>
                      <w:b w:val="0"/>
                      <w:bCs/>
                      <w:color w:val="auto"/>
                      <w:sz w:val="21"/>
                      <w:szCs w:val="21"/>
                    </w:rPr>
                  </w:pPr>
                  <w:r>
                    <w:rPr>
                      <w:b w:val="0"/>
                      <w:bCs/>
                      <w:color w:val="auto"/>
                      <w:sz w:val="21"/>
                      <w:szCs w:val="21"/>
                    </w:rPr>
                    <w:t>高度</w:t>
                  </w:r>
                </w:p>
                <w:p w14:paraId="04ED9C19">
                  <w:pPr>
                    <w:pStyle w:val="67"/>
                    <w:spacing w:line="320" w:lineRule="exact"/>
                    <w:ind w:left="-120" w:leftChars="-50" w:right="-120" w:rightChars="-50"/>
                    <w:rPr>
                      <w:rFonts w:hint="eastAsia"/>
                      <w:b w:val="0"/>
                      <w:bCs/>
                      <w:color w:val="auto"/>
                      <w:sz w:val="21"/>
                      <w:szCs w:val="21"/>
                    </w:rPr>
                  </w:pPr>
                  <w:r>
                    <w:rPr>
                      <w:rFonts w:hint="eastAsia"/>
                      <w:b w:val="0"/>
                      <w:bCs/>
                      <w:color w:val="auto"/>
                      <w:sz w:val="21"/>
                      <w:szCs w:val="21"/>
                    </w:rPr>
                    <w:t>(</w:t>
                  </w:r>
                  <w:r>
                    <w:rPr>
                      <w:b w:val="0"/>
                      <w:bCs/>
                      <w:color w:val="auto"/>
                      <w:sz w:val="21"/>
                      <w:szCs w:val="21"/>
                    </w:rPr>
                    <w:t>m</w:t>
                  </w:r>
                  <w:r>
                    <w:rPr>
                      <w:rFonts w:hint="eastAsia"/>
                      <w:b w:val="0"/>
                      <w:bCs/>
                      <w:color w:val="auto"/>
                      <w:sz w:val="21"/>
                      <w:szCs w:val="21"/>
                    </w:rPr>
                    <w:t>)</w:t>
                  </w:r>
                </w:p>
              </w:tc>
              <w:tc>
                <w:tcPr>
                  <w:tcW w:w="332" w:type="pct"/>
                  <w:noWrap w:val="0"/>
                  <w:vAlign w:val="center"/>
                </w:tcPr>
                <w:p w14:paraId="08F63E67">
                  <w:pPr>
                    <w:pStyle w:val="67"/>
                    <w:spacing w:line="320" w:lineRule="exact"/>
                    <w:ind w:left="-120" w:leftChars="-50" w:right="-120" w:rightChars="-50"/>
                    <w:rPr>
                      <w:b w:val="0"/>
                      <w:bCs/>
                      <w:color w:val="auto"/>
                      <w:sz w:val="21"/>
                      <w:szCs w:val="21"/>
                    </w:rPr>
                  </w:pPr>
                  <w:r>
                    <w:rPr>
                      <w:b w:val="0"/>
                      <w:bCs/>
                      <w:color w:val="auto"/>
                      <w:sz w:val="21"/>
                      <w:szCs w:val="21"/>
                    </w:rPr>
                    <w:t>内径</w:t>
                  </w:r>
                </w:p>
                <w:p w14:paraId="3319552B">
                  <w:pPr>
                    <w:pStyle w:val="67"/>
                    <w:spacing w:line="320" w:lineRule="exact"/>
                    <w:ind w:left="-120" w:leftChars="-50" w:right="-120" w:rightChars="-50"/>
                    <w:rPr>
                      <w:rFonts w:hint="eastAsia"/>
                      <w:b w:val="0"/>
                      <w:bCs/>
                      <w:color w:val="auto"/>
                      <w:sz w:val="21"/>
                      <w:szCs w:val="21"/>
                    </w:rPr>
                  </w:pPr>
                  <w:r>
                    <w:rPr>
                      <w:rFonts w:hint="eastAsia"/>
                      <w:b w:val="0"/>
                      <w:bCs/>
                      <w:color w:val="auto"/>
                      <w:sz w:val="21"/>
                      <w:szCs w:val="21"/>
                    </w:rPr>
                    <w:t>(</w:t>
                  </w:r>
                  <w:r>
                    <w:rPr>
                      <w:b w:val="0"/>
                      <w:bCs/>
                      <w:color w:val="auto"/>
                      <w:sz w:val="21"/>
                      <w:szCs w:val="21"/>
                    </w:rPr>
                    <w:t>m</w:t>
                  </w:r>
                  <w:r>
                    <w:rPr>
                      <w:rFonts w:hint="eastAsia"/>
                      <w:b w:val="0"/>
                      <w:bCs/>
                      <w:color w:val="auto"/>
                      <w:sz w:val="21"/>
                      <w:szCs w:val="21"/>
                    </w:rPr>
                    <w:t>)</w:t>
                  </w:r>
                </w:p>
              </w:tc>
              <w:tc>
                <w:tcPr>
                  <w:tcW w:w="305" w:type="pct"/>
                  <w:noWrap w:val="0"/>
                  <w:vAlign w:val="center"/>
                </w:tcPr>
                <w:p w14:paraId="6B7866DD">
                  <w:pPr>
                    <w:pStyle w:val="67"/>
                    <w:spacing w:line="320" w:lineRule="exact"/>
                    <w:ind w:left="-120" w:leftChars="-50" w:right="-120" w:rightChars="-50"/>
                    <w:rPr>
                      <w:b w:val="0"/>
                      <w:bCs/>
                      <w:color w:val="auto"/>
                      <w:sz w:val="21"/>
                      <w:szCs w:val="21"/>
                    </w:rPr>
                  </w:pPr>
                  <w:r>
                    <w:rPr>
                      <w:b w:val="0"/>
                      <w:bCs/>
                      <w:color w:val="auto"/>
                      <w:sz w:val="21"/>
                      <w:szCs w:val="21"/>
                    </w:rPr>
                    <w:t>温度</w:t>
                  </w:r>
                </w:p>
                <w:p w14:paraId="4EA52556">
                  <w:pPr>
                    <w:pStyle w:val="67"/>
                    <w:spacing w:line="320" w:lineRule="exact"/>
                    <w:ind w:left="-120" w:leftChars="-50" w:right="-120" w:rightChars="-50"/>
                    <w:rPr>
                      <w:rFonts w:hint="eastAsia"/>
                      <w:b w:val="0"/>
                      <w:bCs/>
                      <w:color w:val="auto"/>
                      <w:sz w:val="21"/>
                      <w:szCs w:val="21"/>
                    </w:rPr>
                  </w:pPr>
                  <w:r>
                    <w:rPr>
                      <w:rFonts w:hint="eastAsia"/>
                      <w:b w:val="0"/>
                      <w:bCs/>
                      <w:color w:val="auto"/>
                      <w:sz w:val="21"/>
                      <w:szCs w:val="21"/>
                    </w:rPr>
                    <w:t>(</w:t>
                  </w:r>
                  <w:r>
                    <w:rPr>
                      <w:rFonts w:hint="eastAsia" w:ascii="宋体" w:hAnsi="宋体" w:cs="宋体"/>
                      <w:b w:val="0"/>
                      <w:bCs/>
                      <w:color w:val="auto"/>
                      <w:sz w:val="21"/>
                      <w:szCs w:val="21"/>
                    </w:rPr>
                    <w:t>℃</w:t>
                  </w:r>
                  <w:r>
                    <w:rPr>
                      <w:rFonts w:hint="eastAsia"/>
                      <w:b w:val="0"/>
                      <w:bCs/>
                      <w:color w:val="auto"/>
                      <w:sz w:val="21"/>
                      <w:szCs w:val="21"/>
                    </w:rPr>
                    <w:t>)</w:t>
                  </w:r>
                </w:p>
              </w:tc>
              <w:tc>
                <w:tcPr>
                  <w:tcW w:w="392" w:type="pct"/>
                  <w:vMerge w:val="continue"/>
                  <w:noWrap w:val="0"/>
                  <w:vAlign w:val="center"/>
                </w:tcPr>
                <w:p w14:paraId="408D408A">
                  <w:pPr>
                    <w:pStyle w:val="67"/>
                    <w:spacing w:line="320" w:lineRule="exact"/>
                    <w:ind w:left="-72" w:leftChars="-30" w:right="-72" w:rightChars="-30"/>
                    <w:rPr>
                      <w:b w:val="0"/>
                      <w:bCs/>
                      <w:color w:val="auto"/>
                      <w:sz w:val="21"/>
                      <w:szCs w:val="21"/>
                    </w:rPr>
                  </w:pPr>
                </w:p>
              </w:tc>
              <w:tc>
                <w:tcPr>
                  <w:tcW w:w="566" w:type="pct"/>
                  <w:vMerge w:val="continue"/>
                  <w:noWrap w:val="0"/>
                  <w:vAlign w:val="center"/>
                </w:tcPr>
                <w:p w14:paraId="7E0831D6">
                  <w:pPr>
                    <w:pStyle w:val="67"/>
                    <w:spacing w:line="320" w:lineRule="exact"/>
                    <w:ind w:left="-72" w:leftChars="-30" w:right="-72" w:rightChars="-30"/>
                    <w:rPr>
                      <w:b w:val="0"/>
                      <w:bCs/>
                      <w:color w:val="auto"/>
                      <w:sz w:val="21"/>
                      <w:szCs w:val="21"/>
                    </w:rPr>
                  </w:pPr>
                </w:p>
              </w:tc>
            </w:tr>
            <w:tr w14:paraId="10405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324" w:type="pct"/>
                  <w:noWrap w:val="0"/>
                  <w:vAlign w:val="center"/>
                </w:tcPr>
                <w:p w14:paraId="21C47484">
                  <w:pPr>
                    <w:spacing w:line="320" w:lineRule="exact"/>
                    <w:jc w:val="center"/>
                    <w:rPr>
                      <w:rFonts w:hint="default" w:eastAsia="宋体"/>
                      <w:b w:val="0"/>
                      <w:bCs/>
                      <w:color w:val="auto"/>
                      <w:sz w:val="21"/>
                      <w:szCs w:val="21"/>
                      <w:lang w:val="en-US" w:eastAsia="zh-CN"/>
                    </w:rPr>
                  </w:pPr>
                  <w:r>
                    <w:rPr>
                      <w:rFonts w:hint="eastAsia" w:eastAsia="宋体"/>
                      <w:b w:val="0"/>
                      <w:bCs/>
                      <w:color w:val="auto"/>
                      <w:sz w:val="21"/>
                      <w:szCs w:val="21"/>
                      <w:lang w:val="en-US" w:eastAsia="zh-CN"/>
                    </w:rPr>
                    <w:t>DA001</w:t>
                  </w:r>
                </w:p>
              </w:tc>
              <w:tc>
                <w:tcPr>
                  <w:tcW w:w="392" w:type="pct"/>
                  <w:noWrap w:val="0"/>
                  <w:vAlign w:val="center"/>
                </w:tcPr>
                <w:p w14:paraId="1C6626D6">
                  <w:pPr>
                    <w:spacing w:line="240" w:lineRule="auto"/>
                    <w:ind w:left="-120" w:leftChars="-50" w:right="-120" w:rightChars="-50"/>
                    <w:jc w:val="center"/>
                    <w:rPr>
                      <w:rFonts w:hint="default" w:hAnsi="宋体" w:eastAsia="宋体"/>
                      <w:b w:val="0"/>
                      <w:bCs/>
                      <w:color w:val="auto"/>
                      <w:sz w:val="21"/>
                      <w:szCs w:val="21"/>
                      <w:lang w:val="en-US" w:eastAsia="zh-CN"/>
                    </w:rPr>
                  </w:pPr>
                  <w:r>
                    <w:rPr>
                      <w:rFonts w:hint="eastAsia" w:hAnsi="宋体"/>
                      <w:b w:val="0"/>
                      <w:bCs/>
                      <w:color w:val="auto"/>
                      <w:sz w:val="21"/>
                      <w:szCs w:val="21"/>
                      <w:lang w:val="en-US" w:eastAsia="zh-CN"/>
                    </w:rPr>
                    <w:t>有机废气排放口</w:t>
                  </w:r>
                </w:p>
              </w:tc>
              <w:tc>
                <w:tcPr>
                  <w:tcW w:w="470" w:type="pct"/>
                  <w:tcBorders>
                    <w:right w:val="single" w:color="auto" w:sz="6" w:space="0"/>
                  </w:tcBorders>
                  <w:noWrap w:val="0"/>
                  <w:vAlign w:val="center"/>
                </w:tcPr>
                <w:p w14:paraId="4AAFB53B">
                  <w:pPr>
                    <w:spacing w:line="320" w:lineRule="exact"/>
                    <w:jc w:val="center"/>
                    <w:rPr>
                      <w:rFonts w:hint="default" w:eastAsia="宋体"/>
                      <w:b w:val="0"/>
                      <w:bCs/>
                      <w:color w:val="auto"/>
                      <w:sz w:val="21"/>
                      <w:szCs w:val="21"/>
                      <w:lang w:val="en-US" w:eastAsia="zh-CN"/>
                    </w:rPr>
                  </w:pPr>
                  <w:r>
                    <w:rPr>
                      <w:rFonts w:hint="eastAsia"/>
                      <w:b w:val="0"/>
                      <w:bCs/>
                      <w:color w:val="auto"/>
                      <w:sz w:val="21"/>
                      <w:szCs w:val="21"/>
                      <w:lang w:val="en-US" w:eastAsia="zh-CN"/>
                    </w:rPr>
                    <w:t>116.186944</w:t>
                  </w:r>
                </w:p>
              </w:tc>
              <w:tc>
                <w:tcPr>
                  <w:tcW w:w="439" w:type="pct"/>
                  <w:tcBorders>
                    <w:left w:val="single" w:color="auto" w:sz="6" w:space="0"/>
                  </w:tcBorders>
                  <w:noWrap w:val="0"/>
                  <w:vAlign w:val="center"/>
                </w:tcPr>
                <w:p w14:paraId="0CE4F433">
                  <w:pPr>
                    <w:spacing w:line="320" w:lineRule="exact"/>
                    <w:jc w:val="center"/>
                    <w:rPr>
                      <w:rFonts w:hint="default" w:eastAsia="宋体"/>
                      <w:b w:val="0"/>
                      <w:bCs/>
                      <w:color w:val="auto"/>
                      <w:sz w:val="21"/>
                      <w:szCs w:val="21"/>
                      <w:lang w:val="en-US" w:eastAsia="zh-CN"/>
                    </w:rPr>
                  </w:pPr>
                  <w:r>
                    <w:rPr>
                      <w:rFonts w:hint="eastAsia"/>
                      <w:b w:val="0"/>
                      <w:bCs/>
                      <w:color w:val="auto"/>
                      <w:sz w:val="21"/>
                      <w:szCs w:val="21"/>
                      <w:lang w:val="en-US" w:eastAsia="zh-CN"/>
                    </w:rPr>
                    <w:t>31.412655</w:t>
                  </w:r>
                </w:p>
              </w:tc>
              <w:tc>
                <w:tcPr>
                  <w:tcW w:w="387" w:type="pct"/>
                  <w:tcBorders>
                    <w:top w:val="single" w:color="auto" w:sz="6" w:space="0"/>
                    <w:bottom w:val="single" w:color="auto" w:sz="6" w:space="0"/>
                    <w:right w:val="single" w:color="auto" w:sz="6" w:space="0"/>
                  </w:tcBorders>
                  <w:noWrap w:val="0"/>
                  <w:vAlign w:val="center"/>
                </w:tcPr>
                <w:p w14:paraId="1D83296A">
                  <w:pPr>
                    <w:widowControl/>
                    <w:jc w:val="center"/>
                    <w:textAlignment w:val="center"/>
                    <w:rPr>
                      <w:rFonts w:hint="eastAsia" w:ascii="Times New Roman" w:hAnsi="Times New Roman" w:eastAsia="宋体" w:cs="Times New Roman"/>
                      <w:b w:val="0"/>
                      <w:bCs/>
                      <w:color w:val="auto"/>
                      <w:kern w:val="2"/>
                      <w:sz w:val="21"/>
                      <w:szCs w:val="21"/>
                      <w:highlight w:val="none"/>
                      <w:lang w:val="en-US" w:eastAsia="zh-CN" w:bidi="ar"/>
                    </w:rPr>
                  </w:pPr>
                  <w:r>
                    <w:rPr>
                      <w:rFonts w:hint="eastAsia" w:cs="Times New Roman"/>
                      <w:b w:val="0"/>
                      <w:bCs/>
                      <w:color w:val="000000"/>
                      <w:spacing w:val="0"/>
                      <w:sz w:val="21"/>
                      <w:szCs w:val="21"/>
                      <w:lang w:eastAsia="zh-CN"/>
                    </w:rPr>
                    <w:t>非甲烷总烃</w:t>
                  </w:r>
                </w:p>
              </w:tc>
              <w:tc>
                <w:tcPr>
                  <w:tcW w:w="544" w:type="pct"/>
                  <w:tcBorders>
                    <w:top w:val="single" w:color="auto" w:sz="6" w:space="0"/>
                    <w:bottom w:val="single" w:color="auto" w:sz="6" w:space="0"/>
                  </w:tcBorders>
                  <w:noWrap w:val="0"/>
                  <w:vAlign w:val="center"/>
                </w:tcPr>
                <w:p w14:paraId="1E940715">
                  <w:pPr>
                    <w:pStyle w:val="67"/>
                    <w:spacing w:line="360" w:lineRule="exact"/>
                    <w:ind w:left="-120" w:leftChars="-50" w:right="-120" w:rightChars="-50"/>
                    <w:rPr>
                      <w:rFonts w:hint="default"/>
                      <w:b w:val="0"/>
                      <w:bCs/>
                      <w:color w:val="auto"/>
                      <w:kern w:val="0"/>
                      <w:sz w:val="21"/>
                      <w:szCs w:val="21"/>
                      <w:lang w:val="en-US" w:eastAsia="zh-CN" w:bidi="ar-SA"/>
                    </w:rPr>
                  </w:pPr>
                  <w:r>
                    <w:rPr>
                      <w:rFonts w:hint="eastAsia"/>
                      <w:b w:val="0"/>
                      <w:bCs/>
                      <w:color w:val="auto"/>
                      <w:sz w:val="21"/>
                      <w:szCs w:val="21"/>
                      <w:lang w:val="en-US" w:eastAsia="zh-CN"/>
                    </w:rPr>
                    <w:t>40</w:t>
                  </w:r>
                </w:p>
              </w:tc>
              <w:tc>
                <w:tcPr>
                  <w:tcW w:w="522" w:type="pct"/>
                  <w:tcBorders>
                    <w:top w:val="single" w:color="auto" w:sz="6" w:space="0"/>
                    <w:bottom w:val="single" w:color="auto" w:sz="6" w:space="0"/>
                  </w:tcBorders>
                  <w:noWrap w:val="0"/>
                  <w:vAlign w:val="center"/>
                </w:tcPr>
                <w:p w14:paraId="57ECBE5D">
                  <w:pPr>
                    <w:pStyle w:val="67"/>
                    <w:spacing w:line="360" w:lineRule="exact"/>
                    <w:rPr>
                      <w:rFonts w:hint="default" w:eastAsia="宋体"/>
                      <w:b w:val="0"/>
                      <w:bCs/>
                      <w:color w:val="auto"/>
                      <w:kern w:val="0"/>
                      <w:sz w:val="21"/>
                      <w:szCs w:val="21"/>
                      <w:lang w:val="en-US" w:eastAsia="zh-CN" w:bidi="ar-SA"/>
                    </w:rPr>
                  </w:pPr>
                  <w:r>
                    <w:rPr>
                      <w:rFonts w:hint="eastAsia"/>
                      <w:b w:val="0"/>
                      <w:bCs/>
                      <w:color w:val="auto"/>
                      <w:sz w:val="21"/>
                      <w:szCs w:val="21"/>
                      <w:lang w:val="en-US" w:eastAsia="zh-CN"/>
                    </w:rPr>
                    <w:t>1.6</w:t>
                  </w:r>
                </w:p>
              </w:tc>
              <w:tc>
                <w:tcPr>
                  <w:tcW w:w="323" w:type="pct"/>
                  <w:noWrap w:val="0"/>
                  <w:vAlign w:val="center"/>
                </w:tcPr>
                <w:p w14:paraId="2CD8115D">
                  <w:pPr>
                    <w:spacing w:line="360" w:lineRule="exact"/>
                    <w:ind w:left="-72" w:leftChars="-30" w:right="-72" w:rightChars="-30"/>
                    <w:jc w:val="center"/>
                    <w:rPr>
                      <w:rFonts w:hint="eastAsia"/>
                      <w:b w:val="0"/>
                      <w:bCs/>
                      <w:color w:val="auto"/>
                      <w:sz w:val="21"/>
                      <w:szCs w:val="21"/>
                    </w:rPr>
                  </w:pPr>
                  <w:r>
                    <w:rPr>
                      <w:rFonts w:hint="eastAsia"/>
                      <w:b w:val="0"/>
                      <w:bCs/>
                      <w:color w:val="auto"/>
                      <w:sz w:val="21"/>
                      <w:szCs w:val="21"/>
                    </w:rPr>
                    <w:t>15</w:t>
                  </w:r>
                </w:p>
              </w:tc>
              <w:tc>
                <w:tcPr>
                  <w:tcW w:w="332" w:type="pct"/>
                  <w:noWrap w:val="0"/>
                  <w:vAlign w:val="center"/>
                </w:tcPr>
                <w:p w14:paraId="08D972CA">
                  <w:pPr>
                    <w:spacing w:line="360" w:lineRule="exact"/>
                    <w:ind w:left="-72" w:leftChars="-30" w:right="-72" w:rightChars="-30"/>
                    <w:jc w:val="center"/>
                    <w:rPr>
                      <w:rFonts w:hint="default" w:eastAsia="宋体"/>
                      <w:b w:val="0"/>
                      <w:bCs/>
                      <w:color w:val="auto"/>
                      <w:sz w:val="21"/>
                      <w:szCs w:val="21"/>
                      <w:lang w:val="en-US" w:eastAsia="zh-CN"/>
                    </w:rPr>
                  </w:pPr>
                  <w:r>
                    <w:rPr>
                      <w:rFonts w:hint="eastAsia"/>
                      <w:b w:val="0"/>
                      <w:bCs/>
                      <w:color w:val="auto"/>
                      <w:sz w:val="21"/>
                      <w:szCs w:val="21"/>
                      <w:lang w:val="en-US" w:eastAsia="zh-CN"/>
                    </w:rPr>
                    <w:t>0.6</w:t>
                  </w:r>
                </w:p>
              </w:tc>
              <w:tc>
                <w:tcPr>
                  <w:tcW w:w="305" w:type="pct"/>
                  <w:noWrap w:val="0"/>
                  <w:vAlign w:val="center"/>
                </w:tcPr>
                <w:p w14:paraId="275230CC">
                  <w:pPr>
                    <w:spacing w:line="360" w:lineRule="exact"/>
                    <w:ind w:left="-72" w:leftChars="-30" w:right="-72" w:rightChars="-30"/>
                    <w:jc w:val="center"/>
                    <w:rPr>
                      <w:rFonts w:hint="default" w:eastAsia="宋体"/>
                      <w:b w:val="0"/>
                      <w:bCs/>
                      <w:color w:val="auto"/>
                      <w:sz w:val="21"/>
                      <w:szCs w:val="21"/>
                      <w:lang w:val="en-US" w:eastAsia="zh-CN"/>
                    </w:rPr>
                  </w:pPr>
                  <w:r>
                    <w:rPr>
                      <w:rFonts w:hint="eastAsia"/>
                      <w:b w:val="0"/>
                      <w:bCs/>
                      <w:color w:val="auto"/>
                      <w:sz w:val="21"/>
                      <w:szCs w:val="21"/>
                      <w:lang w:val="en-US" w:eastAsia="zh-CN"/>
                    </w:rPr>
                    <w:t>25</w:t>
                  </w:r>
                </w:p>
              </w:tc>
              <w:tc>
                <w:tcPr>
                  <w:tcW w:w="392" w:type="pct"/>
                  <w:noWrap w:val="0"/>
                  <w:vAlign w:val="center"/>
                </w:tcPr>
                <w:p w14:paraId="32E7CEEE">
                  <w:pPr>
                    <w:pStyle w:val="25"/>
                    <w:spacing w:line="360" w:lineRule="exact"/>
                    <w:ind w:left="-72" w:leftChars="-30" w:right="-72" w:rightChars="-30"/>
                    <w:jc w:val="center"/>
                    <w:rPr>
                      <w:b w:val="0"/>
                      <w:bCs/>
                      <w:color w:val="auto"/>
                      <w:sz w:val="21"/>
                      <w:szCs w:val="21"/>
                    </w:rPr>
                  </w:pPr>
                  <w:r>
                    <w:rPr>
                      <w:b w:val="0"/>
                      <w:bCs/>
                      <w:color w:val="auto"/>
                      <w:sz w:val="21"/>
                      <w:szCs w:val="21"/>
                    </w:rPr>
                    <w:t>达标</w:t>
                  </w:r>
                </w:p>
              </w:tc>
              <w:tc>
                <w:tcPr>
                  <w:tcW w:w="566" w:type="pct"/>
                  <w:noWrap w:val="0"/>
                  <w:vAlign w:val="center"/>
                </w:tcPr>
                <w:p w14:paraId="26F69BAF">
                  <w:pPr>
                    <w:pStyle w:val="25"/>
                    <w:spacing w:line="240" w:lineRule="auto"/>
                    <w:ind w:left="-72" w:leftChars="-30" w:right="-72" w:rightChars="-30"/>
                    <w:jc w:val="center"/>
                    <w:rPr>
                      <w:rFonts w:hint="eastAsia"/>
                      <w:b w:val="0"/>
                      <w:bCs/>
                      <w:color w:val="auto"/>
                      <w:sz w:val="21"/>
                      <w:szCs w:val="21"/>
                    </w:rPr>
                  </w:pPr>
                  <w:r>
                    <w:rPr>
                      <w:rFonts w:hint="eastAsia"/>
                      <w:b w:val="0"/>
                      <w:bCs/>
                      <w:color w:val="auto"/>
                      <w:sz w:val="21"/>
                      <w:szCs w:val="21"/>
                    </w:rPr>
                    <w:t>一般排放口</w:t>
                  </w:r>
                </w:p>
              </w:tc>
            </w:tr>
          </w:tbl>
          <w:p w14:paraId="09E0803F">
            <w:pPr>
              <w:pStyle w:val="32"/>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1560" w:leftChars="0" w:firstLine="0" w:firstLineChars="0"/>
              <w:jc w:val="center"/>
              <w:textAlignment w:val="auto"/>
              <w:rPr>
                <w:rFonts w:hint="eastAsia" w:ascii="Times New Roman" w:cs="Times New Roman"/>
                <w:b/>
                <w:bCs/>
                <w:color w:val="auto"/>
                <w:sz w:val="24"/>
                <w:szCs w:val="24"/>
              </w:rPr>
            </w:pPr>
            <w:r>
              <w:rPr>
                <w:rFonts w:ascii="Times New Roman" w:cs="Times New Roman"/>
                <w:b/>
                <w:bCs/>
                <w:color w:val="auto"/>
                <w:sz w:val="24"/>
                <w:szCs w:val="24"/>
              </w:rPr>
              <w:t>表</w:t>
            </w:r>
            <w:r>
              <w:rPr>
                <w:rFonts w:hint="eastAsia" w:ascii="Times New Roman" w:cs="Times New Roman"/>
                <w:b/>
                <w:bCs/>
                <w:color w:val="auto"/>
                <w:sz w:val="24"/>
                <w:szCs w:val="24"/>
                <w:lang w:val="en-US" w:eastAsia="zh-CN"/>
              </w:rPr>
              <w:t>4</w:t>
            </w:r>
            <w:r>
              <w:rPr>
                <w:rFonts w:ascii="Times New Roman" w:cs="Times New Roman"/>
                <w:b/>
                <w:bCs/>
                <w:color w:val="auto"/>
                <w:sz w:val="24"/>
                <w:szCs w:val="24"/>
              </w:rPr>
              <w:t>-</w:t>
            </w:r>
            <w:r>
              <w:rPr>
                <w:rFonts w:hint="eastAsia" w:ascii="Times New Roman" w:cs="Times New Roman"/>
                <w:b/>
                <w:bCs/>
                <w:color w:val="auto"/>
                <w:sz w:val="24"/>
                <w:szCs w:val="24"/>
                <w:lang w:val="en-US" w:eastAsia="zh-CN"/>
              </w:rPr>
              <w:t>7</w:t>
            </w:r>
            <w:r>
              <w:rPr>
                <w:rFonts w:hint="eastAsia" w:ascii="Times New Roman" w:cs="Times New Roman"/>
                <w:b/>
                <w:bCs/>
                <w:color w:val="auto"/>
                <w:sz w:val="24"/>
                <w:szCs w:val="24"/>
              </w:rPr>
              <w:t xml:space="preserve">  项目</w:t>
            </w:r>
            <w:r>
              <w:rPr>
                <w:rFonts w:ascii="Times New Roman" w:cs="Times New Roman"/>
                <w:b/>
                <w:bCs/>
                <w:color w:val="auto"/>
                <w:sz w:val="24"/>
                <w:szCs w:val="24"/>
              </w:rPr>
              <w:t>废气污染物</w:t>
            </w:r>
            <w:r>
              <w:rPr>
                <w:rFonts w:hint="eastAsia" w:ascii="Times New Roman" w:cs="Times New Roman"/>
                <w:b/>
                <w:bCs/>
                <w:color w:val="auto"/>
                <w:sz w:val="24"/>
                <w:szCs w:val="24"/>
              </w:rPr>
              <w:t>无组织产排情况表</w:t>
            </w:r>
          </w:p>
          <w:tbl>
            <w:tblPr>
              <w:tblStyle w:val="26"/>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0"/>
              <w:gridCol w:w="1237"/>
              <w:gridCol w:w="1285"/>
              <w:gridCol w:w="1661"/>
              <w:gridCol w:w="2143"/>
              <w:gridCol w:w="2651"/>
              <w:gridCol w:w="2949"/>
            </w:tblGrid>
            <w:tr w14:paraId="586AC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467" w:type="pct"/>
                  <w:noWrap w:val="0"/>
                  <w:vAlign w:val="center"/>
                </w:tcPr>
                <w:p w14:paraId="38F7BD89">
                  <w:pPr>
                    <w:adjustRightInd w:val="0"/>
                    <w:snapToGrid w:val="0"/>
                    <w:spacing w:line="360" w:lineRule="exact"/>
                    <w:ind w:left="-72" w:leftChars="-30" w:right="-72" w:rightChars="-30"/>
                    <w:jc w:val="center"/>
                    <w:rPr>
                      <w:rFonts w:hint="eastAsia" w:ascii="Times New Roman" w:hAnsi="Times New Roman" w:cs="Times New Roman"/>
                      <w:b w:val="0"/>
                      <w:bCs/>
                      <w:color w:val="auto"/>
                      <w:sz w:val="21"/>
                      <w:szCs w:val="21"/>
                    </w:rPr>
                  </w:pPr>
                  <w:r>
                    <w:rPr>
                      <w:rFonts w:hint="eastAsia" w:ascii="Times New Roman" w:hAnsi="Times New Roman" w:cs="Times New Roman"/>
                      <w:b w:val="0"/>
                      <w:bCs/>
                      <w:color w:val="auto"/>
                      <w:sz w:val="21"/>
                      <w:szCs w:val="21"/>
                    </w:rPr>
                    <w:t>面源</w:t>
                  </w:r>
                </w:p>
              </w:tc>
              <w:tc>
                <w:tcPr>
                  <w:tcW w:w="470" w:type="pct"/>
                  <w:noWrap w:val="0"/>
                  <w:vAlign w:val="center"/>
                </w:tcPr>
                <w:p w14:paraId="2384D7BC">
                  <w:pPr>
                    <w:adjustRightInd w:val="0"/>
                    <w:snapToGrid w:val="0"/>
                    <w:spacing w:line="240" w:lineRule="auto"/>
                    <w:ind w:left="-72" w:leftChars="-30" w:right="-72" w:rightChars="-30"/>
                    <w:jc w:val="center"/>
                    <w:rPr>
                      <w:rFonts w:ascii="Times New Roman" w:hAnsi="Times New Roman" w:cs="Times New Roman"/>
                      <w:b w:val="0"/>
                      <w:bCs/>
                      <w:color w:val="auto"/>
                      <w:sz w:val="21"/>
                      <w:szCs w:val="21"/>
                    </w:rPr>
                  </w:pPr>
                  <w:r>
                    <w:rPr>
                      <w:rFonts w:hint="eastAsia" w:ascii="Times New Roman" w:hAnsi="Times New Roman" w:cs="Times New Roman"/>
                      <w:b w:val="0"/>
                      <w:bCs/>
                      <w:color w:val="auto"/>
                      <w:sz w:val="21"/>
                      <w:szCs w:val="21"/>
                      <w:lang w:eastAsia="zh-CN"/>
                    </w:rPr>
                    <w:t>占地</w:t>
                  </w:r>
                  <w:r>
                    <w:rPr>
                      <w:rFonts w:hint="eastAsia" w:ascii="Times New Roman" w:hAnsi="Times New Roman" w:cs="Times New Roman"/>
                      <w:b w:val="0"/>
                      <w:bCs/>
                      <w:color w:val="auto"/>
                      <w:sz w:val="21"/>
                      <w:szCs w:val="21"/>
                    </w:rPr>
                    <w:t>面积m</w:t>
                  </w:r>
                  <w:r>
                    <w:rPr>
                      <w:rFonts w:hint="eastAsia" w:ascii="Times New Roman" w:hAnsi="Times New Roman" w:cs="Times New Roman"/>
                      <w:b w:val="0"/>
                      <w:bCs/>
                      <w:color w:val="auto"/>
                      <w:sz w:val="21"/>
                      <w:szCs w:val="21"/>
                      <w:vertAlign w:val="superscript"/>
                    </w:rPr>
                    <w:t>2</w:t>
                  </w:r>
                </w:p>
              </w:tc>
              <w:tc>
                <w:tcPr>
                  <w:tcW w:w="488" w:type="pct"/>
                  <w:noWrap w:val="0"/>
                  <w:vAlign w:val="center"/>
                </w:tcPr>
                <w:p w14:paraId="1AF144B1">
                  <w:pPr>
                    <w:adjustRightInd w:val="0"/>
                    <w:snapToGrid w:val="0"/>
                    <w:spacing w:line="240" w:lineRule="auto"/>
                    <w:ind w:left="-72" w:leftChars="-30" w:right="-72" w:rightChars="-30"/>
                    <w:jc w:val="center"/>
                    <w:rPr>
                      <w:rFonts w:ascii="Times New Roman" w:hAnsi="Times New Roman" w:cs="Times New Roman"/>
                      <w:b w:val="0"/>
                      <w:bCs/>
                      <w:color w:val="auto"/>
                      <w:sz w:val="21"/>
                      <w:szCs w:val="21"/>
                    </w:rPr>
                  </w:pPr>
                  <w:r>
                    <w:rPr>
                      <w:rFonts w:hint="eastAsia" w:ascii="Times New Roman" w:hAnsi="Times New Roman" w:cs="Times New Roman"/>
                      <w:b w:val="0"/>
                      <w:bCs/>
                      <w:color w:val="auto"/>
                      <w:sz w:val="21"/>
                      <w:szCs w:val="21"/>
                    </w:rPr>
                    <w:t>面源高度m</w:t>
                  </w:r>
                </w:p>
              </w:tc>
              <w:tc>
                <w:tcPr>
                  <w:tcW w:w="631" w:type="pct"/>
                  <w:noWrap w:val="0"/>
                  <w:vAlign w:val="center"/>
                </w:tcPr>
                <w:p w14:paraId="7DF92C8F">
                  <w:pPr>
                    <w:adjustRightInd w:val="0"/>
                    <w:snapToGrid w:val="0"/>
                    <w:spacing w:line="360" w:lineRule="exact"/>
                    <w:ind w:left="-72" w:leftChars="-30" w:right="-72" w:rightChars="-30"/>
                    <w:jc w:val="center"/>
                    <w:rPr>
                      <w:rFonts w:hint="eastAsia" w:ascii="Times New Roman" w:hAnsi="Times New Roman" w:cs="Times New Roman"/>
                      <w:b w:val="0"/>
                      <w:bCs/>
                      <w:color w:val="auto"/>
                      <w:sz w:val="21"/>
                      <w:szCs w:val="21"/>
                    </w:rPr>
                  </w:pPr>
                  <w:r>
                    <w:rPr>
                      <w:rFonts w:hint="eastAsia" w:ascii="Times New Roman" w:hAnsi="Times New Roman" w:cs="Times New Roman"/>
                      <w:b w:val="0"/>
                      <w:bCs/>
                      <w:color w:val="auto"/>
                      <w:sz w:val="21"/>
                      <w:szCs w:val="21"/>
                    </w:rPr>
                    <w:t>污染物种类</w:t>
                  </w:r>
                </w:p>
              </w:tc>
              <w:tc>
                <w:tcPr>
                  <w:tcW w:w="814" w:type="pct"/>
                  <w:noWrap w:val="0"/>
                  <w:vAlign w:val="center"/>
                </w:tcPr>
                <w:p w14:paraId="47A543C2">
                  <w:pPr>
                    <w:adjustRightInd w:val="0"/>
                    <w:snapToGrid w:val="0"/>
                    <w:spacing w:line="360" w:lineRule="exact"/>
                    <w:ind w:left="-72" w:leftChars="-30" w:right="-72" w:rightChars="-30"/>
                    <w:jc w:val="center"/>
                    <w:rPr>
                      <w:rFonts w:hint="eastAsia" w:ascii="Times New Roman" w:hAnsi="Times New Roman" w:cs="Times New Roman"/>
                      <w:b w:val="0"/>
                      <w:bCs/>
                      <w:color w:val="auto"/>
                      <w:sz w:val="21"/>
                      <w:szCs w:val="21"/>
                    </w:rPr>
                  </w:pPr>
                  <w:r>
                    <w:rPr>
                      <w:rFonts w:hint="eastAsia" w:ascii="Times New Roman" w:hAnsi="Times New Roman" w:cs="Times New Roman"/>
                      <w:b w:val="0"/>
                      <w:bCs/>
                      <w:color w:val="auto"/>
                      <w:sz w:val="21"/>
                      <w:szCs w:val="21"/>
                    </w:rPr>
                    <w:t>排放速率</w:t>
                  </w:r>
                  <w:r>
                    <w:rPr>
                      <w:rFonts w:ascii="Times New Roman" w:hAnsi="Times New Roman" w:cs="Times New Roman"/>
                      <w:b w:val="0"/>
                      <w:bCs/>
                      <w:color w:val="auto"/>
                      <w:sz w:val="21"/>
                      <w:szCs w:val="21"/>
                    </w:rPr>
                    <w:t>kg/h</w:t>
                  </w:r>
                </w:p>
              </w:tc>
              <w:tc>
                <w:tcPr>
                  <w:tcW w:w="1007" w:type="pct"/>
                  <w:noWrap w:val="0"/>
                  <w:vAlign w:val="center"/>
                </w:tcPr>
                <w:p w14:paraId="5FEECB70">
                  <w:pPr>
                    <w:adjustRightInd w:val="0"/>
                    <w:snapToGrid w:val="0"/>
                    <w:spacing w:line="360" w:lineRule="exact"/>
                    <w:ind w:left="-72" w:leftChars="-30" w:right="-72" w:rightChars="-30"/>
                    <w:jc w:val="center"/>
                    <w:rPr>
                      <w:rFonts w:hint="eastAsia" w:ascii="Times New Roman" w:hAnsi="Times New Roman" w:cs="Times New Roman"/>
                      <w:b w:val="0"/>
                      <w:bCs/>
                      <w:color w:val="auto"/>
                      <w:sz w:val="21"/>
                      <w:szCs w:val="21"/>
                    </w:rPr>
                  </w:pPr>
                  <w:r>
                    <w:rPr>
                      <w:rFonts w:hint="eastAsia" w:ascii="Times New Roman" w:hAnsi="Times New Roman" w:cs="Times New Roman"/>
                      <w:b w:val="0"/>
                      <w:bCs/>
                      <w:color w:val="auto"/>
                      <w:sz w:val="21"/>
                      <w:szCs w:val="21"/>
                    </w:rPr>
                    <w:t>排放量</w:t>
                  </w:r>
                  <w:r>
                    <w:rPr>
                      <w:rFonts w:ascii="Times New Roman" w:hAnsi="Times New Roman" w:cs="Times New Roman"/>
                      <w:b w:val="0"/>
                      <w:bCs/>
                      <w:color w:val="auto"/>
                      <w:sz w:val="21"/>
                      <w:szCs w:val="21"/>
                    </w:rPr>
                    <w:t>t/a</w:t>
                  </w:r>
                </w:p>
              </w:tc>
              <w:tc>
                <w:tcPr>
                  <w:tcW w:w="1120" w:type="pct"/>
                  <w:noWrap w:val="0"/>
                  <w:vAlign w:val="center"/>
                </w:tcPr>
                <w:p w14:paraId="3EDC2BF5">
                  <w:pPr>
                    <w:adjustRightInd w:val="0"/>
                    <w:snapToGrid w:val="0"/>
                    <w:spacing w:line="360" w:lineRule="exact"/>
                    <w:ind w:left="-72" w:leftChars="-30" w:right="-72" w:rightChars="-30"/>
                    <w:jc w:val="center"/>
                    <w:rPr>
                      <w:rFonts w:hint="eastAsia" w:ascii="Times New Roman" w:hAnsi="Times New Roman" w:cs="Times New Roman"/>
                      <w:b w:val="0"/>
                      <w:bCs/>
                      <w:color w:val="auto"/>
                      <w:sz w:val="21"/>
                      <w:szCs w:val="21"/>
                    </w:rPr>
                  </w:pPr>
                  <w:r>
                    <w:rPr>
                      <w:rFonts w:hint="eastAsia" w:ascii="Times New Roman" w:hAnsi="Times New Roman" w:cs="Times New Roman"/>
                      <w:b w:val="0"/>
                      <w:bCs/>
                      <w:color w:val="auto"/>
                      <w:sz w:val="21"/>
                      <w:szCs w:val="21"/>
                    </w:rPr>
                    <w:t>无组织排放浓度限值</w:t>
                  </w:r>
                  <w:r>
                    <w:rPr>
                      <w:rFonts w:hint="eastAsia" w:hAnsi="宋体"/>
                      <w:b w:val="0"/>
                      <w:bCs/>
                      <w:color w:val="auto"/>
                      <w:sz w:val="21"/>
                      <w:szCs w:val="21"/>
                    </w:rPr>
                    <w:t>(mg/m</w:t>
                  </w:r>
                  <w:r>
                    <w:rPr>
                      <w:rFonts w:hint="eastAsia" w:hAnsi="宋体"/>
                      <w:b w:val="0"/>
                      <w:bCs/>
                      <w:color w:val="auto"/>
                      <w:sz w:val="21"/>
                      <w:szCs w:val="21"/>
                      <w:vertAlign w:val="superscript"/>
                    </w:rPr>
                    <w:t>3</w:t>
                  </w:r>
                  <w:r>
                    <w:rPr>
                      <w:rFonts w:hint="eastAsia" w:hAnsi="宋体"/>
                      <w:b w:val="0"/>
                      <w:bCs/>
                      <w:color w:val="auto"/>
                      <w:sz w:val="21"/>
                      <w:szCs w:val="21"/>
                    </w:rPr>
                    <w:t>)</w:t>
                  </w:r>
                </w:p>
              </w:tc>
            </w:tr>
            <w:tr w14:paraId="50267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467" w:type="pct"/>
                  <w:shd w:val="clear" w:color="auto" w:fill="auto"/>
                  <w:noWrap w:val="0"/>
                  <w:vAlign w:val="center"/>
                </w:tcPr>
                <w:p w14:paraId="6AA01BE8">
                  <w:pPr>
                    <w:adjustRightInd w:val="0"/>
                    <w:snapToGrid w:val="0"/>
                    <w:spacing w:line="360" w:lineRule="exact"/>
                    <w:ind w:left="-72" w:leftChars="-30" w:right="-72" w:rightChars="-30"/>
                    <w:jc w:val="center"/>
                    <w:rPr>
                      <w:rFonts w:hint="eastAsia" w:ascii="Times New Roman" w:hAnsi="Times New Roman" w:eastAsia="宋体" w:cs="Times New Roman"/>
                      <w:b w:val="0"/>
                      <w:bCs/>
                      <w:color w:val="auto"/>
                      <w:sz w:val="21"/>
                      <w:szCs w:val="21"/>
                      <w:lang w:val="en-US" w:eastAsia="zh-CN" w:bidi="ar-SA"/>
                    </w:rPr>
                  </w:pPr>
                  <w:r>
                    <w:rPr>
                      <w:rFonts w:hint="eastAsia" w:cs="Times New Roman"/>
                      <w:b w:val="0"/>
                      <w:bCs/>
                      <w:color w:val="auto"/>
                      <w:sz w:val="21"/>
                      <w:szCs w:val="21"/>
                      <w:lang w:val="en-US" w:eastAsia="zh-CN"/>
                    </w:rPr>
                    <w:t>1#</w:t>
                  </w:r>
                  <w:r>
                    <w:rPr>
                      <w:rFonts w:hint="eastAsia" w:ascii="Times New Roman" w:hAnsi="Times New Roman" w:cs="Times New Roman"/>
                      <w:b w:val="0"/>
                      <w:bCs/>
                      <w:color w:val="auto"/>
                      <w:sz w:val="21"/>
                      <w:szCs w:val="21"/>
                      <w:lang w:val="en-US" w:eastAsia="zh-CN"/>
                    </w:rPr>
                    <w:t>生产车间</w:t>
                  </w:r>
                </w:p>
              </w:tc>
              <w:tc>
                <w:tcPr>
                  <w:tcW w:w="470" w:type="pct"/>
                  <w:shd w:val="clear" w:color="auto" w:fill="auto"/>
                  <w:noWrap w:val="0"/>
                  <w:vAlign w:val="center"/>
                </w:tcPr>
                <w:p w14:paraId="4E5BA314">
                  <w:pPr>
                    <w:adjustRightInd w:val="0"/>
                    <w:snapToGrid w:val="0"/>
                    <w:spacing w:line="360" w:lineRule="exact"/>
                    <w:ind w:left="-72" w:leftChars="-30" w:right="-72" w:rightChars="-30"/>
                    <w:jc w:val="center"/>
                    <w:rPr>
                      <w:rFonts w:hint="eastAsia" w:ascii="Times New Roman" w:hAnsi="Times New Roman" w:eastAsia="宋体" w:cs="Times New Roman"/>
                      <w:b w:val="0"/>
                      <w:bCs/>
                      <w:color w:val="auto"/>
                      <w:kern w:val="1"/>
                      <w:sz w:val="21"/>
                      <w:szCs w:val="21"/>
                      <w:lang w:val="en-US" w:eastAsia="zh-CN" w:bidi="ar-SA"/>
                    </w:rPr>
                  </w:pPr>
                  <w:r>
                    <w:rPr>
                      <w:rFonts w:hint="eastAsia" w:cs="Times New Roman"/>
                      <w:b w:val="0"/>
                      <w:bCs/>
                      <w:color w:val="auto"/>
                      <w:kern w:val="1"/>
                      <w:sz w:val="21"/>
                      <w:szCs w:val="21"/>
                      <w:lang w:val="en-US" w:eastAsia="zh-CN"/>
                    </w:rPr>
                    <w:t>1313.76</w:t>
                  </w:r>
                </w:p>
              </w:tc>
              <w:tc>
                <w:tcPr>
                  <w:tcW w:w="488" w:type="pct"/>
                  <w:shd w:val="clear" w:color="auto" w:fill="auto"/>
                  <w:noWrap w:val="0"/>
                  <w:vAlign w:val="center"/>
                </w:tcPr>
                <w:p w14:paraId="1CE45E11">
                  <w:pPr>
                    <w:adjustRightInd w:val="0"/>
                    <w:snapToGrid w:val="0"/>
                    <w:spacing w:line="360" w:lineRule="exact"/>
                    <w:ind w:left="-72" w:leftChars="-30" w:right="-72" w:rightChars="-30"/>
                    <w:jc w:val="center"/>
                    <w:rPr>
                      <w:rFonts w:hint="eastAsia" w:ascii="Times New Roman" w:hAnsi="Times New Roman" w:eastAsia="宋体" w:cs="Times New Roman"/>
                      <w:b w:val="0"/>
                      <w:bCs/>
                      <w:color w:val="auto"/>
                      <w:sz w:val="21"/>
                      <w:szCs w:val="21"/>
                      <w:lang w:val="en-US" w:eastAsia="zh-CN" w:bidi="ar-SA"/>
                    </w:rPr>
                  </w:pPr>
                  <w:r>
                    <w:rPr>
                      <w:rFonts w:hint="eastAsia" w:cs="Times New Roman"/>
                      <w:b w:val="0"/>
                      <w:bCs/>
                      <w:color w:val="auto"/>
                      <w:sz w:val="21"/>
                      <w:szCs w:val="21"/>
                      <w:lang w:val="en-US" w:eastAsia="zh-CN"/>
                    </w:rPr>
                    <w:t>12</w:t>
                  </w:r>
                </w:p>
              </w:tc>
              <w:tc>
                <w:tcPr>
                  <w:tcW w:w="631" w:type="pct"/>
                  <w:vMerge w:val="restart"/>
                  <w:shd w:val="clear" w:color="auto" w:fill="auto"/>
                  <w:noWrap w:val="0"/>
                  <w:vAlign w:val="center"/>
                </w:tcPr>
                <w:p w14:paraId="4F1574E1">
                  <w:pPr>
                    <w:widowControl/>
                    <w:jc w:val="center"/>
                    <w:textAlignment w:val="center"/>
                    <w:rPr>
                      <w:rFonts w:hint="eastAsia" w:ascii="Times New Roman" w:hAnsi="Times New Roman" w:eastAsia="宋体" w:cs="Times New Roman"/>
                      <w:b w:val="0"/>
                      <w:bCs/>
                      <w:color w:val="auto"/>
                      <w:kern w:val="2"/>
                      <w:sz w:val="21"/>
                      <w:szCs w:val="21"/>
                      <w:highlight w:val="none"/>
                      <w:lang w:val="en-US" w:eastAsia="zh-CN" w:bidi="ar"/>
                    </w:rPr>
                  </w:pPr>
                  <w:r>
                    <w:rPr>
                      <w:rFonts w:hint="eastAsia" w:hAnsi="宋体"/>
                      <w:b w:val="0"/>
                      <w:bCs/>
                      <w:color w:val="auto"/>
                      <w:sz w:val="21"/>
                      <w:szCs w:val="21"/>
                      <w:lang w:val="en-US" w:eastAsia="zh-CN"/>
                    </w:rPr>
                    <w:t>非甲烷总烃</w:t>
                  </w:r>
                </w:p>
              </w:tc>
              <w:tc>
                <w:tcPr>
                  <w:tcW w:w="814" w:type="pct"/>
                  <w:vMerge w:val="restart"/>
                  <w:shd w:val="clear" w:color="auto" w:fill="auto"/>
                  <w:noWrap w:val="0"/>
                  <w:vAlign w:val="center"/>
                </w:tcPr>
                <w:p w14:paraId="1593FF02">
                  <w:pPr>
                    <w:keepNext w:val="0"/>
                    <w:keepLines w:val="0"/>
                    <w:widowControl/>
                    <w:suppressLineNumbers w:val="0"/>
                    <w:jc w:val="center"/>
                    <w:textAlignment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0.303</w:t>
                  </w:r>
                </w:p>
              </w:tc>
              <w:tc>
                <w:tcPr>
                  <w:tcW w:w="1007" w:type="pct"/>
                  <w:vMerge w:val="restart"/>
                  <w:shd w:val="clear" w:color="auto" w:fill="auto"/>
                  <w:noWrap w:val="0"/>
                  <w:vAlign w:val="center"/>
                </w:tcPr>
                <w:p w14:paraId="43082DEE">
                  <w:pPr>
                    <w:keepNext w:val="0"/>
                    <w:keepLines w:val="0"/>
                    <w:widowControl/>
                    <w:suppressLineNumbers w:val="0"/>
                    <w:jc w:val="center"/>
                    <w:textAlignment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0.909</w:t>
                  </w:r>
                </w:p>
              </w:tc>
              <w:tc>
                <w:tcPr>
                  <w:tcW w:w="1120" w:type="pct"/>
                  <w:vMerge w:val="restart"/>
                  <w:shd w:val="clear" w:color="auto" w:fill="auto"/>
                  <w:noWrap w:val="0"/>
                  <w:vAlign w:val="center"/>
                </w:tcPr>
                <w:p w14:paraId="7E2122C6">
                  <w:pPr>
                    <w:adjustRightInd w:val="0"/>
                    <w:snapToGrid w:val="0"/>
                    <w:spacing w:line="360" w:lineRule="exact"/>
                    <w:ind w:left="-72" w:leftChars="-30" w:right="-72" w:rightChars="-30"/>
                    <w:jc w:val="center"/>
                    <w:rPr>
                      <w:rFonts w:hint="eastAsia" w:ascii="Times New Roman" w:hAnsi="Times New Roman" w:eastAsia="宋体" w:cs="Times New Roman"/>
                      <w:b w:val="0"/>
                      <w:bCs/>
                      <w:color w:val="auto"/>
                      <w:sz w:val="21"/>
                      <w:szCs w:val="21"/>
                      <w:lang w:val="en-US" w:eastAsia="zh-CN" w:bidi="ar-SA"/>
                    </w:rPr>
                  </w:pPr>
                  <w:r>
                    <w:rPr>
                      <w:rFonts w:hint="eastAsia" w:ascii="Times New Roman" w:hAnsi="Times New Roman" w:cs="Times New Roman"/>
                      <w:b w:val="0"/>
                      <w:bCs/>
                      <w:color w:val="auto"/>
                      <w:sz w:val="21"/>
                      <w:szCs w:val="21"/>
                      <w:lang w:val="en-US" w:eastAsia="zh-CN"/>
                    </w:rPr>
                    <w:t>4.0</w:t>
                  </w:r>
                </w:p>
              </w:tc>
            </w:tr>
            <w:tr w14:paraId="7F9B5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467" w:type="pct"/>
                  <w:vMerge w:val="restart"/>
                  <w:noWrap w:val="0"/>
                  <w:vAlign w:val="center"/>
                </w:tcPr>
                <w:p w14:paraId="4BE333C0">
                  <w:pPr>
                    <w:adjustRightInd w:val="0"/>
                    <w:snapToGrid w:val="0"/>
                    <w:spacing w:line="360" w:lineRule="exact"/>
                    <w:ind w:left="-72" w:leftChars="-30" w:right="-72" w:rightChars="-30"/>
                    <w:jc w:val="center"/>
                    <w:rPr>
                      <w:rFonts w:hint="eastAsia" w:ascii="Times New Roman" w:hAnsi="Times New Roman" w:cs="Times New Roman"/>
                      <w:b w:val="0"/>
                      <w:bCs/>
                      <w:color w:val="auto"/>
                      <w:sz w:val="21"/>
                      <w:szCs w:val="21"/>
                      <w:lang w:val="en-US" w:eastAsia="zh-CN"/>
                    </w:rPr>
                  </w:pPr>
                  <w:r>
                    <w:rPr>
                      <w:rFonts w:hint="eastAsia" w:cs="Times New Roman"/>
                      <w:b w:val="0"/>
                      <w:bCs/>
                      <w:color w:val="auto"/>
                      <w:sz w:val="21"/>
                      <w:szCs w:val="21"/>
                      <w:lang w:val="en-US" w:eastAsia="zh-CN"/>
                    </w:rPr>
                    <w:t>2#</w:t>
                  </w:r>
                  <w:r>
                    <w:rPr>
                      <w:rFonts w:hint="eastAsia" w:ascii="Times New Roman" w:hAnsi="Times New Roman" w:cs="Times New Roman"/>
                      <w:b w:val="0"/>
                      <w:bCs/>
                      <w:color w:val="auto"/>
                      <w:sz w:val="21"/>
                      <w:szCs w:val="21"/>
                      <w:lang w:val="en-US" w:eastAsia="zh-CN"/>
                    </w:rPr>
                    <w:t>生产车间</w:t>
                  </w:r>
                </w:p>
              </w:tc>
              <w:tc>
                <w:tcPr>
                  <w:tcW w:w="470" w:type="pct"/>
                  <w:vMerge w:val="restart"/>
                  <w:noWrap w:val="0"/>
                  <w:vAlign w:val="center"/>
                </w:tcPr>
                <w:p w14:paraId="24EF961A">
                  <w:pPr>
                    <w:adjustRightInd w:val="0"/>
                    <w:snapToGrid w:val="0"/>
                    <w:spacing w:line="360" w:lineRule="exact"/>
                    <w:ind w:left="-72" w:leftChars="-30" w:right="-72" w:rightChars="-30"/>
                    <w:jc w:val="center"/>
                    <w:rPr>
                      <w:rFonts w:hint="default" w:ascii="Times New Roman" w:hAnsi="Times New Roman" w:eastAsia="宋体" w:cs="Times New Roman"/>
                      <w:b w:val="0"/>
                      <w:bCs/>
                      <w:color w:val="auto"/>
                      <w:kern w:val="1"/>
                      <w:sz w:val="21"/>
                      <w:szCs w:val="21"/>
                      <w:lang w:val="en-US" w:eastAsia="zh-CN"/>
                    </w:rPr>
                  </w:pPr>
                  <w:r>
                    <w:rPr>
                      <w:rFonts w:hint="eastAsia" w:cs="Times New Roman"/>
                      <w:b w:val="0"/>
                      <w:bCs/>
                      <w:color w:val="auto"/>
                      <w:kern w:val="1"/>
                      <w:sz w:val="21"/>
                      <w:szCs w:val="21"/>
                      <w:lang w:val="en-US" w:eastAsia="zh-CN"/>
                    </w:rPr>
                    <w:t>1313.76</w:t>
                  </w:r>
                </w:p>
              </w:tc>
              <w:tc>
                <w:tcPr>
                  <w:tcW w:w="488" w:type="pct"/>
                  <w:vMerge w:val="restart"/>
                  <w:noWrap w:val="0"/>
                  <w:vAlign w:val="center"/>
                </w:tcPr>
                <w:p w14:paraId="2CDAFF30">
                  <w:pPr>
                    <w:adjustRightInd w:val="0"/>
                    <w:snapToGrid w:val="0"/>
                    <w:spacing w:line="360" w:lineRule="exact"/>
                    <w:ind w:left="-72" w:leftChars="-30" w:right="-72" w:rightChars="-30"/>
                    <w:jc w:val="center"/>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12</w:t>
                  </w:r>
                </w:p>
              </w:tc>
              <w:tc>
                <w:tcPr>
                  <w:tcW w:w="631" w:type="pct"/>
                  <w:vMerge w:val="continue"/>
                  <w:noWrap w:val="0"/>
                  <w:vAlign w:val="center"/>
                </w:tcPr>
                <w:p w14:paraId="156A0BED">
                  <w:pPr>
                    <w:widowControl/>
                    <w:jc w:val="center"/>
                    <w:textAlignment w:val="center"/>
                    <w:rPr>
                      <w:rFonts w:hint="default" w:ascii="Times New Roman" w:hAnsi="Times New Roman" w:eastAsia="宋体" w:cs="Times New Roman"/>
                      <w:b w:val="0"/>
                      <w:bCs/>
                      <w:color w:val="auto"/>
                      <w:kern w:val="2"/>
                      <w:sz w:val="21"/>
                      <w:szCs w:val="21"/>
                      <w:highlight w:val="none"/>
                      <w:lang w:val="en-US" w:eastAsia="zh-CN" w:bidi="ar"/>
                    </w:rPr>
                  </w:pPr>
                </w:p>
              </w:tc>
              <w:tc>
                <w:tcPr>
                  <w:tcW w:w="814" w:type="pct"/>
                  <w:vMerge w:val="continue"/>
                  <w:noWrap w:val="0"/>
                  <w:vAlign w:val="center"/>
                </w:tcPr>
                <w:p w14:paraId="031E32F2">
                  <w:pPr>
                    <w:keepNext w:val="0"/>
                    <w:keepLines w:val="0"/>
                    <w:widowControl/>
                    <w:suppressLineNumbers w:val="0"/>
                    <w:jc w:val="center"/>
                    <w:textAlignment w:val="center"/>
                    <w:rPr>
                      <w:rFonts w:hint="default" w:ascii="Times New Roman" w:hAnsi="Times New Roman" w:eastAsia="宋体" w:cs="Times New Roman"/>
                      <w:b w:val="0"/>
                      <w:bCs/>
                      <w:color w:val="auto"/>
                      <w:kern w:val="2"/>
                      <w:sz w:val="21"/>
                      <w:szCs w:val="21"/>
                      <w:lang w:val="en-US" w:eastAsia="zh-CN" w:bidi="ar-SA"/>
                    </w:rPr>
                  </w:pPr>
                </w:p>
              </w:tc>
              <w:tc>
                <w:tcPr>
                  <w:tcW w:w="1007" w:type="pct"/>
                  <w:vMerge w:val="continue"/>
                  <w:noWrap w:val="0"/>
                  <w:vAlign w:val="center"/>
                </w:tcPr>
                <w:p w14:paraId="605246C0">
                  <w:pPr>
                    <w:keepNext w:val="0"/>
                    <w:keepLines w:val="0"/>
                    <w:widowControl/>
                    <w:suppressLineNumbers w:val="0"/>
                    <w:jc w:val="center"/>
                    <w:textAlignment w:val="center"/>
                    <w:rPr>
                      <w:rFonts w:hint="default" w:ascii="Times New Roman" w:hAnsi="Times New Roman" w:eastAsia="宋体" w:cs="Times New Roman"/>
                      <w:b w:val="0"/>
                      <w:bCs/>
                      <w:color w:val="auto"/>
                      <w:kern w:val="2"/>
                      <w:sz w:val="21"/>
                      <w:szCs w:val="21"/>
                      <w:lang w:val="en-US" w:eastAsia="zh-CN" w:bidi="ar-SA"/>
                    </w:rPr>
                  </w:pPr>
                </w:p>
              </w:tc>
              <w:tc>
                <w:tcPr>
                  <w:tcW w:w="1120" w:type="pct"/>
                  <w:vMerge w:val="continue"/>
                  <w:noWrap w:val="0"/>
                  <w:vAlign w:val="center"/>
                </w:tcPr>
                <w:p w14:paraId="19A21551">
                  <w:pPr>
                    <w:adjustRightInd w:val="0"/>
                    <w:snapToGrid w:val="0"/>
                    <w:spacing w:line="360" w:lineRule="exact"/>
                    <w:ind w:left="-72" w:leftChars="-30" w:right="-72" w:rightChars="-30"/>
                    <w:jc w:val="center"/>
                    <w:rPr>
                      <w:rFonts w:hint="default" w:ascii="Times New Roman" w:hAnsi="Times New Roman" w:eastAsia="宋体" w:cs="Times New Roman"/>
                      <w:b w:val="0"/>
                      <w:bCs/>
                      <w:color w:val="auto"/>
                      <w:sz w:val="21"/>
                      <w:szCs w:val="21"/>
                      <w:lang w:val="en-US" w:eastAsia="zh-CN"/>
                    </w:rPr>
                  </w:pPr>
                </w:p>
              </w:tc>
            </w:tr>
            <w:tr w14:paraId="66716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467" w:type="pct"/>
                  <w:vMerge w:val="continue"/>
                  <w:noWrap w:val="0"/>
                  <w:vAlign w:val="center"/>
                </w:tcPr>
                <w:p w14:paraId="44E7C72E">
                  <w:pPr>
                    <w:adjustRightInd w:val="0"/>
                    <w:snapToGrid w:val="0"/>
                    <w:spacing w:line="360" w:lineRule="exact"/>
                    <w:ind w:left="-72" w:leftChars="-30" w:right="-72" w:rightChars="-30"/>
                    <w:jc w:val="center"/>
                    <w:rPr>
                      <w:rFonts w:hint="eastAsia" w:ascii="Times New Roman" w:hAnsi="Times New Roman" w:cs="Times New Roman"/>
                      <w:b w:val="0"/>
                      <w:bCs/>
                      <w:color w:val="auto"/>
                      <w:sz w:val="21"/>
                      <w:szCs w:val="21"/>
                      <w:lang w:val="en-US" w:eastAsia="zh-CN"/>
                    </w:rPr>
                  </w:pPr>
                </w:p>
              </w:tc>
              <w:tc>
                <w:tcPr>
                  <w:tcW w:w="470" w:type="pct"/>
                  <w:vMerge w:val="continue"/>
                  <w:noWrap w:val="0"/>
                  <w:vAlign w:val="center"/>
                </w:tcPr>
                <w:p w14:paraId="7E85A622">
                  <w:pPr>
                    <w:adjustRightInd w:val="0"/>
                    <w:snapToGrid w:val="0"/>
                    <w:spacing w:line="360" w:lineRule="exact"/>
                    <w:ind w:left="-72" w:leftChars="-30" w:right="-72" w:rightChars="-30"/>
                    <w:jc w:val="center"/>
                    <w:rPr>
                      <w:rFonts w:hint="eastAsia" w:cs="Times New Roman"/>
                      <w:b w:val="0"/>
                      <w:bCs/>
                      <w:color w:val="auto"/>
                      <w:kern w:val="1"/>
                      <w:sz w:val="21"/>
                      <w:szCs w:val="21"/>
                      <w:lang w:val="en-US" w:eastAsia="zh-CN"/>
                    </w:rPr>
                  </w:pPr>
                </w:p>
              </w:tc>
              <w:tc>
                <w:tcPr>
                  <w:tcW w:w="488" w:type="pct"/>
                  <w:vMerge w:val="continue"/>
                  <w:noWrap w:val="0"/>
                  <w:vAlign w:val="center"/>
                </w:tcPr>
                <w:p w14:paraId="43B1185C">
                  <w:pPr>
                    <w:adjustRightInd w:val="0"/>
                    <w:snapToGrid w:val="0"/>
                    <w:spacing w:line="360" w:lineRule="exact"/>
                    <w:ind w:left="-72" w:leftChars="-30" w:right="-72" w:rightChars="-30"/>
                    <w:jc w:val="center"/>
                    <w:rPr>
                      <w:rFonts w:hint="eastAsia" w:cs="Times New Roman"/>
                      <w:b w:val="0"/>
                      <w:bCs/>
                      <w:color w:val="auto"/>
                      <w:sz w:val="21"/>
                      <w:szCs w:val="21"/>
                      <w:lang w:val="en-US" w:eastAsia="zh-CN"/>
                    </w:rPr>
                  </w:pPr>
                </w:p>
              </w:tc>
              <w:tc>
                <w:tcPr>
                  <w:tcW w:w="631" w:type="pct"/>
                  <w:noWrap w:val="0"/>
                  <w:vAlign w:val="center"/>
                </w:tcPr>
                <w:p w14:paraId="4F49E517">
                  <w:pPr>
                    <w:widowControl/>
                    <w:jc w:val="center"/>
                    <w:textAlignment w:val="center"/>
                    <w:rPr>
                      <w:rFonts w:hint="default" w:hAnsi="宋体"/>
                      <w:b w:val="0"/>
                      <w:bCs/>
                      <w:color w:val="auto"/>
                      <w:sz w:val="21"/>
                      <w:szCs w:val="21"/>
                      <w:lang w:val="en-US" w:eastAsia="zh-CN"/>
                    </w:rPr>
                  </w:pPr>
                  <w:r>
                    <w:rPr>
                      <w:rFonts w:hint="eastAsia" w:hAnsi="宋体"/>
                      <w:b w:val="0"/>
                      <w:bCs/>
                      <w:color w:val="auto"/>
                      <w:sz w:val="21"/>
                      <w:szCs w:val="21"/>
                      <w:lang w:val="en-US" w:eastAsia="zh-CN"/>
                    </w:rPr>
                    <w:t>颗粒物</w:t>
                  </w:r>
                </w:p>
              </w:tc>
              <w:tc>
                <w:tcPr>
                  <w:tcW w:w="814" w:type="pct"/>
                  <w:noWrap w:val="0"/>
                  <w:vAlign w:val="center"/>
                </w:tcPr>
                <w:p w14:paraId="0ACF07A3">
                  <w:pPr>
                    <w:keepNext w:val="0"/>
                    <w:keepLines w:val="0"/>
                    <w:widowControl/>
                    <w:suppressLineNumbers w:val="0"/>
                    <w:jc w:val="center"/>
                    <w:textAlignment w:val="center"/>
                    <w:rPr>
                      <w:rFonts w:hint="default"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0.65</w:t>
                  </w:r>
                </w:p>
              </w:tc>
              <w:tc>
                <w:tcPr>
                  <w:tcW w:w="1007" w:type="pct"/>
                  <w:noWrap w:val="0"/>
                  <w:vAlign w:val="center"/>
                </w:tcPr>
                <w:p w14:paraId="12C95E48">
                  <w:pPr>
                    <w:keepNext w:val="0"/>
                    <w:keepLines w:val="0"/>
                    <w:widowControl/>
                    <w:suppressLineNumbers w:val="0"/>
                    <w:jc w:val="center"/>
                    <w:textAlignment w:val="center"/>
                    <w:rPr>
                      <w:rFonts w:hint="default"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0.13</w:t>
                  </w:r>
                </w:p>
              </w:tc>
              <w:tc>
                <w:tcPr>
                  <w:tcW w:w="1120" w:type="pct"/>
                  <w:noWrap w:val="0"/>
                  <w:vAlign w:val="center"/>
                </w:tcPr>
                <w:p w14:paraId="29A77246">
                  <w:pPr>
                    <w:adjustRightInd w:val="0"/>
                    <w:snapToGrid w:val="0"/>
                    <w:spacing w:line="360" w:lineRule="exact"/>
                    <w:ind w:left="-72" w:leftChars="-30" w:right="-72" w:rightChars="-30"/>
                    <w:jc w:val="center"/>
                    <w:rPr>
                      <w:rFonts w:hint="default" w:ascii="Times New Roman" w:hAnsi="Times New Roman" w:cs="Times New Roman"/>
                      <w:b w:val="0"/>
                      <w:bCs/>
                      <w:color w:val="auto"/>
                      <w:sz w:val="21"/>
                      <w:szCs w:val="21"/>
                      <w:lang w:val="en-US" w:eastAsia="zh-CN"/>
                    </w:rPr>
                  </w:pPr>
                  <w:r>
                    <w:rPr>
                      <w:rFonts w:hint="eastAsia" w:cs="Times New Roman"/>
                      <w:b w:val="0"/>
                      <w:bCs/>
                      <w:color w:val="auto"/>
                      <w:sz w:val="21"/>
                      <w:szCs w:val="21"/>
                      <w:lang w:val="en-US" w:eastAsia="zh-CN"/>
                    </w:rPr>
                    <w:t>1.0</w:t>
                  </w:r>
                </w:p>
              </w:tc>
            </w:tr>
          </w:tbl>
          <w:p w14:paraId="291A2781">
            <w:pPr>
              <w:pStyle w:val="16"/>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default"/>
                <w:vertAlign w:val="baseline"/>
              </w:rPr>
            </w:pPr>
          </w:p>
        </w:tc>
      </w:tr>
    </w:tbl>
    <w:p w14:paraId="479FC8F1">
      <w:pPr>
        <w:pStyle w:val="16"/>
        <w:keepNext w:val="0"/>
        <w:keepLines w:val="0"/>
        <w:pageBreakBefore w:val="0"/>
        <w:widowControl w:val="0"/>
        <w:kinsoku/>
        <w:wordWrap/>
        <w:overflowPunct/>
        <w:topLinePunct w:val="0"/>
        <w:autoSpaceDE/>
        <w:autoSpaceDN/>
        <w:bidi w:val="0"/>
        <w:adjustRightInd/>
        <w:snapToGrid/>
        <w:ind w:left="0"/>
        <w:jc w:val="center"/>
        <w:textAlignment w:val="auto"/>
        <w:rPr>
          <w:rFonts w:hint="default"/>
        </w:rPr>
        <w:sectPr>
          <w:pgSz w:w="16838" w:h="11906" w:orient="landscape"/>
          <w:pgMar w:top="1417" w:right="1417" w:bottom="1417" w:left="1417" w:header="851" w:footer="992" w:gutter="0"/>
          <w:pgNumType w:fmt="decimal"/>
          <w:cols w:space="720" w:num="1"/>
          <w:rtlGutter w:val="0"/>
          <w:docGrid w:type="lines" w:linePitch="312" w:charSpace="0"/>
        </w:sectPr>
      </w:pP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85" w:type="dxa"/>
          <w:left w:w="108" w:type="dxa"/>
          <w:bottom w:w="85" w:type="dxa"/>
          <w:right w:w="108" w:type="dxa"/>
        </w:tblCellMar>
      </w:tblPr>
      <w:tblGrid>
        <w:gridCol w:w="732"/>
        <w:gridCol w:w="8556"/>
      </w:tblGrid>
      <w:tr w14:paraId="30E96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932" w:hRule="atLeast"/>
          <w:jc w:val="center"/>
        </w:trPr>
        <w:tc>
          <w:tcPr>
            <w:tcW w:w="738" w:type="dxa"/>
            <w:noWrap w:val="0"/>
            <w:vAlign w:val="center"/>
          </w:tcPr>
          <w:p w14:paraId="72D89F70">
            <w:pPr>
              <w:jc w:val="center"/>
              <w:rPr>
                <w:rFonts w:hint="default" w:ascii="Times New Roman" w:hAnsi="Times New Roman" w:cs="Times New Roman"/>
                <w:color w:val="auto"/>
                <w:sz w:val="24"/>
                <w:szCs w:val="22"/>
                <w:vertAlign w:val="baseline"/>
              </w:rPr>
            </w:pPr>
            <w:r>
              <w:rPr>
                <w:rFonts w:hint="default" w:ascii="Times New Roman" w:hAnsi="Times New Roman" w:cs="Times New Roman"/>
                <w:color w:val="auto"/>
                <w:sz w:val="24"/>
                <w:szCs w:val="22"/>
                <w:vertAlign w:val="baseline"/>
              </w:rPr>
              <w:t>运营</w:t>
            </w:r>
          </w:p>
          <w:p w14:paraId="78A529E0">
            <w:pPr>
              <w:jc w:val="center"/>
              <w:rPr>
                <w:rFonts w:hint="default" w:ascii="Times New Roman" w:hAnsi="Times New Roman" w:cs="Times New Roman"/>
                <w:color w:val="auto"/>
                <w:sz w:val="24"/>
                <w:szCs w:val="22"/>
                <w:vertAlign w:val="baseline"/>
              </w:rPr>
            </w:pPr>
            <w:r>
              <w:rPr>
                <w:rFonts w:hint="default" w:ascii="Times New Roman" w:hAnsi="Times New Roman" w:cs="Times New Roman"/>
                <w:color w:val="auto"/>
                <w:sz w:val="24"/>
                <w:szCs w:val="22"/>
                <w:vertAlign w:val="baseline"/>
              </w:rPr>
              <w:t>期环</w:t>
            </w:r>
          </w:p>
          <w:p w14:paraId="46EE1678">
            <w:pPr>
              <w:jc w:val="center"/>
              <w:rPr>
                <w:rFonts w:hint="default" w:ascii="Times New Roman" w:hAnsi="Times New Roman" w:cs="Times New Roman"/>
                <w:color w:val="auto"/>
                <w:sz w:val="24"/>
                <w:szCs w:val="22"/>
                <w:vertAlign w:val="baseline"/>
              </w:rPr>
            </w:pPr>
            <w:r>
              <w:rPr>
                <w:rFonts w:hint="default" w:ascii="Times New Roman" w:hAnsi="Times New Roman" w:cs="Times New Roman"/>
                <w:color w:val="auto"/>
                <w:sz w:val="24"/>
                <w:szCs w:val="22"/>
                <w:vertAlign w:val="baseline"/>
              </w:rPr>
              <w:t>境影</w:t>
            </w:r>
          </w:p>
          <w:p w14:paraId="449E7970">
            <w:pPr>
              <w:jc w:val="center"/>
              <w:rPr>
                <w:rFonts w:hint="default" w:ascii="Times New Roman" w:hAnsi="Times New Roman" w:cs="Times New Roman"/>
                <w:color w:val="auto"/>
                <w:sz w:val="24"/>
                <w:szCs w:val="22"/>
                <w:vertAlign w:val="baseline"/>
              </w:rPr>
            </w:pPr>
            <w:r>
              <w:rPr>
                <w:rFonts w:hint="default" w:ascii="Times New Roman" w:hAnsi="Times New Roman" w:cs="Times New Roman"/>
                <w:color w:val="auto"/>
                <w:sz w:val="24"/>
                <w:szCs w:val="22"/>
                <w:vertAlign w:val="baseline"/>
              </w:rPr>
              <w:t>响和</w:t>
            </w:r>
          </w:p>
          <w:p w14:paraId="2E45EA13">
            <w:pPr>
              <w:jc w:val="center"/>
              <w:rPr>
                <w:rFonts w:hint="default" w:ascii="Times New Roman" w:hAnsi="Times New Roman" w:cs="Times New Roman"/>
                <w:color w:val="auto"/>
                <w:sz w:val="24"/>
                <w:szCs w:val="22"/>
                <w:vertAlign w:val="baseline"/>
              </w:rPr>
            </w:pPr>
            <w:r>
              <w:rPr>
                <w:rFonts w:hint="default" w:ascii="Times New Roman" w:hAnsi="Times New Roman" w:cs="Times New Roman"/>
                <w:color w:val="auto"/>
                <w:sz w:val="24"/>
                <w:szCs w:val="22"/>
                <w:vertAlign w:val="baseline"/>
              </w:rPr>
              <w:t>保护</w:t>
            </w:r>
          </w:p>
          <w:p w14:paraId="18D541B0">
            <w:pPr>
              <w:jc w:val="center"/>
              <w:rPr>
                <w:rFonts w:hint="default" w:ascii="Times New Roman" w:hAnsi="Times New Roman" w:cs="Times New Roman"/>
                <w:color w:val="0000FF"/>
                <w:sz w:val="24"/>
                <w:szCs w:val="22"/>
                <w:vertAlign w:val="baseline"/>
              </w:rPr>
            </w:pPr>
            <w:r>
              <w:rPr>
                <w:rFonts w:hint="default" w:ascii="Times New Roman" w:hAnsi="Times New Roman" w:cs="Times New Roman"/>
                <w:color w:val="auto"/>
                <w:sz w:val="24"/>
                <w:szCs w:val="22"/>
                <w:vertAlign w:val="baseline"/>
              </w:rPr>
              <w:t>措施</w:t>
            </w:r>
          </w:p>
        </w:tc>
        <w:tc>
          <w:tcPr>
            <w:tcW w:w="8541" w:type="dxa"/>
            <w:noWrap w:val="0"/>
            <w:vAlign w:val="top"/>
          </w:tcPr>
          <w:p w14:paraId="174B1169">
            <w:pPr>
              <w:pStyle w:val="45"/>
              <w:keepNext w:val="0"/>
              <w:keepLines w:val="0"/>
              <w:pageBreakBefore w:val="0"/>
              <w:widowControl w:val="0"/>
              <w:kinsoku/>
              <w:wordWrap/>
              <w:overflowPunct/>
              <w:topLinePunct w:val="0"/>
              <w:autoSpaceDN/>
              <w:bidi w:val="0"/>
              <w:adjustRightInd/>
              <w:snapToGrid/>
              <w:ind w:firstLine="480"/>
              <w:textAlignment w:val="auto"/>
              <w:rPr>
                <w:bCs/>
                <w:color w:val="auto"/>
                <w:szCs w:val="24"/>
              </w:rPr>
            </w:pPr>
            <w:r>
              <w:rPr>
                <w:bCs/>
                <w:color w:val="auto"/>
                <w:szCs w:val="24"/>
              </w:rPr>
              <w:t>（</w:t>
            </w:r>
            <w:r>
              <w:rPr>
                <w:rFonts w:hint="eastAsia"/>
                <w:bCs/>
                <w:color w:val="auto"/>
                <w:szCs w:val="24"/>
                <w:lang w:val="en-US" w:eastAsia="zh-CN"/>
              </w:rPr>
              <w:t>2</w:t>
            </w:r>
            <w:r>
              <w:rPr>
                <w:bCs/>
                <w:color w:val="auto"/>
                <w:szCs w:val="24"/>
              </w:rPr>
              <w:t>）非正常排放污染源源强分析</w:t>
            </w:r>
          </w:p>
          <w:p w14:paraId="240E765F">
            <w:pPr>
              <w:keepNext w:val="0"/>
              <w:keepLines w:val="0"/>
              <w:pageBreakBefore w:val="0"/>
              <w:kinsoku/>
              <w:wordWrap/>
              <w:overflowPunct/>
              <w:topLinePunct w:val="0"/>
              <w:autoSpaceDE w:val="0"/>
              <w:autoSpaceDN/>
              <w:bidi w:val="0"/>
              <w:adjustRightInd/>
              <w:snapToGrid/>
              <w:spacing w:line="360" w:lineRule="auto"/>
              <w:ind w:firstLine="480" w:firstLineChars="200"/>
              <w:jc w:val="both"/>
              <w:textAlignment w:val="auto"/>
              <w:rPr>
                <w:rFonts w:hint="eastAsia" w:ascii="Times New Roman" w:hAnsi="Times New Roman" w:cs="Times New Roman"/>
                <w:color w:val="auto"/>
                <w:sz w:val="24"/>
              </w:rPr>
            </w:pPr>
            <w:r>
              <w:rPr>
                <w:rFonts w:hint="eastAsia" w:ascii="Times New Roman" w:hAnsi="Times New Roman" w:cs="Times New Roman"/>
                <w:color w:val="auto"/>
                <w:sz w:val="24"/>
              </w:rPr>
              <w:t>非正常生产与事故状况是指开车、停车、机械故障、设备检修时的物料流失等因素所排放的废气对环境造成的影响。对此要有预防和控制措施，在生产中须高度重视。</w:t>
            </w:r>
          </w:p>
          <w:p w14:paraId="63C90434">
            <w:pPr>
              <w:keepNext w:val="0"/>
              <w:keepLines w:val="0"/>
              <w:pageBreakBefore w:val="0"/>
              <w:kinsoku/>
              <w:wordWrap/>
              <w:overflowPunct/>
              <w:topLinePunct w:val="0"/>
              <w:autoSpaceDE w:val="0"/>
              <w:autoSpaceDN/>
              <w:bidi w:val="0"/>
              <w:adjustRightInd/>
              <w:snapToGrid/>
              <w:spacing w:line="360" w:lineRule="auto"/>
              <w:ind w:firstLine="480" w:firstLineChars="200"/>
              <w:jc w:val="both"/>
              <w:textAlignment w:val="auto"/>
              <w:rPr>
                <w:rFonts w:hint="eastAsia" w:ascii="Times New Roman" w:hAnsi="Times New Roman" w:cs="Times New Roman"/>
                <w:color w:val="auto"/>
                <w:sz w:val="24"/>
              </w:rPr>
            </w:pPr>
            <w:r>
              <w:rPr>
                <w:rFonts w:hint="eastAsia" w:ascii="Times New Roman" w:hAnsi="Times New Roman" w:cs="Times New Roman"/>
                <w:color w:val="auto"/>
                <w:sz w:val="24"/>
              </w:rPr>
              <w:t>本项目涉及的大气污染物非正常排放工况主要为</w:t>
            </w:r>
            <w:r>
              <w:rPr>
                <w:rFonts w:hint="eastAsia" w:ascii="Times New Roman" w:hAnsi="Times New Roman" w:cs="Times New Roman"/>
                <w:color w:val="auto"/>
                <w:sz w:val="24"/>
                <w:lang w:val="en-US" w:eastAsia="zh-CN"/>
              </w:rPr>
              <w:t>活性炭吸附装置</w:t>
            </w:r>
            <w:r>
              <w:rPr>
                <w:rFonts w:hint="eastAsia" w:ascii="Times New Roman" w:hAnsi="Times New Roman" w:cs="Times New Roman"/>
                <w:color w:val="auto"/>
                <w:sz w:val="24"/>
              </w:rPr>
              <w:t>出现故障，净化效率下降至0%的非正常排放，项目非正常工况排放的废气源强见下表。</w:t>
            </w:r>
          </w:p>
          <w:p w14:paraId="38A287B9">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line="360" w:lineRule="auto"/>
              <w:jc w:val="center"/>
              <w:textAlignment w:val="auto"/>
              <w:rPr>
                <w:rFonts w:ascii="Times New Roman" w:hAnsi="Times New Roman" w:cs="Times New Roman"/>
                <w:color w:val="auto"/>
                <w:sz w:val="24"/>
                <w:szCs w:val="24"/>
              </w:rPr>
            </w:pPr>
            <w:r>
              <w:rPr>
                <w:rFonts w:hint="eastAsia" w:ascii="Times New Roman" w:hAnsi="Times New Roman" w:cs="宋体"/>
                <w:b/>
                <w:color w:val="auto"/>
                <w:sz w:val="24"/>
                <w:szCs w:val="24"/>
                <w:lang w:bidi="ar"/>
              </w:rPr>
              <w:t>表</w:t>
            </w:r>
            <w:r>
              <w:rPr>
                <w:rFonts w:hint="eastAsia" w:ascii="Times New Roman" w:hAnsi="Times New Roman" w:cs="Times New Roman"/>
                <w:b/>
                <w:color w:val="auto"/>
                <w:sz w:val="24"/>
                <w:szCs w:val="24"/>
                <w:lang w:val="en-US" w:eastAsia="zh-CN" w:bidi="ar"/>
              </w:rPr>
              <w:t>4</w:t>
            </w:r>
            <w:r>
              <w:rPr>
                <w:rFonts w:ascii="Times New Roman" w:hAnsi="Times New Roman" w:cs="Times New Roman"/>
                <w:b/>
                <w:color w:val="auto"/>
                <w:sz w:val="24"/>
                <w:szCs w:val="24"/>
                <w:lang w:bidi="ar"/>
              </w:rPr>
              <w:t>-</w:t>
            </w:r>
            <w:r>
              <w:rPr>
                <w:rFonts w:hint="eastAsia" w:cs="Times New Roman"/>
                <w:b/>
                <w:color w:val="auto"/>
                <w:sz w:val="24"/>
                <w:szCs w:val="24"/>
                <w:lang w:val="en-US" w:eastAsia="zh-CN" w:bidi="ar"/>
              </w:rPr>
              <w:t>8</w:t>
            </w:r>
            <w:r>
              <w:rPr>
                <w:rFonts w:ascii="Times New Roman" w:hAnsi="Times New Roman" w:cs="Times New Roman"/>
                <w:b/>
                <w:color w:val="auto"/>
                <w:sz w:val="24"/>
                <w:szCs w:val="24"/>
                <w:lang w:bidi="ar"/>
              </w:rPr>
              <w:t xml:space="preserve"> </w:t>
            </w:r>
            <w:r>
              <w:rPr>
                <w:rFonts w:hint="eastAsia" w:ascii="Times New Roman" w:hAnsi="Times New Roman" w:cs="Times New Roman"/>
                <w:b/>
                <w:color w:val="auto"/>
                <w:sz w:val="24"/>
                <w:szCs w:val="24"/>
                <w:lang w:val="en-US" w:eastAsia="zh-CN" w:bidi="ar"/>
              </w:rPr>
              <w:t xml:space="preserve"> </w:t>
            </w:r>
            <w:r>
              <w:rPr>
                <w:rFonts w:hint="eastAsia" w:ascii="Times New Roman" w:hAnsi="Times New Roman" w:cs="Times New Roman"/>
                <w:b/>
                <w:color w:val="auto"/>
                <w:sz w:val="24"/>
                <w:szCs w:val="24"/>
                <w:lang w:bidi="ar"/>
              </w:rPr>
              <w:t>非正常工况下</w:t>
            </w:r>
            <w:r>
              <w:rPr>
                <w:rFonts w:hint="eastAsia" w:ascii="Times New Roman" w:hAnsi="Times New Roman" w:cs="宋体"/>
                <w:b/>
                <w:color w:val="auto"/>
                <w:sz w:val="24"/>
                <w:szCs w:val="24"/>
                <w:lang w:bidi="ar"/>
              </w:rPr>
              <w:t>污染物排放情况表</w:t>
            </w:r>
          </w:p>
          <w:tbl>
            <w:tblPr>
              <w:tblStyle w:val="2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834"/>
              <w:gridCol w:w="870"/>
              <w:gridCol w:w="846"/>
              <w:gridCol w:w="1046"/>
              <w:gridCol w:w="1274"/>
              <w:gridCol w:w="1158"/>
              <w:gridCol w:w="895"/>
              <w:gridCol w:w="1399"/>
            </w:tblGrid>
            <w:tr w14:paraId="61401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501" w:type="pct"/>
                  <w:vMerge w:val="restart"/>
                  <w:noWrap w:val="0"/>
                  <w:vAlign w:val="center"/>
                </w:tcPr>
                <w:p w14:paraId="62D75ABB">
                  <w:pPr>
                    <w:keepNext w:val="0"/>
                    <w:keepLines w:val="0"/>
                    <w:pageBreakBefore w:val="0"/>
                    <w:widowControl/>
                    <w:kinsoku/>
                    <w:wordWrap/>
                    <w:overflowPunct/>
                    <w:topLinePunct w:val="0"/>
                    <w:autoSpaceDE/>
                    <w:autoSpaceDN/>
                    <w:bidi w:val="0"/>
                    <w:adjustRightInd/>
                    <w:snapToGrid/>
                    <w:jc w:val="center"/>
                    <w:textAlignment w:val="center"/>
                    <w:rPr>
                      <w:rFonts w:hint="eastAsia" w:ascii="Times New Roman" w:hAnsi="Times New Roman" w:eastAsia="宋体" w:cs="Times New Roman"/>
                      <w:b w:val="0"/>
                      <w:bCs/>
                      <w:color w:val="auto"/>
                      <w:sz w:val="21"/>
                      <w:szCs w:val="21"/>
                      <w:lang w:eastAsia="zh-CN"/>
                    </w:rPr>
                  </w:pPr>
                  <w:r>
                    <w:rPr>
                      <w:rFonts w:hint="eastAsia" w:ascii="Times New Roman" w:hAnsi="Times New Roman" w:cs="Times New Roman"/>
                      <w:b w:val="0"/>
                      <w:bCs/>
                      <w:color w:val="auto"/>
                      <w:sz w:val="21"/>
                      <w:szCs w:val="21"/>
                      <w:lang w:eastAsia="zh-CN"/>
                    </w:rPr>
                    <w:t>污染源</w:t>
                  </w:r>
                </w:p>
              </w:tc>
              <w:tc>
                <w:tcPr>
                  <w:tcW w:w="522" w:type="pct"/>
                  <w:vMerge w:val="restart"/>
                  <w:noWrap w:val="0"/>
                  <w:vAlign w:val="center"/>
                </w:tcPr>
                <w:p w14:paraId="70B81771">
                  <w:pPr>
                    <w:keepNext w:val="0"/>
                    <w:keepLines w:val="0"/>
                    <w:pageBreakBefore w:val="0"/>
                    <w:widowControl/>
                    <w:kinsoku/>
                    <w:wordWrap/>
                    <w:overflowPunct/>
                    <w:topLinePunct w:val="0"/>
                    <w:autoSpaceDE/>
                    <w:autoSpaceDN/>
                    <w:bidi w:val="0"/>
                    <w:adjustRightInd/>
                    <w:snapToGrid/>
                    <w:jc w:val="center"/>
                    <w:textAlignment w:val="center"/>
                    <w:rPr>
                      <w:rFonts w:ascii="Times New Roman" w:hAnsi="Times New Roman" w:cs="Times New Roman"/>
                      <w:b w:val="0"/>
                      <w:bCs/>
                      <w:color w:val="auto"/>
                      <w:sz w:val="21"/>
                      <w:szCs w:val="21"/>
                      <w:lang w:bidi="ar"/>
                    </w:rPr>
                  </w:pPr>
                  <w:r>
                    <w:rPr>
                      <w:rFonts w:ascii="Times New Roman" w:hAnsi="Times New Roman" w:cs="Times New Roman"/>
                      <w:b w:val="0"/>
                      <w:bCs/>
                      <w:color w:val="auto"/>
                      <w:sz w:val="21"/>
                      <w:szCs w:val="21"/>
                      <w:lang w:bidi="ar"/>
                    </w:rPr>
                    <w:t>污染物</w:t>
                  </w:r>
                </w:p>
              </w:tc>
              <w:tc>
                <w:tcPr>
                  <w:tcW w:w="508" w:type="pct"/>
                  <w:vMerge w:val="restart"/>
                  <w:noWrap w:val="0"/>
                  <w:vAlign w:val="center"/>
                </w:tcPr>
                <w:p w14:paraId="546C3978">
                  <w:pPr>
                    <w:keepNext w:val="0"/>
                    <w:keepLines w:val="0"/>
                    <w:pageBreakBefore w:val="0"/>
                    <w:widowControl/>
                    <w:kinsoku/>
                    <w:wordWrap/>
                    <w:overflowPunct/>
                    <w:topLinePunct w:val="0"/>
                    <w:autoSpaceDE/>
                    <w:autoSpaceDN/>
                    <w:bidi w:val="0"/>
                    <w:adjustRightInd/>
                    <w:snapToGrid/>
                    <w:jc w:val="center"/>
                    <w:textAlignment w:val="center"/>
                    <w:rPr>
                      <w:rFonts w:ascii="Times New Roman" w:hAnsi="Times New Roman" w:cs="Times New Roman"/>
                      <w:b w:val="0"/>
                      <w:bCs/>
                      <w:color w:val="auto"/>
                      <w:sz w:val="21"/>
                      <w:szCs w:val="21"/>
                    </w:rPr>
                  </w:pPr>
                  <w:r>
                    <w:rPr>
                      <w:rFonts w:ascii="Times New Roman" w:hAnsi="Times New Roman" w:cs="Times New Roman"/>
                      <w:b w:val="0"/>
                      <w:bCs/>
                      <w:color w:val="auto"/>
                      <w:sz w:val="21"/>
                      <w:szCs w:val="21"/>
                      <w:lang w:bidi="ar"/>
                    </w:rPr>
                    <w:t>风量（m</w:t>
                  </w:r>
                  <w:r>
                    <w:rPr>
                      <w:rFonts w:ascii="Times New Roman" w:hAnsi="Times New Roman" w:cs="Times New Roman"/>
                      <w:b w:val="0"/>
                      <w:bCs/>
                      <w:color w:val="auto"/>
                      <w:sz w:val="21"/>
                      <w:szCs w:val="21"/>
                      <w:vertAlign w:val="superscript"/>
                      <w:lang w:bidi="ar"/>
                    </w:rPr>
                    <w:t>3</w:t>
                  </w:r>
                  <w:r>
                    <w:rPr>
                      <w:rFonts w:ascii="Times New Roman" w:hAnsi="Times New Roman" w:cs="Times New Roman"/>
                      <w:b w:val="0"/>
                      <w:bCs/>
                      <w:color w:val="auto"/>
                      <w:sz w:val="21"/>
                      <w:szCs w:val="21"/>
                      <w:lang w:bidi="ar"/>
                    </w:rPr>
                    <w:t>/h</w:t>
                  </w:r>
                  <w:r>
                    <w:rPr>
                      <w:rFonts w:hint="eastAsia" w:ascii="Times New Roman" w:hAnsi="Times New Roman" w:cs="宋体"/>
                      <w:b w:val="0"/>
                      <w:bCs/>
                      <w:color w:val="auto"/>
                      <w:sz w:val="21"/>
                      <w:szCs w:val="21"/>
                      <w:lang w:bidi="ar"/>
                    </w:rPr>
                    <w:t>）</w:t>
                  </w:r>
                </w:p>
              </w:tc>
              <w:tc>
                <w:tcPr>
                  <w:tcW w:w="1393" w:type="pct"/>
                  <w:gridSpan w:val="2"/>
                  <w:noWrap w:val="0"/>
                  <w:vAlign w:val="center"/>
                </w:tcPr>
                <w:p w14:paraId="2233C7BB">
                  <w:pPr>
                    <w:keepNext w:val="0"/>
                    <w:keepLines w:val="0"/>
                    <w:pageBreakBefore w:val="0"/>
                    <w:widowControl/>
                    <w:kinsoku/>
                    <w:wordWrap/>
                    <w:overflowPunct/>
                    <w:topLinePunct w:val="0"/>
                    <w:autoSpaceDE/>
                    <w:autoSpaceDN/>
                    <w:bidi w:val="0"/>
                    <w:adjustRightInd/>
                    <w:snapToGrid/>
                    <w:jc w:val="center"/>
                    <w:textAlignment w:val="center"/>
                    <w:rPr>
                      <w:rFonts w:hint="eastAsia" w:ascii="Times New Roman" w:hAnsi="Times New Roman" w:eastAsia="宋体" w:cs="Times New Roman"/>
                      <w:b w:val="0"/>
                      <w:bCs/>
                      <w:color w:val="auto"/>
                      <w:sz w:val="21"/>
                      <w:szCs w:val="21"/>
                      <w:lang w:eastAsia="zh-CN"/>
                    </w:rPr>
                  </w:pPr>
                  <w:r>
                    <w:rPr>
                      <w:rFonts w:hint="eastAsia" w:ascii="Times New Roman" w:hAnsi="Times New Roman" w:cs="Times New Roman"/>
                      <w:b w:val="0"/>
                      <w:bCs/>
                      <w:color w:val="auto"/>
                      <w:sz w:val="21"/>
                      <w:szCs w:val="21"/>
                      <w:lang w:bidi="ar"/>
                    </w:rPr>
                    <w:t>非正常工况污染物排放</w:t>
                  </w:r>
                </w:p>
              </w:tc>
              <w:tc>
                <w:tcPr>
                  <w:tcW w:w="695" w:type="pct"/>
                  <w:vMerge w:val="restart"/>
                  <w:noWrap w:val="0"/>
                  <w:vAlign w:val="center"/>
                </w:tcPr>
                <w:p w14:paraId="11BA6A36">
                  <w:pPr>
                    <w:keepNext w:val="0"/>
                    <w:keepLines w:val="0"/>
                    <w:pageBreakBefore w:val="0"/>
                    <w:widowControl/>
                    <w:kinsoku/>
                    <w:wordWrap/>
                    <w:overflowPunct/>
                    <w:topLinePunct w:val="0"/>
                    <w:autoSpaceDE/>
                    <w:autoSpaceDN/>
                    <w:bidi w:val="0"/>
                    <w:adjustRightInd/>
                    <w:snapToGrid/>
                    <w:jc w:val="center"/>
                    <w:textAlignment w:val="center"/>
                    <w:rPr>
                      <w:rFonts w:hint="eastAsia" w:ascii="Times New Roman" w:hAnsi="Times New Roman" w:cs="Times New Roman"/>
                      <w:b w:val="0"/>
                      <w:bCs/>
                      <w:color w:val="auto"/>
                      <w:sz w:val="21"/>
                      <w:szCs w:val="21"/>
                    </w:rPr>
                  </w:pPr>
                  <w:r>
                    <w:rPr>
                      <w:b w:val="0"/>
                      <w:bCs/>
                      <w:color w:val="auto"/>
                      <w:spacing w:val="4"/>
                      <w:sz w:val="21"/>
                      <w:szCs w:val="21"/>
                    </w:rPr>
                    <w:t>单次持续时间</w:t>
                  </w:r>
                </w:p>
              </w:tc>
              <w:tc>
                <w:tcPr>
                  <w:tcW w:w="537" w:type="pct"/>
                  <w:vMerge w:val="restart"/>
                  <w:noWrap w:val="0"/>
                  <w:vAlign w:val="center"/>
                </w:tcPr>
                <w:p w14:paraId="69461BC0">
                  <w:pPr>
                    <w:keepNext w:val="0"/>
                    <w:keepLines w:val="0"/>
                    <w:pageBreakBefore w:val="0"/>
                    <w:widowControl/>
                    <w:kinsoku/>
                    <w:wordWrap/>
                    <w:overflowPunct/>
                    <w:topLinePunct w:val="0"/>
                    <w:autoSpaceDE/>
                    <w:autoSpaceDN/>
                    <w:bidi w:val="0"/>
                    <w:adjustRightInd/>
                    <w:snapToGrid/>
                    <w:jc w:val="center"/>
                    <w:textAlignment w:val="center"/>
                    <w:rPr>
                      <w:rFonts w:hint="eastAsia" w:ascii="Times New Roman" w:hAnsi="Times New Roman" w:cs="Times New Roman"/>
                      <w:b w:val="0"/>
                      <w:bCs/>
                      <w:color w:val="auto"/>
                      <w:sz w:val="21"/>
                      <w:szCs w:val="21"/>
                    </w:rPr>
                  </w:pPr>
                  <w:r>
                    <w:rPr>
                      <w:b w:val="0"/>
                      <w:bCs/>
                      <w:color w:val="auto"/>
                      <w:spacing w:val="4"/>
                      <w:sz w:val="21"/>
                      <w:szCs w:val="21"/>
                    </w:rPr>
                    <w:t>年发生频次</w:t>
                  </w:r>
                </w:p>
              </w:tc>
              <w:tc>
                <w:tcPr>
                  <w:tcW w:w="840" w:type="pct"/>
                  <w:vMerge w:val="restart"/>
                  <w:noWrap w:val="0"/>
                  <w:vAlign w:val="center"/>
                </w:tcPr>
                <w:p w14:paraId="00AFD7C8">
                  <w:pPr>
                    <w:keepNext w:val="0"/>
                    <w:keepLines w:val="0"/>
                    <w:pageBreakBefore w:val="0"/>
                    <w:widowControl/>
                    <w:kinsoku/>
                    <w:wordWrap/>
                    <w:overflowPunct/>
                    <w:topLinePunct w:val="0"/>
                    <w:autoSpaceDE/>
                    <w:autoSpaceDN/>
                    <w:bidi w:val="0"/>
                    <w:adjustRightInd/>
                    <w:snapToGrid/>
                    <w:jc w:val="center"/>
                    <w:textAlignment w:val="center"/>
                    <w:rPr>
                      <w:rFonts w:hint="eastAsia" w:ascii="Times New Roman" w:hAnsi="Times New Roman" w:cs="Times New Roman"/>
                      <w:b w:val="0"/>
                      <w:bCs/>
                      <w:color w:val="auto"/>
                      <w:sz w:val="21"/>
                      <w:szCs w:val="21"/>
                    </w:rPr>
                  </w:pPr>
                  <w:r>
                    <w:rPr>
                      <w:b w:val="0"/>
                      <w:bCs/>
                      <w:color w:val="auto"/>
                      <w:spacing w:val="4"/>
                      <w:sz w:val="21"/>
                      <w:szCs w:val="21"/>
                    </w:rPr>
                    <w:t>应对措施</w:t>
                  </w:r>
                </w:p>
              </w:tc>
            </w:tr>
            <w:tr w14:paraId="7DA5E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74" w:hRule="atLeast"/>
                <w:jc w:val="center"/>
              </w:trPr>
              <w:tc>
                <w:tcPr>
                  <w:tcW w:w="501" w:type="pct"/>
                  <w:vMerge w:val="continue"/>
                  <w:noWrap w:val="0"/>
                  <w:vAlign w:val="center"/>
                </w:tcPr>
                <w:p w14:paraId="3E842F84">
                  <w:pPr>
                    <w:keepNext w:val="0"/>
                    <w:keepLines w:val="0"/>
                    <w:pageBreakBefore w:val="0"/>
                    <w:kinsoku/>
                    <w:wordWrap/>
                    <w:overflowPunct/>
                    <w:topLinePunct w:val="0"/>
                    <w:autoSpaceDE/>
                    <w:autoSpaceDN/>
                    <w:bidi w:val="0"/>
                    <w:adjustRightInd/>
                    <w:snapToGrid/>
                    <w:jc w:val="center"/>
                    <w:rPr>
                      <w:rFonts w:ascii="Times New Roman" w:hAnsi="Times New Roman"/>
                      <w:b w:val="0"/>
                      <w:bCs/>
                      <w:color w:val="auto"/>
                      <w:sz w:val="21"/>
                      <w:szCs w:val="21"/>
                    </w:rPr>
                  </w:pPr>
                </w:p>
              </w:tc>
              <w:tc>
                <w:tcPr>
                  <w:tcW w:w="522" w:type="pct"/>
                  <w:vMerge w:val="continue"/>
                  <w:noWrap w:val="0"/>
                  <w:vAlign w:val="center"/>
                </w:tcPr>
                <w:p w14:paraId="6347FB3B">
                  <w:pPr>
                    <w:keepNext w:val="0"/>
                    <w:keepLines w:val="0"/>
                    <w:pageBreakBefore w:val="0"/>
                    <w:kinsoku/>
                    <w:wordWrap/>
                    <w:overflowPunct/>
                    <w:topLinePunct w:val="0"/>
                    <w:autoSpaceDE/>
                    <w:autoSpaceDN/>
                    <w:bidi w:val="0"/>
                    <w:adjustRightInd/>
                    <w:snapToGrid/>
                    <w:jc w:val="center"/>
                    <w:rPr>
                      <w:rFonts w:ascii="Times New Roman" w:hAnsi="Times New Roman"/>
                      <w:b w:val="0"/>
                      <w:bCs/>
                      <w:color w:val="auto"/>
                      <w:sz w:val="21"/>
                      <w:szCs w:val="21"/>
                    </w:rPr>
                  </w:pPr>
                </w:p>
              </w:tc>
              <w:tc>
                <w:tcPr>
                  <w:tcW w:w="508" w:type="pct"/>
                  <w:vMerge w:val="continue"/>
                  <w:noWrap w:val="0"/>
                  <w:vAlign w:val="center"/>
                </w:tcPr>
                <w:p w14:paraId="6D2C406A">
                  <w:pPr>
                    <w:keepNext w:val="0"/>
                    <w:keepLines w:val="0"/>
                    <w:pageBreakBefore w:val="0"/>
                    <w:kinsoku/>
                    <w:wordWrap/>
                    <w:overflowPunct/>
                    <w:topLinePunct w:val="0"/>
                    <w:autoSpaceDE/>
                    <w:autoSpaceDN/>
                    <w:bidi w:val="0"/>
                    <w:adjustRightInd/>
                    <w:snapToGrid/>
                    <w:jc w:val="center"/>
                    <w:rPr>
                      <w:rFonts w:ascii="Times New Roman" w:hAnsi="Times New Roman"/>
                      <w:b w:val="0"/>
                      <w:bCs/>
                      <w:color w:val="auto"/>
                      <w:sz w:val="21"/>
                      <w:szCs w:val="21"/>
                    </w:rPr>
                  </w:pPr>
                </w:p>
              </w:tc>
              <w:tc>
                <w:tcPr>
                  <w:tcW w:w="628" w:type="pct"/>
                  <w:noWrap w:val="0"/>
                  <w:vAlign w:val="center"/>
                </w:tcPr>
                <w:p w14:paraId="21B509C4">
                  <w:pPr>
                    <w:keepNext w:val="0"/>
                    <w:keepLines w:val="0"/>
                    <w:pageBreakBefore w:val="0"/>
                    <w:kinsoku/>
                    <w:wordWrap/>
                    <w:overflowPunct/>
                    <w:topLinePunct w:val="0"/>
                    <w:autoSpaceDE/>
                    <w:autoSpaceDN/>
                    <w:bidi w:val="0"/>
                    <w:adjustRightInd/>
                    <w:snapToGrid/>
                    <w:ind w:left="-72" w:leftChars="-30" w:right="-72" w:rightChars="-30"/>
                    <w:jc w:val="center"/>
                    <w:rPr>
                      <w:rFonts w:hint="eastAsia" w:ascii="Times New Roman" w:hAnsi="Times New Roman"/>
                      <w:b w:val="0"/>
                      <w:bCs/>
                      <w:color w:val="auto"/>
                      <w:sz w:val="21"/>
                      <w:szCs w:val="21"/>
                    </w:rPr>
                  </w:pPr>
                  <w:r>
                    <w:rPr>
                      <w:rFonts w:ascii="Times New Roman" w:hAnsi="Times New Roman" w:cs="Times New Roman"/>
                      <w:b w:val="0"/>
                      <w:bCs/>
                      <w:color w:val="auto"/>
                      <w:sz w:val="21"/>
                      <w:szCs w:val="21"/>
                    </w:rPr>
                    <w:t>浓度mg/m</w:t>
                  </w:r>
                  <w:r>
                    <w:rPr>
                      <w:rFonts w:ascii="Times New Roman" w:hAnsi="Times New Roman" w:cs="Times New Roman"/>
                      <w:b w:val="0"/>
                      <w:bCs/>
                      <w:color w:val="auto"/>
                      <w:sz w:val="21"/>
                      <w:szCs w:val="21"/>
                      <w:vertAlign w:val="superscript"/>
                    </w:rPr>
                    <w:t>3</w:t>
                  </w:r>
                </w:p>
              </w:tc>
              <w:tc>
                <w:tcPr>
                  <w:tcW w:w="765" w:type="pct"/>
                  <w:noWrap w:val="0"/>
                  <w:vAlign w:val="center"/>
                </w:tcPr>
                <w:p w14:paraId="67D6CC59">
                  <w:pPr>
                    <w:keepNext w:val="0"/>
                    <w:keepLines w:val="0"/>
                    <w:pageBreakBefore w:val="0"/>
                    <w:kinsoku/>
                    <w:wordWrap/>
                    <w:overflowPunct/>
                    <w:topLinePunct w:val="0"/>
                    <w:autoSpaceDE/>
                    <w:autoSpaceDN/>
                    <w:bidi w:val="0"/>
                    <w:adjustRightInd/>
                    <w:snapToGrid/>
                    <w:ind w:left="-72" w:leftChars="-30" w:right="-72" w:rightChars="-30"/>
                    <w:jc w:val="center"/>
                    <w:rPr>
                      <w:rFonts w:ascii="Times New Roman" w:hAnsi="Times New Roman"/>
                      <w:b w:val="0"/>
                      <w:bCs/>
                      <w:color w:val="auto"/>
                      <w:sz w:val="21"/>
                      <w:szCs w:val="21"/>
                    </w:rPr>
                  </w:pPr>
                  <w:r>
                    <w:rPr>
                      <w:rFonts w:ascii="Times New Roman" w:hAnsi="Times New Roman" w:cs="Times New Roman"/>
                      <w:b w:val="0"/>
                      <w:bCs/>
                      <w:color w:val="auto"/>
                      <w:sz w:val="21"/>
                      <w:szCs w:val="21"/>
                    </w:rPr>
                    <w:t>速率kg/h</w:t>
                  </w:r>
                </w:p>
              </w:tc>
              <w:tc>
                <w:tcPr>
                  <w:tcW w:w="695" w:type="pct"/>
                  <w:vMerge w:val="continue"/>
                  <w:noWrap w:val="0"/>
                  <w:vAlign w:val="center"/>
                </w:tcPr>
                <w:p w14:paraId="5CB2C6D7">
                  <w:pPr>
                    <w:keepNext w:val="0"/>
                    <w:keepLines w:val="0"/>
                    <w:pageBreakBefore w:val="0"/>
                    <w:kinsoku/>
                    <w:wordWrap/>
                    <w:overflowPunct/>
                    <w:topLinePunct w:val="0"/>
                    <w:autoSpaceDE/>
                    <w:autoSpaceDN/>
                    <w:bidi w:val="0"/>
                    <w:adjustRightInd/>
                    <w:snapToGrid/>
                    <w:ind w:left="-72" w:leftChars="-30" w:right="-72" w:rightChars="-30"/>
                    <w:jc w:val="center"/>
                    <w:rPr>
                      <w:rFonts w:ascii="Times New Roman" w:hAnsi="Times New Roman" w:cs="Times New Roman"/>
                      <w:b w:val="0"/>
                      <w:bCs/>
                      <w:color w:val="auto"/>
                      <w:sz w:val="21"/>
                      <w:szCs w:val="21"/>
                    </w:rPr>
                  </w:pPr>
                </w:p>
              </w:tc>
              <w:tc>
                <w:tcPr>
                  <w:tcW w:w="537" w:type="pct"/>
                  <w:vMerge w:val="continue"/>
                  <w:noWrap w:val="0"/>
                  <w:vAlign w:val="center"/>
                </w:tcPr>
                <w:p w14:paraId="284DABAD">
                  <w:pPr>
                    <w:keepNext w:val="0"/>
                    <w:keepLines w:val="0"/>
                    <w:pageBreakBefore w:val="0"/>
                    <w:kinsoku/>
                    <w:wordWrap/>
                    <w:overflowPunct/>
                    <w:topLinePunct w:val="0"/>
                    <w:autoSpaceDE/>
                    <w:autoSpaceDN/>
                    <w:bidi w:val="0"/>
                    <w:adjustRightInd/>
                    <w:snapToGrid/>
                    <w:ind w:left="-72" w:leftChars="-30" w:right="-72" w:rightChars="-30"/>
                    <w:jc w:val="center"/>
                    <w:rPr>
                      <w:rFonts w:ascii="Times New Roman" w:hAnsi="Times New Roman" w:cs="Times New Roman"/>
                      <w:b w:val="0"/>
                      <w:bCs/>
                      <w:color w:val="auto"/>
                      <w:sz w:val="21"/>
                      <w:szCs w:val="21"/>
                    </w:rPr>
                  </w:pPr>
                </w:p>
              </w:tc>
              <w:tc>
                <w:tcPr>
                  <w:tcW w:w="840" w:type="pct"/>
                  <w:vMerge w:val="continue"/>
                  <w:noWrap w:val="0"/>
                  <w:vAlign w:val="center"/>
                </w:tcPr>
                <w:p w14:paraId="18E873C7">
                  <w:pPr>
                    <w:keepNext w:val="0"/>
                    <w:keepLines w:val="0"/>
                    <w:pageBreakBefore w:val="0"/>
                    <w:kinsoku/>
                    <w:wordWrap/>
                    <w:overflowPunct/>
                    <w:topLinePunct w:val="0"/>
                    <w:autoSpaceDE/>
                    <w:autoSpaceDN/>
                    <w:bidi w:val="0"/>
                    <w:adjustRightInd/>
                    <w:snapToGrid/>
                    <w:ind w:left="-72" w:leftChars="-30" w:right="-72" w:rightChars="-30"/>
                    <w:jc w:val="center"/>
                    <w:rPr>
                      <w:rFonts w:ascii="Times New Roman" w:hAnsi="Times New Roman" w:cs="Times New Roman"/>
                      <w:b w:val="0"/>
                      <w:bCs/>
                      <w:color w:val="auto"/>
                      <w:sz w:val="21"/>
                      <w:szCs w:val="21"/>
                    </w:rPr>
                  </w:pPr>
                </w:p>
              </w:tc>
            </w:tr>
            <w:tr w14:paraId="13E9F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10" w:hRule="atLeast"/>
                <w:jc w:val="center"/>
              </w:trPr>
              <w:tc>
                <w:tcPr>
                  <w:tcW w:w="501" w:type="pct"/>
                  <w:noWrap w:val="0"/>
                  <w:vAlign w:val="center"/>
                </w:tcPr>
                <w:p w14:paraId="0A30639A">
                  <w:pPr>
                    <w:keepNext w:val="0"/>
                    <w:keepLines w:val="0"/>
                    <w:pageBreakBefore w:val="0"/>
                    <w:kinsoku/>
                    <w:wordWrap/>
                    <w:overflowPunct/>
                    <w:topLinePunct w:val="0"/>
                    <w:autoSpaceDE/>
                    <w:autoSpaceDN/>
                    <w:bidi w:val="0"/>
                    <w:adjustRightInd/>
                    <w:snapToGrid/>
                    <w:spacing w:line="320" w:lineRule="exact"/>
                    <w:jc w:val="center"/>
                    <w:rPr>
                      <w:rFonts w:hint="eastAsia" w:eastAsia="宋体"/>
                      <w:b w:val="0"/>
                      <w:bCs/>
                      <w:color w:val="auto"/>
                      <w:kern w:val="2"/>
                      <w:sz w:val="21"/>
                      <w:szCs w:val="21"/>
                      <w:lang w:val="en-US" w:eastAsia="zh-CN" w:bidi="ar-SA"/>
                    </w:rPr>
                  </w:pPr>
                  <w:r>
                    <w:rPr>
                      <w:rFonts w:hint="eastAsia"/>
                      <w:b w:val="0"/>
                      <w:bCs/>
                      <w:color w:val="auto"/>
                      <w:sz w:val="21"/>
                      <w:szCs w:val="21"/>
                    </w:rPr>
                    <w:t>DA00</w:t>
                  </w:r>
                  <w:r>
                    <w:rPr>
                      <w:rFonts w:hint="eastAsia"/>
                      <w:b w:val="0"/>
                      <w:bCs/>
                      <w:color w:val="auto"/>
                      <w:sz w:val="21"/>
                      <w:szCs w:val="21"/>
                      <w:lang w:val="en-US" w:eastAsia="zh-CN"/>
                    </w:rPr>
                    <w:t>1</w:t>
                  </w:r>
                </w:p>
              </w:tc>
              <w:tc>
                <w:tcPr>
                  <w:tcW w:w="522" w:type="pct"/>
                  <w:noWrap w:val="0"/>
                  <w:vAlign w:val="center"/>
                </w:tcPr>
                <w:p w14:paraId="0FA93144">
                  <w:pPr>
                    <w:keepNext w:val="0"/>
                    <w:keepLines w:val="0"/>
                    <w:pageBreakBefore w:val="0"/>
                    <w:widowControl/>
                    <w:kinsoku/>
                    <w:wordWrap/>
                    <w:overflowPunct/>
                    <w:topLinePunct w:val="0"/>
                    <w:autoSpaceDE/>
                    <w:autoSpaceDN/>
                    <w:bidi w:val="0"/>
                    <w:adjustRightInd/>
                    <w:snapToGrid/>
                    <w:jc w:val="center"/>
                    <w:textAlignment w:val="center"/>
                    <w:rPr>
                      <w:rFonts w:hint="eastAsia" w:ascii="Times New Roman" w:hAnsi="Times New Roman" w:eastAsia="宋体" w:cs="Times New Roman"/>
                      <w:b w:val="0"/>
                      <w:bCs/>
                      <w:color w:val="auto"/>
                      <w:kern w:val="2"/>
                      <w:sz w:val="21"/>
                      <w:szCs w:val="21"/>
                      <w:highlight w:val="none"/>
                      <w:lang w:val="en-US" w:eastAsia="zh-CN" w:bidi="ar"/>
                    </w:rPr>
                  </w:pPr>
                  <w:r>
                    <w:rPr>
                      <w:rFonts w:hint="eastAsia" w:cs="Times New Roman"/>
                      <w:b w:val="0"/>
                      <w:bCs/>
                      <w:color w:val="000000"/>
                      <w:spacing w:val="0"/>
                      <w:sz w:val="21"/>
                      <w:szCs w:val="21"/>
                      <w:lang w:eastAsia="zh-CN"/>
                    </w:rPr>
                    <w:t>非甲烷总烃</w:t>
                  </w:r>
                </w:p>
              </w:tc>
              <w:tc>
                <w:tcPr>
                  <w:tcW w:w="508" w:type="pct"/>
                  <w:noWrap w:val="0"/>
                  <w:vAlign w:val="center"/>
                </w:tcPr>
                <w:p w14:paraId="7F4191D9">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color w:val="auto"/>
                      <w:sz w:val="21"/>
                      <w:szCs w:val="21"/>
                      <w:lang w:val="en-US" w:eastAsia="zh-CN"/>
                    </w:rPr>
                  </w:pPr>
                  <w:r>
                    <w:rPr>
                      <w:rFonts w:hint="eastAsia" w:cs="Times New Roman"/>
                      <w:b w:val="0"/>
                      <w:bCs/>
                      <w:i w:val="0"/>
                      <w:iCs w:val="0"/>
                      <w:color w:val="auto"/>
                      <w:kern w:val="0"/>
                      <w:sz w:val="21"/>
                      <w:szCs w:val="21"/>
                      <w:u w:val="none"/>
                      <w:lang w:val="en-US" w:eastAsia="zh-CN" w:bidi="ar"/>
                    </w:rPr>
                    <w:t>15000</w:t>
                  </w:r>
                </w:p>
              </w:tc>
              <w:tc>
                <w:tcPr>
                  <w:tcW w:w="1046" w:type="dxa"/>
                  <w:shd w:val="clear" w:color="auto" w:fill="auto"/>
                  <w:noWrap w:val="0"/>
                  <w:vAlign w:val="center"/>
                </w:tcPr>
                <w:p w14:paraId="31A41BAB">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179.78 </w:t>
                  </w:r>
                </w:p>
              </w:tc>
              <w:tc>
                <w:tcPr>
                  <w:tcW w:w="1274" w:type="dxa"/>
                  <w:shd w:val="clear" w:color="auto" w:fill="auto"/>
                  <w:noWrap w:val="0"/>
                  <w:vAlign w:val="center"/>
                </w:tcPr>
                <w:p w14:paraId="7FE55D6C">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2.6967</w:t>
                  </w:r>
                </w:p>
              </w:tc>
              <w:tc>
                <w:tcPr>
                  <w:tcW w:w="695" w:type="pct"/>
                  <w:noWrap w:val="0"/>
                  <w:vAlign w:val="center"/>
                </w:tcPr>
                <w:p w14:paraId="7CDD04EC">
                  <w:pPr>
                    <w:keepNext w:val="0"/>
                    <w:keepLines w:val="0"/>
                    <w:pageBreakBefore w:val="0"/>
                    <w:widowControl/>
                    <w:kinsoku/>
                    <w:wordWrap/>
                    <w:overflowPunct/>
                    <w:topLinePunct w:val="0"/>
                    <w:autoSpaceDE/>
                    <w:autoSpaceDN/>
                    <w:bidi w:val="0"/>
                    <w:adjustRightInd/>
                    <w:snapToGrid/>
                    <w:jc w:val="center"/>
                    <w:textAlignment w:val="center"/>
                    <w:rPr>
                      <w:rFonts w:ascii="Times New Roman" w:hAnsi="Times New Roman" w:cs="Times New Roman"/>
                      <w:b w:val="0"/>
                      <w:bCs/>
                      <w:color w:val="auto"/>
                      <w:sz w:val="21"/>
                      <w:szCs w:val="21"/>
                    </w:rPr>
                  </w:pPr>
                  <w:r>
                    <w:rPr>
                      <w:b w:val="0"/>
                      <w:bCs/>
                      <w:color w:val="auto"/>
                      <w:spacing w:val="4"/>
                      <w:sz w:val="21"/>
                      <w:szCs w:val="21"/>
                    </w:rPr>
                    <w:t>&lt;30min</w:t>
                  </w:r>
                </w:p>
              </w:tc>
              <w:tc>
                <w:tcPr>
                  <w:tcW w:w="537" w:type="pct"/>
                  <w:noWrap w:val="0"/>
                  <w:vAlign w:val="center"/>
                </w:tcPr>
                <w:p w14:paraId="34320F96">
                  <w:pPr>
                    <w:keepNext w:val="0"/>
                    <w:keepLines w:val="0"/>
                    <w:pageBreakBefore w:val="0"/>
                    <w:widowControl/>
                    <w:kinsoku/>
                    <w:wordWrap/>
                    <w:overflowPunct/>
                    <w:topLinePunct w:val="0"/>
                    <w:autoSpaceDE/>
                    <w:autoSpaceDN/>
                    <w:bidi w:val="0"/>
                    <w:adjustRightInd/>
                    <w:snapToGrid/>
                    <w:jc w:val="center"/>
                    <w:textAlignment w:val="center"/>
                    <w:rPr>
                      <w:rFonts w:ascii="Times New Roman" w:hAnsi="Times New Roman" w:cs="Times New Roman"/>
                      <w:b w:val="0"/>
                      <w:bCs/>
                      <w:color w:val="auto"/>
                      <w:sz w:val="21"/>
                      <w:szCs w:val="21"/>
                    </w:rPr>
                  </w:pPr>
                  <w:r>
                    <w:rPr>
                      <w:b w:val="0"/>
                      <w:bCs/>
                      <w:color w:val="auto"/>
                      <w:spacing w:val="4"/>
                      <w:sz w:val="21"/>
                      <w:szCs w:val="21"/>
                    </w:rPr>
                    <w:t>偶发</w:t>
                  </w:r>
                </w:p>
              </w:tc>
              <w:tc>
                <w:tcPr>
                  <w:tcW w:w="840" w:type="pct"/>
                  <w:noWrap w:val="0"/>
                  <w:vAlign w:val="center"/>
                </w:tcPr>
                <w:p w14:paraId="2F1F48BA">
                  <w:pPr>
                    <w:keepNext w:val="0"/>
                    <w:keepLines w:val="0"/>
                    <w:pageBreakBefore w:val="0"/>
                    <w:widowControl/>
                    <w:kinsoku/>
                    <w:wordWrap/>
                    <w:overflowPunct/>
                    <w:topLinePunct w:val="0"/>
                    <w:autoSpaceDE/>
                    <w:autoSpaceDN/>
                    <w:bidi w:val="0"/>
                    <w:adjustRightInd/>
                    <w:snapToGrid/>
                    <w:jc w:val="center"/>
                    <w:textAlignment w:val="center"/>
                    <w:rPr>
                      <w:rFonts w:ascii="Times New Roman" w:hAnsi="Times New Roman" w:cs="Times New Roman"/>
                      <w:b w:val="0"/>
                      <w:bCs/>
                      <w:color w:val="auto"/>
                      <w:sz w:val="21"/>
                      <w:szCs w:val="21"/>
                    </w:rPr>
                  </w:pPr>
                  <w:r>
                    <w:rPr>
                      <w:b w:val="0"/>
                      <w:bCs/>
                      <w:color w:val="auto"/>
                      <w:spacing w:val="4"/>
                      <w:sz w:val="21"/>
                      <w:szCs w:val="21"/>
                    </w:rPr>
                    <w:t>立即停产检修</w:t>
                  </w:r>
                </w:p>
              </w:tc>
            </w:tr>
          </w:tbl>
          <w:p w14:paraId="70AE9721">
            <w:pPr>
              <w:pStyle w:val="45"/>
              <w:keepNext w:val="0"/>
              <w:keepLines w:val="0"/>
              <w:pageBreakBefore w:val="0"/>
              <w:widowControl/>
              <w:kinsoku/>
              <w:wordWrap/>
              <w:overflowPunct/>
              <w:topLinePunct w:val="0"/>
              <w:autoSpaceDE/>
              <w:autoSpaceDN/>
              <w:bidi w:val="0"/>
              <w:adjustRightInd/>
              <w:snapToGrid/>
              <w:ind w:firstLine="480"/>
              <w:textAlignment w:val="auto"/>
              <w:rPr>
                <w:rFonts w:hint="eastAsia" w:ascii="Times New Roman" w:hAnsi="Times New Roman"/>
                <w:bCs/>
                <w:color w:val="auto"/>
                <w:szCs w:val="24"/>
              </w:rPr>
            </w:pPr>
            <w:r>
              <w:rPr>
                <w:rFonts w:hint="eastAsia"/>
                <w:bCs/>
                <w:color w:val="auto"/>
                <w:szCs w:val="24"/>
              </w:rPr>
              <w:t>由上表可知，</w:t>
            </w:r>
            <w:r>
              <w:rPr>
                <w:rFonts w:hint="eastAsia" w:ascii="Times New Roman" w:hAnsi="Times New Roman"/>
                <w:bCs/>
                <w:color w:val="auto"/>
                <w:szCs w:val="24"/>
              </w:rPr>
              <w:t>非正常工况下，</w:t>
            </w:r>
            <w:r>
              <w:rPr>
                <w:rFonts w:hint="eastAsia"/>
                <w:bCs/>
                <w:color w:val="auto"/>
                <w:szCs w:val="24"/>
              </w:rPr>
              <w:t>各</w:t>
            </w:r>
            <w:r>
              <w:rPr>
                <w:rFonts w:hint="eastAsia" w:ascii="Times New Roman" w:hAnsi="Times New Roman"/>
                <w:bCs/>
                <w:color w:val="auto"/>
                <w:szCs w:val="24"/>
              </w:rPr>
              <w:t>污染</w:t>
            </w:r>
            <w:r>
              <w:rPr>
                <w:rFonts w:hint="eastAsia"/>
                <w:bCs/>
                <w:color w:val="auto"/>
                <w:szCs w:val="24"/>
              </w:rPr>
              <w:t>物的排放浓度大大增加，对周边大气环境影响较大</w:t>
            </w:r>
            <w:r>
              <w:rPr>
                <w:rFonts w:hint="eastAsia" w:ascii="Times New Roman" w:hAnsi="Times New Roman"/>
                <w:bCs/>
                <w:color w:val="auto"/>
                <w:szCs w:val="24"/>
              </w:rPr>
              <w:t>。建设单位应加强环保设备的运行管理，严格控制废气非正常排放，并采取以下措施：</w:t>
            </w:r>
          </w:p>
          <w:p w14:paraId="76EDBAB2">
            <w:pPr>
              <w:pStyle w:val="45"/>
              <w:keepNext w:val="0"/>
              <w:keepLines w:val="0"/>
              <w:pageBreakBefore w:val="0"/>
              <w:widowControl/>
              <w:kinsoku/>
              <w:wordWrap/>
              <w:overflowPunct/>
              <w:topLinePunct w:val="0"/>
              <w:autoSpaceDE/>
              <w:autoSpaceDN/>
              <w:bidi w:val="0"/>
              <w:adjustRightInd/>
              <w:snapToGrid/>
              <w:ind w:firstLine="480"/>
              <w:textAlignment w:val="auto"/>
              <w:rPr>
                <w:rFonts w:hint="eastAsia" w:ascii="Times New Roman" w:hAnsi="Times New Roman"/>
                <w:bCs/>
                <w:color w:val="auto"/>
                <w:szCs w:val="24"/>
              </w:rPr>
            </w:pPr>
            <w:r>
              <w:rPr>
                <w:rFonts w:hint="eastAsia" w:ascii="Times New Roman" w:hAnsi="Times New Roman"/>
                <w:bCs/>
                <w:color w:val="auto"/>
                <w:szCs w:val="24"/>
              </w:rPr>
              <w:t>①制定环保设备例行检查制度，加强定期维护保养，发现风机故障、损坏或排风管道破损时，应立即</w:t>
            </w:r>
            <w:r>
              <w:rPr>
                <w:rFonts w:hint="eastAsia" w:ascii="Times New Roman" w:hAnsi="Times New Roman"/>
                <w:bCs/>
                <w:color w:val="auto"/>
                <w:szCs w:val="24"/>
                <w:lang w:eastAsia="zh-CN"/>
              </w:rPr>
              <w:t>停止生产</w:t>
            </w:r>
            <w:r>
              <w:rPr>
                <w:rFonts w:hint="eastAsia" w:ascii="Times New Roman" w:hAnsi="Times New Roman"/>
                <w:bCs/>
                <w:color w:val="auto"/>
                <w:szCs w:val="24"/>
              </w:rPr>
              <w:t>对设备或管道进行维修。</w:t>
            </w:r>
          </w:p>
          <w:p w14:paraId="367C8726">
            <w:pPr>
              <w:pStyle w:val="45"/>
              <w:keepNext w:val="0"/>
              <w:keepLines w:val="0"/>
              <w:pageBreakBefore w:val="0"/>
              <w:widowControl/>
              <w:kinsoku/>
              <w:wordWrap/>
              <w:overflowPunct/>
              <w:topLinePunct w:val="0"/>
              <w:autoSpaceDE/>
              <w:autoSpaceDN/>
              <w:bidi w:val="0"/>
              <w:adjustRightInd/>
              <w:snapToGrid/>
              <w:ind w:firstLine="480"/>
              <w:textAlignment w:val="auto"/>
              <w:rPr>
                <w:rFonts w:hint="eastAsia" w:ascii="Times New Roman" w:hAnsi="Times New Roman"/>
                <w:bCs/>
                <w:color w:val="auto"/>
                <w:szCs w:val="24"/>
              </w:rPr>
            </w:pPr>
            <w:r>
              <w:rPr>
                <w:rFonts w:hint="eastAsia" w:ascii="Times New Roman" w:hAnsi="Times New Roman"/>
                <w:bCs/>
                <w:color w:val="auto"/>
                <w:szCs w:val="24"/>
              </w:rPr>
              <w:t>②定期检修废气治理设施，</w:t>
            </w:r>
            <w:r>
              <w:rPr>
                <w:rFonts w:hint="eastAsia" w:ascii="Times New Roman" w:hAnsi="Times New Roman" w:cs="Times New Roman"/>
                <w:bCs/>
                <w:color w:val="auto"/>
                <w:szCs w:val="24"/>
              </w:rPr>
              <w:t>对</w:t>
            </w:r>
            <w:r>
              <w:rPr>
                <w:rFonts w:hint="eastAsia" w:ascii="Times New Roman" w:hAnsi="Times New Roman" w:cs="Times New Roman"/>
                <w:bCs/>
                <w:color w:val="auto"/>
                <w:szCs w:val="24"/>
                <w:lang w:val="en-US" w:eastAsia="zh-CN"/>
              </w:rPr>
              <w:t>活性炭及时</w:t>
            </w:r>
            <w:r>
              <w:rPr>
                <w:rFonts w:hint="eastAsia" w:ascii="Times New Roman" w:hAnsi="Times New Roman" w:cs="Times New Roman"/>
                <w:bCs/>
                <w:color w:val="auto"/>
                <w:szCs w:val="24"/>
              </w:rPr>
              <w:t>进行更换，</w:t>
            </w:r>
            <w:r>
              <w:rPr>
                <w:rFonts w:hint="eastAsia" w:ascii="Times New Roman" w:hAnsi="Times New Roman"/>
                <w:bCs/>
                <w:color w:val="auto"/>
                <w:szCs w:val="24"/>
              </w:rPr>
              <w:t>确保</w:t>
            </w:r>
            <w:r>
              <w:rPr>
                <w:rFonts w:hint="eastAsia"/>
                <w:bCs/>
                <w:color w:val="auto"/>
                <w:szCs w:val="24"/>
              </w:rPr>
              <w:t>废气治理设施的正常运行</w:t>
            </w:r>
            <w:r>
              <w:rPr>
                <w:rFonts w:hint="eastAsia" w:ascii="Times New Roman" w:hAnsi="Times New Roman"/>
                <w:bCs/>
                <w:color w:val="auto"/>
                <w:szCs w:val="24"/>
              </w:rPr>
              <w:t>。</w:t>
            </w:r>
          </w:p>
          <w:p w14:paraId="79824D6E">
            <w:pPr>
              <w:pStyle w:val="45"/>
              <w:keepNext w:val="0"/>
              <w:keepLines w:val="0"/>
              <w:pageBreakBefore w:val="0"/>
              <w:widowControl/>
              <w:kinsoku/>
              <w:wordWrap/>
              <w:overflowPunct/>
              <w:topLinePunct w:val="0"/>
              <w:autoSpaceDE/>
              <w:autoSpaceDN/>
              <w:bidi w:val="0"/>
              <w:adjustRightInd/>
              <w:snapToGrid/>
              <w:ind w:firstLine="480"/>
              <w:textAlignment w:val="auto"/>
              <w:rPr>
                <w:bCs/>
                <w:color w:val="auto"/>
                <w:szCs w:val="24"/>
              </w:rPr>
            </w:pPr>
            <w:r>
              <w:rPr>
                <w:rFonts w:hint="eastAsia" w:ascii="Times New Roman" w:hAnsi="Times New Roman"/>
                <w:bCs/>
                <w:color w:val="auto"/>
                <w:sz w:val="24"/>
              </w:rPr>
              <w:t>③设环保管理专员，对环保管理人员及技术人员进行岗位培训，委托具有专业资质的</w:t>
            </w:r>
            <w:r>
              <w:rPr>
                <w:rFonts w:hint="eastAsia"/>
                <w:bCs/>
                <w:color w:val="auto"/>
                <w:sz w:val="24"/>
                <w:lang w:eastAsia="zh-CN"/>
              </w:rPr>
              <w:t>环境监测</w:t>
            </w:r>
            <w:r>
              <w:rPr>
                <w:rFonts w:hint="eastAsia" w:ascii="Times New Roman" w:hAnsi="Times New Roman"/>
                <w:bCs/>
                <w:color w:val="auto"/>
                <w:sz w:val="24"/>
              </w:rPr>
              <w:t>单位对项目排放的各类废气污染物进行定期监测。</w:t>
            </w:r>
          </w:p>
          <w:p w14:paraId="3538578E">
            <w:pPr>
              <w:autoSpaceDE w:val="0"/>
              <w:spacing w:line="360" w:lineRule="auto"/>
              <w:ind w:firstLine="480" w:firstLineChars="200"/>
              <w:jc w:val="both"/>
              <w:rPr>
                <w:b/>
                <w:bCs/>
                <w:color w:val="auto"/>
                <w:sz w:val="24"/>
                <w:lang w:bidi="ar"/>
              </w:rPr>
            </w:pPr>
            <w:r>
              <w:rPr>
                <w:color w:val="auto"/>
                <w:sz w:val="24"/>
                <w:lang w:bidi="ar"/>
              </w:rPr>
              <w:t>（</w:t>
            </w:r>
            <w:r>
              <w:rPr>
                <w:rFonts w:hint="eastAsia"/>
                <w:color w:val="auto"/>
                <w:sz w:val="24"/>
                <w:lang w:val="en-US" w:eastAsia="zh-CN" w:bidi="ar"/>
              </w:rPr>
              <w:t>3</w:t>
            </w:r>
            <w:r>
              <w:rPr>
                <w:color w:val="auto"/>
                <w:sz w:val="24"/>
                <w:lang w:bidi="ar"/>
              </w:rPr>
              <w:t>）废气治理措施可行性分析</w:t>
            </w:r>
          </w:p>
          <w:p w14:paraId="75BA5A8A">
            <w:pPr>
              <w:spacing w:line="360" w:lineRule="auto"/>
              <w:ind w:firstLine="480" w:firstLineChars="200"/>
              <w:jc w:val="both"/>
              <w:rPr>
                <w:color w:val="auto"/>
                <w:kern w:val="0"/>
                <w:szCs w:val="21"/>
                <w:lang w:bidi="ar"/>
              </w:rPr>
            </w:pPr>
            <w:r>
              <w:rPr>
                <w:color w:val="auto"/>
                <w:kern w:val="0"/>
                <w:sz w:val="24"/>
                <w:lang w:bidi="ar"/>
              </w:rPr>
              <w:t>①废气处理工艺流程</w:t>
            </w:r>
          </w:p>
          <w:p w14:paraId="27F7331A">
            <w:pPr>
              <w:jc w:val="center"/>
              <w:rPr>
                <w:rFonts w:hint="eastAsia" w:eastAsia="宋体"/>
                <w:b/>
                <w:bCs/>
                <w:color w:val="auto"/>
                <w:szCs w:val="21"/>
                <w:lang w:eastAsia="zh-CN"/>
              </w:rPr>
            </w:pPr>
            <w:r>
              <w:rPr>
                <w:rFonts w:hint="eastAsia" w:eastAsia="宋体"/>
                <w:b/>
                <w:bCs/>
                <w:color w:val="auto"/>
                <w:szCs w:val="21"/>
                <w:lang w:eastAsia="zh-CN"/>
              </w:rPr>
              <w:drawing>
                <wp:inline distT="0" distB="0" distL="114300" distR="114300">
                  <wp:extent cx="5284470" cy="2099310"/>
                  <wp:effectExtent l="0" t="0" r="11430" b="15240"/>
                  <wp:docPr id="133" name="图片 133" descr="4989659a-6ddb-4176-8be0-bba2e0ef86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4989659a-6ddb-4176-8be0-bba2e0ef860a"/>
                          <pic:cNvPicPr>
                            <a:picLocks noChangeAspect="1"/>
                          </pic:cNvPicPr>
                        </pic:nvPicPr>
                        <pic:blipFill>
                          <a:blip r:embed="rId24"/>
                          <a:stretch>
                            <a:fillRect/>
                          </a:stretch>
                        </pic:blipFill>
                        <pic:spPr>
                          <a:xfrm>
                            <a:off x="0" y="0"/>
                            <a:ext cx="5284470" cy="2099310"/>
                          </a:xfrm>
                          <a:prstGeom prst="rect">
                            <a:avLst/>
                          </a:prstGeom>
                        </pic:spPr>
                      </pic:pic>
                    </a:graphicData>
                  </a:graphic>
                </wp:inline>
              </w:drawing>
            </w:r>
          </w:p>
          <w:p w14:paraId="35252E0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kern w:val="0"/>
                <w:sz w:val="24"/>
                <w:szCs w:val="24"/>
                <w:lang w:bidi="ar"/>
              </w:rPr>
            </w:pPr>
            <w:r>
              <w:rPr>
                <w:b/>
                <w:bCs/>
                <w:color w:val="auto"/>
                <w:sz w:val="24"/>
                <w:szCs w:val="24"/>
              </w:rPr>
              <w:t>图4-</w:t>
            </w:r>
            <w:r>
              <w:rPr>
                <w:rFonts w:hint="eastAsia"/>
                <w:b/>
                <w:bCs/>
                <w:color w:val="auto"/>
                <w:sz w:val="24"/>
                <w:szCs w:val="24"/>
              </w:rPr>
              <w:t xml:space="preserve">1 </w:t>
            </w:r>
            <w:r>
              <w:rPr>
                <w:b/>
                <w:bCs/>
                <w:color w:val="auto"/>
                <w:sz w:val="24"/>
                <w:szCs w:val="24"/>
              </w:rPr>
              <w:t xml:space="preserve"> 项目废气治理流程图</w:t>
            </w:r>
          </w:p>
          <w:p w14:paraId="02407443">
            <w:pPr>
              <w:numPr>
                <w:ilvl w:val="0"/>
                <w:numId w:val="2"/>
              </w:numPr>
              <w:spacing w:line="460" w:lineRule="exact"/>
              <w:jc w:val="both"/>
              <w:rPr>
                <w:b/>
                <w:color w:val="auto"/>
                <w:sz w:val="24"/>
              </w:rPr>
            </w:pPr>
            <w:r>
              <w:rPr>
                <w:rFonts w:hint="eastAsia"/>
                <w:b/>
                <w:color w:val="auto"/>
                <w:sz w:val="24"/>
              </w:rPr>
              <w:t>活性炭</w:t>
            </w:r>
            <w:r>
              <w:rPr>
                <w:b/>
                <w:color w:val="auto"/>
                <w:sz w:val="24"/>
              </w:rPr>
              <w:t>处理有机废气原理：</w:t>
            </w:r>
          </w:p>
          <w:p w14:paraId="611DF8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40" w:lineRule="exact"/>
              <w:ind w:left="0" w:right="0" w:firstLine="480" w:firstLineChars="200"/>
              <w:jc w:val="both"/>
              <w:textAlignment w:val="auto"/>
              <w:rPr>
                <w:rFonts w:ascii="Times New Roman" w:hAnsi="Times New Roman" w:eastAsia="宋体" w:cs="Times New Roman"/>
                <w:color w:val="auto"/>
                <w:sz w:val="24"/>
              </w:rPr>
            </w:pPr>
            <w:r>
              <w:rPr>
                <w:color w:val="auto"/>
                <w:sz w:val="24"/>
              </w:rPr>
              <w:t>活性炭是一种具有非极性表面、疏水性、亲有机物的吸附剂。所以活性炭常常被用来吸附回收空气中的有机溶剂和恶臭物质，它可以根据需要制成不同性状和粒度，如粉末活性炭、颗粒活性炭及柱状活性炭。活性炭吸附的实质是利用活性炭吸附的特性把低浓度大风量废气中的有机溶剂吸附到活性炭中并浓缩，经活性炭吸附净化后的气体直接排空，其实质是一个吸附浓缩的过程，是一个物理过</w:t>
            </w:r>
            <w:r>
              <w:rPr>
                <w:rFonts w:ascii="Times New Roman" w:hAnsi="Times New Roman" w:eastAsia="宋体" w:cs="Times New Roman"/>
                <w:color w:val="auto"/>
                <w:sz w:val="24"/>
              </w:rPr>
              <w:t>程。通常单级活性炭吸附效果可达到</w:t>
            </w:r>
            <w:r>
              <w:rPr>
                <w:rFonts w:hint="eastAsia" w:cs="Times New Roman"/>
                <w:color w:val="auto"/>
                <w:sz w:val="24"/>
                <w:lang w:val="en-US" w:eastAsia="zh-CN"/>
              </w:rPr>
              <w:t>80</w:t>
            </w:r>
            <w:r>
              <w:rPr>
                <w:rFonts w:ascii="Times New Roman" w:hAnsi="Times New Roman" w:eastAsia="宋体" w:cs="Times New Roman"/>
                <w:color w:val="auto"/>
                <w:sz w:val="24"/>
              </w:rPr>
              <w:t>%以上。</w:t>
            </w:r>
            <w:r>
              <w:rPr>
                <w:rFonts w:hint="eastAsia"/>
                <w:color w:val="auto"/>
                <w:sz w:val="24"/>
                <w:lang w:val="en-US" w:eastAsia="zh-CN"/>
              </w:rPr>
              <w:t>本项目二级活性炭吸附效率达95%，根据以上分析是合理的</w:t>
            </w:r>
            <w:r>
              <w:rPr>
                <w:rFonts w:hint="eastAsia"/>
                <w:sz w:val="24"/>
                <w:szCs w:val="24"/>
              </w:rPr>
              <w:t>。</w:t>
            </w:r>
          </w:p>
          <w:p w14:paraId="2D64CB58">
            <w:pPr>
              <w:keepNext w:val="0"/>
              <w:keepLines w:val="0"/>
              <w:pageBreakBefore w:val="0"/>
              <w:widowControl w:val="0"/>
              <w:tabs>
                <w:tab w:val="left" w:pos="6987"/>
              </w:tabs>
              <w:kinsoku/>
              <w:wordWrap/>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lang w:val="en-US" w:eastAsia="zh-CN"/>
              </w:rPr>
              <w:t>本项目活性炭的选取和安装原则上要符合《吸附法工业有机废气治理工程技术规范》（HJ 2026-2013）、《重点行业挥发性有机物综合治理方案》（环大气〔2019〕53号）、《挥发性有机物治理实用手册》的相关要求</w:t>
            </w:r>
            <w:r>
              <w:rPr>
                <w:rFonts w:hint="default" w:ascii="Times New Roman" w:hAnsi="Times New Roman" w:eastAsia="宋体" w:cs="Times New Roman"/>
                <w:color w:val="auto"/>
                <w:sz w:val="24"/>
                <w:szCs w:val="24"/>
                <w:highlight w:val="none"/>
                <w:lang w:val="en-US" w:eastAsia="zh-CN"/>
              </w:rPr>
              <w:t>。</w:t>
            </w:r>
          </w:p>
          <w:p w14:paraId="72BB8535">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color w:val="auto"/>
                <w:kern w:val="0"/>
                <w:sz w:val="24"/>
                <w:lang w:bidi="ar"/>
              </w:rPr>
            </w:pPr>
            <w:r>
              <w:rPr>
                <w:color w:val="auto"/>
                <w:kern w:val="0"/>
                <w:sz w:val="24"/>
                <w:lang w:bidi="ar"/>
              </w:rPr>
              <w:t>②项目废气治理措施可行性分析</w:t>
            </w:r>
          </w:p>
          <w:p w14:paraId="16715034">
            <w:pPr>
              <w:keepNext w:val="0"/>
              <w:keepLines w:val="0"/>
              <w:pageBreakBefore w:val="0"/>
              <w:widowControl w:val="0"/>
              <w:tabs>
                <w:tab w:val="left" w:pos="6987"/>
              </w:tabs>
              <w:kinsoku/>
              <w:wordWrap/>
              <w:overflowPunct/>
              <w:topLinePunct w:val="0"/>
              <w:autoSpaceDE/>
              <w:autoSpaceDN/>
              <w:bidi w:val="0"/>
              <w:adjustRightInd/>
              <w:snapToGrid/>
              <w:spacing w:line="440" w:lineRule="exact"/>
              <w:ind w:firstLine="480" w:firstLineChars="200"/>
              <w:jc w:val="both"/>
              <w:textAlignment w:val="auto"/>
              <w:rPr>
                <w:rFonts w:hint="eastAsia"/>
                <w:color w:val="auto"/>
                <w:kern w:val="0"/>
                <w:sz w:val="24"/>
                <w:lang w:bidi="ar"/>
              </w:rPr>
            </w:pPr>
            <w:r>
              <w:rPr>
                <w:rFonts w:hint="eastAsia" w:ascii="Times New Roman" w:hAnsi="Times New Roman" w:eastAsia="宋体" w:cs="Times New Roman"/>
                <w:color w:val="auto"/>
                <w:sz w:val="24"/>
                <w:szCs w:val="24"/>
                <w:highlight w:val="none"/>
                <w:lang w:val="en-US" w:eastAsia="zh-CN"/>
              </w:rPr>
              <w:t>项目生产车间封闭设置，</w:t>
            </w:r>
            <w:r>
              <w:rPr>
                <w:rFonts w:hint="eastAsia" w:cs="Times New Roman"/>
                <w:color w:val="auto"/>
                <w:sz w:val="24"/>
                <w:szCs w:val="24"/>
                <w:highlight w:val="none"/>
                <w:lang w:val="en-US" w:eastAsia="zh-CN"/>
              </w:rPr>
              <w:t>有机</w:t>
            </w:r>
            <w:r>
              <w:rPr>
                <w:rFonts w:hint="eastAsia" w:ascii="Times New Roman" w:hAnsi="Times New Roman" w:eastAsia="宋体" w:cs="Times New Roman"/>
                <w:color w:val="auto"/>
                <w:sz w:val="24"/>
                <w:szCs w:val="24"/>
                <w:highlight w:val="none"/>
                <w:lang w:val="en-US" w:eastAsia="zh-CN"/>
              </w:rPr>
              <w:t>废气通过集气罩收集，经“</w:t>
            </w:r>
            <w:r>
              <w:rPr>
                <w:rFonts w:hint="eastAsia" w:cs="Times New Roman"/>
                <w:color w:val="auto"/>
                <w:sz w:val="24"/>
                <w:szCs w:val="24"/>
                <w:highlight w:val="none"/>
                <w:lang w:val="en-US" w:eastAsia="zh-CN"/>
              </w:rPr>
              <w:t>二级</w:t>
            </w:r>
            <w:r>
              <w:rPr>
                <w:rFonts w:hint="eastAsia" w:ascii="Times New Roman" w:hAnsi="Times New Roman" w:eastAsia="宋体" w:cs="Times New Roman"/>
                <w:color w:val="auto"/>
                <w:sz w:val="24"/>
                <w:szCs w:val="24"/>
                <w:highlight w:val="none"/>
                <w:lang w:val="en-US" w:eastAsia="zh-CN"/>
              </w:rPr>
              <w:t>活性炭吸附”装置处理后，由15米排气筒排放。</w:t>
            </w:r>
            <w:r>
              <w:rPr>
                <w:color w:val="auto"/>
                <w:kern w:val="0"/>
                <w:sz w:val="24"/>
                <w:lang w:bidi="ar"/>
              </w:rPr>
              <w:t xml:space="preserve">根据《排污许可证申请与核发技术规范 </w:t>
            </w:r>
            <w:r>
              <w:rPr>
                <w:rFonts w:hint="eastAsia"/>
                <w:color w:val="auto"/>
                <w:kern w:val="0"/>
                <w:sz w:val="24"/>
                <w:lang w:eastAsia="zh-CN" w:bidi="ar"/>
              </w:rPr>
              <w:t>总则</w:t>
            </w:r>
            <w:r>
              <w:rPr>
                <w:color w:val="auto"/>
                <w:kern w:val="0"/>
                <w:sz w:val="24"/>
                <w:lang w:bidi="ar"/>
              </w:rPr>
              <w:t>》（HJ</w:t>
            </w:r>
            <w:r>
              <w:rPr>
                <w:rFonts w:hint="eastAsia"/>
                <w:color w:val="auto"/>
                <w:kern w:val="0"/>
                <w:sz w:val="24"/>
                <w:lang w:val="en-US" w:eastAsia="zh-CN" w:bidi="ar"/>
              </w:rPr>
              <w:t>942</w:t>
            </w:r>
            <w:r>
              <w:rPr>
                <w:color w:val="auto"/>
                <w:kern w:val="0"/>
                <w:sz w:val="24"/>
                <w:lang w:bidi="ar"/>
              </w:rPr>
              <w:t>-20</w:t>
            </w:r>
            <w:r>
              <w:rPr>
                <w:rFonts w:hint="eastAsia"/>
                <w:color w:val="auto"/>
                <w:kern w:val="0"/>
                <w:sz w:val="24"/>
                <w:lang w:val="en-US" w:eastAsia="zh-CN" w:bidi="ar"/>
              </w:rPr>
              <w:t>18</w:t>
            </w:r>
            <w:r>
              <w:rPr>
                <w:color w:val="auto"/>
                <w:kern w:val="0"/>
                <w:sz w:val="24"/>
                <w:lang w:bidi="ar"/>
              </w:rPr>
              <w:t>）</w:t>
            </w:r>
            <w:r>
              <w:rPr>
                <w:rFonts w:hint="eastAsia"/>
                <w:color w:val="auto"/>
                <w:kern w:val="0"/>
                <w:sz w:val="24"/>
                <w:lang w:bidi="ar"/>
              </w:rPr>
              <w:t>，本项目采用的有机废气处理技术，属于</w:t>
            </w:r>
            <w:r>
              <w:rPr>
                <w:rFonts w:hint="eastAsia"/>
                <w:color w:val="auto"/>
                <w:kern w:val="0"/>
                <w:sz w:val="24"/>
                <w:lang w:eastAsia="zh-CN" w:bidi="ar"/>
              </w:rPr>
              <w:t>技术规范中</w:t>
            </w:r>
            <w:r>
              <w:rPr>
                <w:rFonts w:hint="eastAsia"/>
                <w:color w:val="auto"/>
                <w:kern w:val="0"/>
                <w:sz w:val="24"/>
                <w:lang w:bidi="ar"/>
              </w:rPr>
              <w:t>推荐采取的可行技术。</w:t>
            </w:r>
          </w:p>
          <w:p w14:paraId="21A2FEDD">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cs="Times New Roman"/>
                <w:color w:val="auto"/>
                <w:kern w:val="0"/>
                <w:sz w:val="24"/>
                <w:szCs w:val="24"/>
                <w:lang w:val="en-US" w:eastAsia="zh-CN" w:bidi="ar"/>
              </w:rPr>
            </w:pPr>
            <w:r>
              <w:rPr>
                <w:rFonts w:hint="eastAsia" w:cs="Times New Roman"/>
                <w:color w:val="auto"/>
                <w:kern w:val="0"/>
                <w:sz w:val="24"/>
                <w:szCs w:val="24"/>
                <w:lang w:val="en-US" w:eastAsia="zh-CN" w:bidi="ar"/>
              </w:rPr>
              <w:t>③</w:t>
            </w:r>
            <w:r>
              <w:rPr>
                <w:rFonts w:hint="eastAsia"/>
                <w:color w:val="auto"/>
                <w:spacing w:val="0"/>
                <w:sz w:val="24"/>
                <w:szCs w:val="24"/>
                <w:lang w:eastAsia="zh-CN"/>
              </w:rPr>
              <w:t>有机废气治理设施</w:t>
            </w:r>
            <w:r>
              <w:rPr>
                <w:rFonts w:hint="eastAsia"/>
                <w:b w:val="0"/>
                <w:bCs w:val="0"/>
                <w:kern w:val="0"/>
                <w:sz w:val="24"/>
              </w:rPr>
              <w:t>设计参数</w:t>
            </w:r>
          </w:p>
          <w:p w14:paraId="260A0A70">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cs="Times New Roman"/>
                <w:color w:val="auto"/>
                <w:kern w:val="0"/>
                <w:sz w:val="24"/>
                <w:szCs w:val="24"/>
                <w:lang w:bidi="ar"/>
              </w:rPr>
            </w:pPr>
            <w:r>
              <w:rPr>
                <w:rFonts w:hint="eastAsia" w:ascii="Times New Roman" w:hAnsi="Times New Roman" w:cs="Times New Roman"/>
                <w:color w:val="auto"/>
                <w:kern w:val="0"/>
                <w:sz w:val="24"/>
                <w:szCs w:val="24"/>
                <w:lang w:eastAsia="zh-CN" w:bidi="ar"/>
              </w:rPr>
              <w:t>本项目</w:t>
            </w:r>
            <w:r>
              <w:rPr>
                <w:rFonts w:hint="eastAsia" w:cs="Times New Roman"/>
                <w:color w:val="auto"/>
                <w:kern w:val="0"/>
                <w:sz w:val="24"/>
                <w:szCs w:val="24"/>
                <w:lang w:val="en-US" w:eastAsia="zh-CN" w:bidi="ar"/>
              </w:rPr>
              <w:t>有机</w:t>
            </w:r>
            <w:r>
              <w:rPr>
                <w:rFonts w:hint="eastAsia" w:ascii="Times New Roman" w:hAnsi="Times New Roman" w:cs="Times New Roman"/>
                <w:color w:val="auto"/>
                <w:kern w:val="0"/>
                <w:sz w:val="24"/>
                <w:szCs w:val="24"/>
                <w:lang w:eastAsia="zh-CN" w:bidi="ar"/>
              </w:rPr>
              <w:t>废气经</w:t>
            </w:r>
            <w:r>
              <w:rPr>
                <w:rFonts w:hint="eastAsia" w:cs="Times New Roman"/>
                <w:color w:val="auto"/>
                <w:kern w:val="0"/>
                <w:sz w:val="24"/>
                <w:szCs w:val="24"/>
                <w:lang w:val="en-US" w:eastAsia="zh-CN" w:bidi="ar"/>
              </w:rPr>
              <w:t>集气罩收集后</w:t>
            </w:r>
            <w:r>
              <w:rPr>
                <w:rFonts w:hint="eastAsia" w:ascii="Times New Roman" w:hAnsi="Times New Roman" w:cs="Times New Roman"/>
                <w:color w:val="auto"/>
                <w:kern w:val="0"/>
                <w:sz w:val="24"/>
                <w:szCs w:val="24"/>
                <w:lang w:eastAsia="zh-CN" w:bidi="ar"/>
              </w:rPr>
              <w:t>进入二级活性炭吸附装置处理，</w:t>
            </w:r>
            <w:r>
              <w:rPr>
                <w:rFonts w:hint="default" w:ascii="Times New Roman" w:hAnsi="Times New Roman" w:cs="Times New Roman"/>
                <w:color w:val="auto"/>
                <w:kern w:val="0"/>
                <w:sz w:val="24"/>
                <w:szCs w:val="24"/>
                <w:lang w:bidi="ar"/>
              </w:rPr>
              <w:t>活性炭吸附装置在设计时，应根据《吸附法工业有机废气治理工程技术规范》（HJ 2026-2013），满足以下控制要求：</w:t>
            </w:r>
          </w:p>
          <w:p w14:paraId="501F14B6">
            <w:pPr>
              <w:pStyle w:val="32"/>
              <w:keepNext w:val="0"/>
              <w:keepLines w:val="0"/>
              <w:pageBreakBefore w:val="0"/>
              <w:widowControl w:val="0"/>
              <w:numPr>
                <w:ilvl w:val="0"/>
                <w:numId w:val="0"/>
              </w:numPr>
              <w:tabs>
                <w:tab w:val="left" w:pos="567"/>
              </w:tabs>
              <w:kinsoku/>
              <w:wordWrap/>
              <w:overflowPunct/>
              <w:topLinePunct w:val="0"/>
              <w:autoSpaceDE w:val="0"/>
              <w:autoSpaceDN w:val="0"/>
              <w:bidi w:val="0"/>
              <w:adjustRightInd w:val="0"/>
              <w:snapToGrid/>
              <w:spacing w:line="360" w:lineRule="auto"/>
              <w:jc w:val="center"/>
              <w:textAlignment w:val="auto"/>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rPr>
              <w:t>表4-</w:t>
            </w:r>
            <w:r>
              <w:rPr>
                <w:rFonts w:hint="eastAsia" w:ascii="Times New Roman" w:hAnsi="Times New Roman" w:cs="Times New Roman"/>
                <w:b/>
                <w:bCs/>
                <w:color w:val="auto"/>
                <w:sz w:val="24"/>
                <w:szCs w:val="24"/>
                <w:lang w:val="en-US" w:eastAsia="zh-CN"/>
              </w:rPr>
              <w:t>9</w:t>
            </w:r>
            <w:r>
              <w:rPr>
                <w:rFonts w:hint="default" w:ascii="Times New Roman" w:hAnsi="Times New Roman" w:cs="Times New Roman"/>
                <w:b/>
                <w:bCs/>
                <w:color w:val="auto"/>
                <w:sz w:val="24"/>
                <w:szCs w:val="24"/>
                <w:lang w:val="en-US" w:eastAsia="zh-CN"/>
              </w:rPr>
              <w:t xml:space="preserve"> </w:t>
            </w:r>
            <w:r>
              <w:rPr>
                <w:rFonts w:hint="default" w:ascii="Times New Roman" w:hAnsi="Times New Roman" w:cs="Times New Roman"/>
                <w:b/>
                <w:bCs/>
                <w:color w:val="auto"/>
                <w:sz w:val="24"/>
                <w:szCs w:val="24"/>
              </w:rPr>
              <w:t xml:space="preserve"> 活性炭吸附装置设计控制参数一览表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2"/>
              <w:gridCol w:w="1706"/>
              <w:gridCol w:w="5869"/>
            </w:tblGrid>
            <w:tr w14:paraId="5E9C8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452" w:type="pct"/>
                  <w:noWrap w:val="0"/>
                  <w:vAlign w:val="center"/>
                </w:tcPr>
                <w:p w14:paraId="00320AEC">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序号</w:t>
                  </w:r>
                </w:p>
              </w:tc>
              <w:tc>
                <w:tcPr>
                  <w:tcW w:w="1024" w:type="pct"/>
                  <w:noWrap w:val="0"/>
                  <w:vAlign w:val="center"/>
                </w:tcPr>
                <w:p w14:paraId="56886E8B">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项目</w:t>
                  </w:r>
                </w:p>
              </w:tc>
              <w:tc>
                <w:tcPr>
                  <w:tcW w:w="3523" w:type="pct"/>
                  <w:noWrap w:val="0"/>
                  <w:vAlign w:val="center"/>
                </w:tcPr>
                <w:p w14:paraId="26C7560B">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控制要求</w:t>
                  </w:r>
                </w:p>
              </w:tc>
            </w:tr>
            <w:tr w14:paraId="22B6F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452" w:type="pct"/>
                  <w:noWrap w:val="0"/>
                  <w:vAlign w:val="center"/>
                </w:tcPr>
                <w:p w14:paraId="6E59F439">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1</w:t>
                  </w:r>
                </w:p>
              </w:tc>
              <w:tc>
                <w:tcPr>
                  <w:tcW w:w="1024" w:type="pct"/>
                  <w:vMerge w:val="restart"/>
                  <w:noWrap w:val="0"/>
                  <w:vAlign w:val="center"/>
                </w:tcPr>
                <w:p w14:paraId="55FE5154">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预处理要求</w:t>
                  </w:r>
                </w:p>
              </w:tc>
              <w:tc>
                <w:tcPr>
                  <w:tcW w:w="3523" w:type="pct"/>
                  <w:noWrap w:val="0"/>
                  <w:vAlign w:val="center"/>
                </w:tcPr>
                <w:p w14:paraId="5C4D56C4">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颗粒物浓度超过1mg/m</w:t>
                  </w:r>
                  <w:r>
                    <w:rPr>
                      <w:rFonts w:hint="default" w:ascii="Times New Roman" w:hAnsi="Times New Roman" w:cs="Times New Roman"/>
                      <w:b w:val="0"/>
                      <w:bCs w:val="0"/>
                      <w:color w:val="auto"/>
                      <w:sz w:val="21"/>
                      <w:szCs w:val="21"/>
                      <w:vertAlign w:val="superscript"/>
                    </w:rPr>
                    <w:t>3</w:t>
                  </w:r>
                  <w:r>
                    <w:rPr>
                      <w:rFonts w:hint="default" w:ascii="Times New Roman" w:hAnsi="Times New Roman" w:cs="Times New Roman"/>
                      <w:b w:val="0"/>
                      <w:bCs w:val="0"/>
                      <w:color w:val="auto"/>
                      <w:sz w:val="21"/>
                      <w:szCs w:val="21"/>
                    </w:rPr>
                    <w:t>时，采取过滤或洗涤措施进行预处理</w:t>
                  </w:r>
                </w:p>
              </w:tc>
            </w:tr>
            <w:tr w14:paraId="56A17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452" w:type="pct"/>
                  <w:noWrap w:val="0"/>
                  <w:vAlign w:val="center"/>
                </w:tcPr>
                <w:p w14:paraId="088C0FE3">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2</w:t>
                  </w:r>
                </w:p>
              </w:tc>
              <w:tc>
                <w:tcPr>
                  <w:tcW w:w="1024" w:type="pct"/>
                  <w:vMerge w:val="continue"/>
                  <w:noWrap w:val="0"/>
                  <w:vAlign w:val="center"/>
                </w:tcPr>
                <w:p w14:paraId="10468050">
                  <w:pPr>
                    <w:jc w:val="center"/>
                    <w:rPr>
                      <w:rFonts w:hint="default" w:ascii="Times New Roman" w:hAnsi="Times New Roman" w:cs="Times New Roman"/>
                      <w:b w:val="0"/>
                      <w:bCs w:val="0"/>
                      <w:color w:val="auto"/>
                      <w:sz w:val="21"/>
                      <w:szCs w:val="21"/>
                    </w:rPr>
                  </w:pPr>
                </w:p>
              </w:tc>
              <w:tc>
                <w:tcPr>
                  <w:tcW w:w="3523" w:type="pct"/>
                  <w:noWrap w:val="0"/>
                  <w:vAlign w:val="center"/>
                </w:tcPr>
                <w:p w14:paraId="7297E93D">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进气温度高于40℃时，采取稀释或冷凝降温进行预处理</w:t>
                  </w:r>
                </w:p>
              </w:tc>
            </w:tr>
            <w:tr w14:paraId="5CC97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452" w:type="pct"/>
                  <w:noWrap w:val="0"/>
                  <w:vAlign w:val="center"/>
                </w:tcPr>
                <w:p w14:paraId="33D4C833">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3</w:t>
                  </w:r>
                </w:p>
              </w:tc>
              <w:tc>
                <w:tcPr>
                  <w:tcW w:w="1024" w:type="pct"/>
                  <w:vMerge w:val="continue"/>
                  <w:noWrap w:val="0"/>
                  <w:vAlign w:val="center"/>
                </w:tcPr>
                <w:p w14:paraId="4C17803E">
                  <w:pPr>
                    <w:jc w:val="center"/>
                    <w:rPr>
                      <w:rFonts w:hint="default" w:ascii="Times New Roman" w:hAnsi="Times New Roman" w:cs="Times New Roman"/>
                      <w:b w:val="0"/>
                      <w:bCs w:val="0"/>
                      <w:color w:val="auto"/>
                      <w:sz w:val="21"/>
                      <w:szCs w:val="21"/>
                    </w:rPr>
                  </w:pPr>
                </w:p>
              </w:tc>
              <w:tc>
                <w:tcPr>
                  <w:tcW w:w="3523" w:type="pct"/>
                  <w:noWrap w:val="0"/>
                  <w:vAlign w:val="center"/>
                </w:tcPr>
                <w:p w14:paraId="77A02037">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过滤材料两端设置压差计，对过滤材料及时更换。</w:t>
                  </w:r>
                </w:p>
              </w:tc>
            </w:tr>
            <w:tr w14:paraId="03BC2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452" w:type="pct"/>
                  <w:noWrap w:val="0"/>
                  <w:vAlign w:val="center"/>
                </w:tcPr>
                <w:p w14:paraId="0FC58DD1">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4</w:t>
                  </w:r>
                </w:p>
              </w:tc>
              <w:tc>
                <w:tcPr>
                  <w:tcW w:w="1024" w:type="pct"/>
                  <w:noWrap w:val="0"/>
                  <w:vAlign w:val="center"/>
                </w:tcPr>
                <w:p w14:paraId="18F007F5">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吸附材质要求</w:t>
                  </w:r>
                </w:p>
              </w:tc>
              <w:tc>
                <w:tcPr>
                  <w:tcW w:w="3523" w:type="pct"/>
                  <w:noWrap w:val="0"/>
                  <w:vAlign w:val="center"/>
                </w:tcPr>
                <w:p w14:paraId="547A5A0B">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蜂窝活性炭的比表面积BET不低于750m</w:t>
                  </w:r>
                  <w:r>
                    <w:rPr>
                      <w:rFonts w:hint="default" w:ascii="Times New Roman" w:hAnsi="Times New Roman" w:cs="Times New Roman"/>
                      <w:b w:val="0"/>
                      <w:bCs w:val="0"/>
                      <w:color w:val="auto"/>
                      <w:sz w:val="21"/>
                      <w:szCs w:val="21"/>
                      <w:vertAlign w:val="superscript"/>
                    </w:rPr>
                    <w:t>2</w:t>
                  </w:r>
                  <w:r>
                    <w:rPr>
                      <w:rFonts w:hint="default" w:ascii="Times New Roman" w:hAnsi="Times New Roman" w:cs="Times New Roman"/>
                      <w:b w:val="0"/>
                      <w:bCs w:val="0"/>
                      <w:color w:val="auto"/>
                      <w:sz w:val="21"/>
                      <w:szCs w:val="21"/>
                    </w:rPr>
                    <w:t>/g</w:t>
                  </w:r>
                </w:p>
              </w:tc>
            </w:tr>
            <w:tr w14:paraId="719B5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452" w:type="pct"/>
                  <w:noWrap w:val="0"/>
                  <w:vAlign w:val="center"/>
                </w:tcPr>
                <w:p w14:paraId="366DE613">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5</w:t>
                  </w:r>
                </w:p>
              </w:tc>
              <w:tc>
                <w:tcPr>
                  <w:tcW w:w="1024" w:type="pct"/>
                  <w:noWrap w:val="0"/>
                  <w:vAlign w:val="center"/>
                </w:tcPr>
                <w:p w14:paraId="6AC76DDD">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工艺参数</w:t>
                  </w:r>
                </w:p>
              </w:tc>
              <w:tc>
                <w:tcPr>
                  <w:tcW w:w="3523" w:type="pct"/>
                  <w:noWrap w:val="0"/>
                  <w:vAlign w:val="center"/>
                </w:tcPr>
                <w:p w14:paraId="17062A17">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采用蜂窝活性炭时，吸附装置空气流速宜低于1.2m/s</w:t>
                  </w:r>
                </w:p>
              </w:tc>
            </w:tr>
            <w:tr w14:paraId="34CCF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452" w:type="pct"/>
                  <w:noWrap w:val="0"/>
                  <w:vAlign w:val="center"/>
                </w:tcPr>
                <w:p w14:paraId="2DEAC993">
                  <w:pPr>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6</w:t>
                  </w:r>
                </w:p>
              </w:tc>
              <w:tc>
                <w:tcPr>
                  <w:tcW w:w="1024" w:type="pct"/>
                  <w:noWrap w:val="0"/>
                  <w:vAlign w:val="center"/>
                </w:tcPr>
                <w:p w14:paraId="2A9A481C">
                  <w:pPr>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cs="Times New Roman"/>
                      <w:b w:val="0"/>
                      <w:bCs w:val="0"/>
                      <w:color w:val="auto"/>
                      <w:sz w:val="21"/>
                      <w:szCs w:val="21"/>
                      <w:lang w:eastAsia="zh-CN"/>
                    </w:rPr>
                    <w:t>净化效率</w:t>
                  </w:r>
                </w:p>
              </w:tc>
              <w:tc>
                <w:tcPr>
                  <w:tcW w:w="3523" w:type="pct"/>
                  <w:noWrap w:val="0"/>
                  <w:vAlign w:val="center"/>
                </w:tcPr>
                <w:p w14:paraId="2EBDA18A">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吸附装置的净化效率不得低于9</w:t>
                  </w:r>
                  <w:r>
                    <w:rPr>
                      <w:rFonts w:hint="eastAsia" w:cs="Times New Roman"/>
                      <w:b w:val="0"/>
                      <w:bCs w:val="0"/>
                      <w:color w:val="auto"/>
                      <w:sz w:val="21"/>
                      <w:szCs w:val="21"/>
                      <w:lang w:val="en-US" w:eastAsia="zh-CN"/>
                    </w:rPr>
                    <w:t>5</w:t>
                  </w:r>
                  <w:r>
                    <w:rPr>
                      <w:rFonts w:hint="default" w:ascii="Times New Roman" w:hAnsi="Times New Roman" w:cs="Times New Roman"/>
                      <w:b w:val="0"/>
                      <w:bCs w:val="0"/>
                      <w:color w:val="auto"/>
                      <w:sz w:val="21"/>
                      <w:szCs w:val="21"/>
                    </w:rPr>
                    <w:t>%。</w:t>
                  </w:r>
                </w:p>
              </w:tc>
            </w:tr>
          </w:tbl>
          <w:p w14:paraId="7FC93342">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spacing w:val="0"/>
                <w:kern w:val="2"/>
                <w:sz w:val="24"/>
                <w:szCs w:val="24"/>
              </w:rPr>
            </w:pPr>
            <w:r>
              <w:rPr>
                <w:rFonts w:hint="default" w:ascii="Times New Roman" w:hAnsi="Times New Roman" w:eastAsia="宋体" w:cs="Times New Roman"/>
                <w:color w:val="auto"/>
                <w:spacing w:val="0"/>
                <w:kern w:val="2"/>
                <w:sz w:val="24"/>
                <w:szCs w:val="24"/>
              </w:rPr>
              <w:t>吸附剂为蜂窝状活性炭</w:t>
            </w:r>
            <w:r>
              <w:rPr>
                <w:rFonts w:hint="default" w:ascii="Times New Roman" w:hAnsi="Times New Roman" w:eastAsia="宋体" w:cs="Times New Roman"/>
                <w:color w:val="auto"/>
                <w:spacing w:val="0"/>
                <w:kern w:val="2"/>
                <w:sz w:val="24"/>
                <w:szCs w:val="24"/>
                <w:lang w:eastAsia="zh-CN"/>
              </w:rPr>
              <w:t>，</w:t>
            </w:r>
            <w:r>
              <w:rPr>
                <w:rFonts w:hint="default" w:ascii="Times New Roman" w:hAnsi="Times New Roman" w:eastAsia="宋体" w:cs="Times New Roman"/>
                <w:color w:val="auto"/>
                <w:spacing w:val="0"/>
                <w:kern w:val="2"/>
                <w:sz w:val="24"/>
                <w:szCs w:val="24"/>
              </w:rPr>
              <w:t>其碘值≥</w:t>
            </w:r>
            <w:r>
              <w:rPr>
                <w:rFonts w:hint="eastAsia" w:cs="Times New Roman"/>
                <w:color w:val="auto"/>
                <w:spacing w:val="0"/>
                <w:kern w:val="2"/>
                <w:sz w:val="24"/>
                <w:szCs w:val="24"/>
                <w:lang w:val="en-US" w:eastAsia="zh-CN"/>
              </w:rPr>
              <w:t>800</w:t>
            </w:r>
            <w:r>
              <w:rPr>
                <w:rFonts w:hint="default" w:ascii="Times New Roman" w:hAnsi="Times New Roman" w:eastAsia="宋体" w:cs="Times New Roman"/>
                <w:color w:val="auto"/>
                <w:spacing w:val="0"/>
                <w:kern w:val="2"/>
                <w:sz w:val="24"/>
                <w:szCs w:val="24"/>
              </w:rPr>
              <w:t>mg/g，</w:t>
            </w:r>
            <w:r>
              <w:rPr>
                <w:rFonts w:hint="default" w:ascii="Times New Roman" w:hAnsi="Times New Roman" w:eastAsia="宋体" w:cs="Times New Roman"/>
                <w:color w:val="auto"/>
                <w:spacing w:val="0"/>
                <w:kern w:val="2"/>
                <w:sz w:val="24"/>
                <w:szCs w:val="24"/>
                <w:lang w:eastAsia="zh-CN"/>
              </w:rPr>
              <w:t>满足</w:t>
            </w:r>
            <w:r>
              <w:rPr>
                <w:rFonts w:hint="default" w:ascii="Times New Roman" w:hAnsi="Times New Roman" w:eastAsia="宋体" w:cs="Times New Roman"/>
                <w:color w:val="auto"/>
                <w:spacing w:val="0"/>
                <w:kern w:val="2"/>
                <w:sz w:val="24"/>
                <w:szCs w:val="24"/>
              </w:rPr>
              <w:t>《关于加快解决当前挥发性有机物治理突出问题的通知》（环大气[2021]65号）</w:t>
            </w:r>
            <w:r>
              <w:rPr>
                <w:rFonts w:hint="default" w:ascii="Times New Roman" w:hAnsi="Times New Roman" w:eastAsia="宋体" w:cs="Times New Roman"/>
                <w:color w:val="auto"/>
                <w:spacing w:val="0"/>
                <w:kern w:val="2"/>
                <w:sz w:val="24"/>
                <w:szCs w:val="24"/>
                <w:lang w:eastAsia="zh-CN"/>
              </w:rPr>
              <w:t>中采用蜂窝活性炭作为吸附剂时碘值不宜低于650mg/g的要求</w:t>
            </w:r>
            <w:r>
              <w:rPr>
                <w:rFonts w:hint="default" w:ascii="Times New Roman" w:hAnsi="Times New Roman" w:eastAsia="宋体" w:cs="Times New Roman"/>
                <w:color w:val="auto"/>
                <w:spacing w:val="0"/>
                <w:kern w:val="2"/>
                <w:sz w:val="24"/>
                <w:szCs w:val="24"/>
              </w:rPr>
              <w:t>。</w:t>
            </w:r>
            <w:r>
              <w:rPr>
                <w:rFonts w:hint="default" w:ascii="Times New Roman" w:hAnsi="Times New Roman" w:eastAsia="宋体" w:cs="Times New Roman"/>
                <w:color w:val="auto"/>
                <w:sz w:val="24"/>
                <w:szCs w:val="24"/>
              </w:rPr>
              <w:t>进入吸附装置的颗粒物含量低于1mg/m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pacing w:val="0"/>
                <w:kern w:val="2"/>
                <w:sz w:val="24"/>
                <w:szCs w:val="24"/>
                <w:lang w:eastAsia="zh-CN"/>
              </w:rPr>
              <w:t>、蜂窝活性炭的</w:t>
            </w:r>
            <w:r>
              <w:rPr>
                <w:rFonts w:hint="default" w:ascii="Times New Roman" w:hAnsi="Times New Roman" w:cs="Times New Roman"/>
                <w:color w:val="auto"/>
                <w:sz w:val="24"/>
                <w:szCs w:val="24"/>
              </w:rPr>
              <w:t>比表面积BET不低于750m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/g</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废气停留时间、温度、颗粒物浓度满足《吸附法工业有机废气治理工程技术规范》（HJ2026-2013）</w:t>
            </w:r>
            <w:r>
              <w:rPr>
                <w:rFonts w:hint="default" w:ascii="Times New Roman" w:hAnsi="Times New Roman" w:eastAsia="宋体" w:cs="Times New Roman"/>
                <w:color w:val="auto"/>
                <w:spacing w:val="0"/>
                <w:kern w:val="2"/>
                <w:sz w:val="24"/>
                <w:szCs w:val="24"/>
              </w:rPr>
              <w:t>。</w:t>
            </w:r>
          </w:p>
          <w:p w14:paraId="6F0E8C55">
            <w:pPr>
              <w:keepNext w:val="0"/>
              <w:keepLines w:val="0"/>
              <w:pageBreakBefore w:val="0"/>
              <w:widowControl w:val="0"/>
              <w:kinsoku/>
              <w:wordWrap/>
              <w:overflowPunct/>
              <w:topLinePunct w:val="0"/>
              <w:autoSpaceDE/>
              <w:autoSpaceDN/>
              <w:bidi w:val="0"/>
              <w:snapToGrid/>
              <w:spacing w:line="440" w:lineRule="exact"/>
              <w:ind w:firstLine="480" w:firstLineChars="200"/>
              <w:jc w:val="both"/>
              <w:textAlignment w:val="auto"/>
              <w:rPr>
                <w:rFonts w:hint="eastAsia" w:eastAsia="宋体"/>
                <w:kern w:val="0"/>
                <w:sz w:val="24"/>
                <w:lang w:eastAsia="zh-CN"/>
              </w:rPr>
            </w:pPr>
            <w:r>
              <w:rPr>
                <w:rFonts w:hint="eastAsia"/>
                <w:kern w:val="0"/>
                <w:sz w:val="24"/>
              </w:rPr>
              <w:t>根据前文</w:t>
            </w:r>
            <w:r>
              <w:rPr>
                <w:rFonts w:hint="eastAsia"/>
                <w:color w:val="auto"/>
                <w:kern w:val="0"/>
                <w:sz w:val="24"/>
              </w:rPr>
              <w:t>分析，</w:t>
            </w:r>
            <w:r>
              <w:rPr>
                <w:rFonts w:hint="eastAsia"/>
                <w:color w:val="auto"/>
                <w:kern w:val="0"/>
                <w:sz w:val="24"/>
                <w:lang w:val="en-US" w:eastAsia="zh-CN"/>
              </w:rPr>
              <w:t>有机</w:t>
            </w:r>
            <w:r>
              <w:rPr>
                <w:rFonts w:hint="eastAsia"/>
                <w:color w:val="auto"/>
                <w:kern w:val="0"/>
                <w:sz w:val="24"/>
              </w:rPr>
              <w:t>废气</w:t>
            </w:r>
            <w:r>
              <w:rPr>
                <w:rFonts w:hint="eastAsia"/>
                <w:color w:val="auto"/>
                <w:kern w:val="0"/>
                <w:sz w:val="24"/>
                <w:lang w:val="en-US" w:eastAsia="zh-CN"/>
              </w:rPr>
              <w:t>收集风量为150</w:t>
            </w:r>
            <w:r>
              <w:rPr>
                <w:rFonts w:hint="eastAsia"/>
                <w:color w:val="auto"/>
                <w:kern w:val="0"/>
                <w:sz w:val="24"/>
              </w:rPr>
              <w:t>00m</w:t>
            </w:r>
            <w:r>
              <w:rPr>
                <w:rFonts w:hint="eastAsia"/>
                <w:color w:val="auto"/>
                <w:kern w:val="0"/>
                <w:sz w:val="24"/>
                <w:vertAlign w:val="superscript"/>
              </w:rPr>
              <w:t>3</w:t>
            </w:r>
            <w:r>
              <w:rPr>
                <w:rFonts w:hint="eastAsia"/>
                <w:color w:val="auto"/>
                <w:kern w:val="0"/>
                <w:sz w:val="24"/>
              </w:rPr>
              <w:t>/h</w:t>
            </w:r>
            <w:r>
              <w:rPr>
                <w:rFonts w:hint="eastAsia"/>
                <w:color w:val="auto"/>
                <w:kern w:val="0"/>
                <w:sz w:val="24"/>
                <w:lang w:val="en-US" w:eastAsia="zh-CN"/>
              </w:rPr>
              <w:t>，</w:t>
            </w:r>
            <w:r>
              <w:rPr>
                <w:rFonts w:hint="eastAsia"/>
                <w:color w:val="auto"/>
                <w:kern w:val="0"/>
                <w:sz w:val="24"/>
              </w:rPr>
              <w:t>根据</w:t>
            </w:r>
            <w:r>
              <w:rPr>
                <w:color w:val="auto"/>
                <w:kern w:val="0"/>
                <w:sz w:val="24"/>
              </w:rPr>
              <w:t>HJ2026-2013《吸附法工业有机废气治理工程技</w:t>
            </w:r>
            <w:r>
              <w:rPr>
                <w:kern w:val="0"/>
                <w:sz w:val="24"/>
              </w:rPr>
              <w:t>术规范》的规定，</w:t>
            </w:r>
            <w:r>
              <w:rPr>
                <w:rFonts w:hint="eastAsia"/>
                <w:kern w:val="0"/>
                <w:sz w:val="24"/>
              </w:rPr>
              <w:t>蜂窝状</w:t>
            </w:r>
            <w:r>
              <w:rPr>
                <w:kern w:val="0"/>
                <w:sz w:val="24"/>
              </w:rPr>
              <w:t>活性炭吸附装置废气流速宜低于</w:t>
            </w:r>
            <w:r>
              <w:rPr>
                <w:rFonts w:hint="eastAsia"/>
                <w:kern w:val="0"/>
                <w:sz w:val="24"/>
              </w:rPr>
              <w:t>1.2</w:t>
            </w:r>
            <w:r>
              <w:rPr>
                <w:kern w:val="0"/>
                <w:sz w:val="24"/>
              </w:rPr>
              <w:t>m/s</w:t>
            </w:r>
            <w:r>
              <w:rPr>
                <w:rFonts w:hint="eastAsia"/>
                <w:kern w:val="0"/>
                <w:sz w:val="24"/>
              </w:rPr>
              <w:t>。本次评价，保守估计取1.</w:t>
            </w:r>
            <w:r>
              <w:rPr>
                <w:rFonts w:hint="eastAsia"/>
                <w:kern w:val="0"/>
                <w:sz w:val="24"/>
                <w:lang w:val="en-US" w:eastAsia="zh-CN"/>
              </w:rPr>
              <w:t>0</w:t>
            </w:r>
            <w:r>
              <w:rPr>
                <w:rFonts w:hint="eastAsia"/>
                <w:kern w:val="0"/>
                <w:sz w:val="24"/>
              </w:rPr>
              <w:t>m/s。因此，</w:t>
            </w:r>
            <w:r>
              <w:rPr>
                <w:rFonts w:hint="eastAsia"/>
                <w:kern w:val="0"/>
                <w:sz w:val="24"/>
                <w:lang w:val="en-US" w:eastAsia="zh-CN"/>
              </w:rPr>
              <w:t>有机</w:t>
            </w:r>
            <w:r>
              <w:rPr>
                <w:rFonts w:hint="eastAsia"/>
                <w:kern w:val="0"/>
                <w:sz w:val="24"/>
              </w:rPr>
              <w:t>废气活性炭吸附箱体最低吸附过滤面积</w:t>
            </w:r>
            <w:r>
              <w:rPr>
                <w:rFonts w:hint="eastAsia"/>
                <w:kern w:val="0"/>
                <w:sz w:val="24"/>
                <w:lang w:eastAsia="zh-CN"/>
              </w:rPr>
              <w:t>约为</w:t>
            </w:r>
            <w:r>
              <w:rPr>
                <w:rFonts w:hint="eastAsia"/>
                <w:kern w:val="0"/>
                <w:sz w:val="24"/>
                <w:lang w:val="en-US" w:eastAsia="zh-CN"/>
              </w:rPr>
              <w:t>4.2</w:t>
            </w:r>
            <w:r>
              <w:rPr>
                <w:rFonts w:hint="eastAsia"/>
                <w:kern w:val="0"/>
                <w:sz w:val="24"/>
              </w:rPr>
              <w:t>m</w:t>
            </w:r>
            <w:r>
              <w:rPr>
                <w:rFonts w:hint="eastAsia"/>
                <w:kern w:val="0"/>
                <w:sz w:val="24"/>
                <w:vertAlign w:val="superscript"/>
              </w:rPr>
              <w:t>2</w:t>
            </w:r>
            <w:r>
              <w:rPr>
                <w:rFonts w:hint="eastAsia"/>
                <w:kern w:val="0"/>
                <w:sz w:val="24"/>
                <w:vertAlign w:val="baseline"/>
                <w:lang w:eastAsia="zh-CN"/>
              </w:rPr>
              <w:t>。</w:t>
            </w:r>
          </w:p>
          <w:p w14:paraId="1E96925C">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both"/>
              <w:textAlignment w:val="auto"/>
              <w:rPr>
                <w:rFonts w:hint="eastAsia"/>
                <w:sz w:val="24"/>
              </w:rPr>
            </w:pPr>
            <w:r>
              <w:rPr>
                <w:rFonts w:hint="eastAsia"/>
                <w:sz w:val="24"/>
              </w:rPr>
              <w:t>根据《简明通风设计手册》，</w:t>
            </w:r>
            <w:r>
              <w:rPr>
                <w:sz w:val="24"/>
              </w:rPr>
              <w:t>活性炭</w:t>
            </w:r>
            <w:r>
              <w:rPr>
                <w:rFonts w:hint="eastAsia"/>
                <w:sz w:val="24"/>
                <w:lang w:eastAsia="zh-CN"/>
              </w:rPr>
              <w:t>和</w:t>
            </w:r>
            <w:r>
              <w:rPr>
                <w:sz w:val="24"/>
              </w:rPr>
              <w:t>有机废气</w:t>
            </w:r>
            <w:r>
              <w:rPr>
                <w:rFonts w:hint="eastAsia"/>
                <w:sz w:val="24"/>
                <w:lang w:eastAsia="zh-CN"/>
              </w:rPr>
              <w:t>的吸附比为</w:t>
            </w:r>
            <w:r>
              <w:rPr>
                <w:sz w:val="24"/>
              </w:rPr>
              <w:t>1：0.</w:t>
            </w:r>
            <w:r>
              <w:rPr>
                <w:rFonts w:hint="eastAsia"/>
                <w:sz w:val="24"/>
              </w:rPr>
              <w:t>3</w:t>
            </w:r>
            <w:r>
              <w:rPr>
                <w:sz w:val="24"/>
              </w:rPr>
              <w:t>，即1kg的活性炭可以吸附0.</w:t>
            </w:r>
            <w:r>
              <w:rPr>
                <w:rFonts w:hint="eastAsia"/>
                <w:sz w:val="24"/>
              </w:rPr>
              <w:t>3</w:t>
            </w:r>
            <w:r>
              <w:rPr>
                <w:sz w:val="24"/>
              </w:rPr>
              <w:t>kg的有机废气</w:t>
            </w:r>
            <w:r>
              <w:rPr>
                <w:rFonts w:hint="eastAsia"/>
                <w:sz w:val="24"/>
              </w:rPr>
              <w:t>，</w:t>
            </w:r>
            <w:r>
              <w:rPr>
                <w:rFonts w:hint="eastAsia"/>
                <w:kern w:val="0"/>
                <w:sz w:val="24"/>
              </w:rPr>
              <w:t>活性炭吸附饱和率按90%，</w:t>
            </w:r>
            <w:r>
              <w:rPr>
                <w:rFonts w:hint="eastAsia"/>
                <w:kern w:val="0"/>
                <w:sz w:val="24"/>
                <w:lang w:eastAsia="zh-CN"/>
              </w:rPr>
              <w:t>本项目</w:t>
            </w:r>
            <w:r>
              <w:rPr>
                <w:rFonts w:hint="eastAsia"/>
                <w:kern w:val="0"/>
                <w:sz w:val="24"/>
                <w:lang w:val="en-US" w:eastAsia="zh-CN"/>
              </w:rPr>
              <w:t>有机</w:t>
            </w:r>
            <w:r>
              <w:rPr>
                <w:rFonts w:hint="eastAsia"/>
                <w:kern w:val="0"/>
                <w:sz w:val="24"/>
              </w:rPr>
              <w:t>废气活性炭吸附箱体</w:t>
            </w:r>
            <w:r>
              <w:rPr>
                <w:rFonts w:hint="eastAsia"/>
                <w:kern w:val="0"/>
                <w:sz w:val="24"/>
                <w:lang w:eastAsia="zh-CN"/>
              </w:rPr>
              <w:t>吸附有机废气量约为</w:t>
            </w:r>
            <w:r>
              <w:rPr>
                <w:rFonts w:hint="eastAsia"/>
                <w:kern w:val="0"/>
                <w:sz w:val="24"/>
                <w:lang w:val="en-US" w:eastAsia="zh-CN"/>
              </w:rPr>
              <w:t>7.685</w:t>
            </w:r>
            <w:r>
              <w:rPr>
                <w:rFonts w:hint="eastAsia"/>
                <w:kern w:val="0"/>
                <w:sz w:val="24"/>
              </w:rPr>
              <w:t>t/a</w:t>
            </w:r>
            <w:r>
              <w:rPr>
                <w:rFonts w:hint="eastAsia"/>
                <w:kern w:val="0"/>
                <w:sz w:val="24"/>
                <w:lang w:eastAsia="zh-CN"/>
              </w:rPr>
              <w:t>，</w:t>
            </w:r>
            <w:r>
              <w:rPr>
                <w:rFonts w:hint="eastAsia"/>
                <w:kern w:val="0"/>
                <w:sz w:val="24"/>
              </w:rPr>
              <w:t>则</w:t>
            </w:r>
            <w:r>
              <w:rPr>
                <w:rFonts w:hint="eastAsia"/>
                <w:kern w:val="0"/>
                <w:sz w:val="24"/>
                <w:lang w:val="en-US" w:eastAsia="zh-CN"/>
              </w:rPr>
              <w:t>挤塑、注塑、热熔焊接有机</w:t>
            </w:r>
            <w:r>
              <w:rPr>
                <w:rFonts w:hint="eastAsia"/>
                <w:kern w:val="0"/>
                <w:sz w:val="24"/>
              </w:rPr>
              <w:t>废气活性炭吸附装置所需活性炭量</w:t>
            </w:r>
            <w:r>
              <w:rPr>
                <w:rFonts w:hint="eastAsia"/>
                <w:kern w:val="0"/>
                <w:sz w:val="24"/>
                <w:lang w:eastAsia="zh-CN"/>
              </w:rPr>
              <w:t>约为</w:t>
            </w:r>
            <w:r>
              <w:rPr>
                <w:rFonts w:hint="eastAsia"/>
                <w:kern w:val="0"/>
                <w:sz w:val="24"/>
                <w:lang w:val="en-US" w:eastAsia="zh-CN"/>
              </w:rPr>
              <w:t>33.305</w:t>
            </w:r>
            <w:r>
              <w:rPr>
                <w:kern w:val="0"/>
                <w:sz w:val="24"/>
              </w:rPr>
              <w:t>t</w:t>
            </w:r>
            <w:r>
              <w:rPr>
                <w:sz w:val="24"/>
              </w:rPr>
              <w:t>/a</w:t>
            </w:r>
            <w:r>
              <w:rPr>
                <w:rFonts w:hint="eastAsia"/>
                <w:sz w:val="24"/>
              </w:rPr>
              <w:t>（含吸附的有机废气量</w:t>
            </w:r>
            <w:r>
              <w:rPr>
                <w:rFonts w:hint="eastAsia"/>
                <w:kern w:val="0"/>
                <w:sz w:val="24"/>
                <w:lang w:val="en-US" w:eastAsia="zh-CN"/>
              </w:rPr>
              <w:t>7.685</w:t>
            </w:r>
            <w:r>
              <w:rPr>
                <w:rFonts w:hint="eastAsia"/>
                <w:sz w:val="24"/>
              </w:rPr>
              <w:t>t/a）。</w:t>
            </w:r>
          </w:p>
          <w:p w14:paraId="0DD44053">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both"/>
              <w:textAlignment w:val="auto"/>
              <w:rPr>
                <w:kern w:val="0"/>
                <w:sz w:val="24"/>
              </w:rPr>
            </w:pPr>
            <w:r>
              <w:rPr>
                <w:rFonts w:hint="eastAsia"/>
                <w:kern w:val="0"/>
                <w:sz w:val="24"/>
                <w:lang w:eastAsia="zh-CN"/>
              </w:rPr>
              <w:t>项目</w:t>
            </w:r>
            <w:r>
              <w:rPr>
                <w:rFonts w:hint="eastAsia"/>
                <w:kern w:val="0"/>
                <w:sz w:val="24"/>
                <w:lang w:val="en-US" w:eastAsia="zh-CN"/>
              </w:rPr>
              <w:t>有机</w:t>
            </w:r>
            <w:r>
              <w:rPr>
                <w:rFonts w:hint="eastAsia"/>
                <w:kern w:val="0"/>
                <w:sz w:val="24"/>
              </w:rPr>
              <w:t>废气</w:t>
            </w:r>
            <w:r>
              <w:rPr>
                <w:rFonts w:hint="eastAsia"/>
                <w:kern w:val="0"/>
                <w:sz w:val="24"/>
                <w:lang w:eastAsia="zh-CN"/>
              </w:rPr>
              <w:t>二级</w:t>
            </w:r>
            <w:r>
              <w:rPr>
                <w:rFonts w:hint="eastAsia"/>
                <w:kern w:val="0"/>
                <w:sz w:val="24"/>
              </w:rPr>
              <w:t>活性炭吸附装置采用的单台活性炭吸附装置吸附过滤面积为</w:t>
            </w:r>
            <w:r>
              <w:rPr>
                <w:rFonts w:hint="eastAsia"/>
                <w:kern w:val="0"/>
                <w:sz w:val="24"/>
                <w:lang w:val="en-US" w:eastAsia="zh-CN"/>
              </w:rPr>
              <w:t>4.2</w:t>
            </w:r>
            <w:r>
              <w:rPr>
                <w:rFonts w:hint="eastAsia"/>
                <w:kern w:val="0"/>
                <w:sz w:val="24"/>
              </w:rPr>
              <w:t>m</w:t>
            </w:r>
            <w:r>
              <w:rPr>
                <w:rFonts w:hint="eastAsia"/>
                <w:kern w:val="0"/>
                <w:sz w:val="24"/>
                <w:vertAlign w:val="superscript"/>
              </w:rPr>
              <w:t>2</w:t>
            </w:r>
            <w:r>
              <w:rPr>
                <w:rFonts w:hint="eastAsia"/>
                <w:kern w:val="0"/>
                <w:sz w:val="24"/>
                <w:lang w:eastAsia="zh-CN"/>
              </w:rPr>
              <w:t>，</w:t>
            </w:r>
            <w:r>
              <w:rPr>
                <w:rFonts w:hint="eastAsia"/>
                <w:kern w:val="0"/>
                <w:sz w:val="24"/>
              </w:rPr>
              <w:t>采用蜂窝状活性炭</w:t>
            </w:r>
            <w:r>
              <w:rPr>
                <w:kern w:val="0"/>
                <w:sz w:val="24"/>
              </w:rPr>
              <w:t>，</w:t>
            </w:r>
            <w:r>
              <w:rPr>
                <w:rFonts w:hint="eastAsia"/>
                <w:kern w:val="0"/>
                <w:sz w:val="24"/>
              </w:rPr>
              <w:t>单层蜂窝状活性炭厚度约0.</w:t>
            </w:r>
            <w:r>
              <w:rPr>
                <w:rFonts w:hint="eastAsia"/>
                <w:kern w:val="0"/>
                <w:sz w:val="24"/>
                <w:lang w:val="en-US" w:eastAsia="zh-CN"/>
              </w:rPr>
              <w:t>1</w:t>
            </w:r>
            <w:r>
              <w:rPr>
                <w:rFonts w:hint="eastAsia"/>
                <w:kern w:val="0"/>
                <w:sz w:val="24"/>
              </w:rPr>
              <w:t>m，</w:t>
            </w:r>
            <w:r>
              <w:rPr>
                <w:rFonts w:hint="eastAsia"/>
                <w:kern w:val="0"/>
                <w:sz w:val="24"/>
                <w:lang w:val="en-US" w:eastAsia="zh-CN"/>
              </w:rPr>
              <w:t>每</w:t>
            </w:r>
            <w:r>
              <w:rPr>
                <w:rFonts w:hint="eastAsia"/>
                <w:kern w:val="0"/>
                <w:sz w:val="24"/>
              </w:rPr>
              <w:t>台活性炭吸附装置</w:t>
            </w:r>
            <w:r>
              <w:rPr>
                <w:rFonts w:hint="eastAsia"/>
                <w:kern w:val="0"/>
                <w:sz w:val="24"/>
                <w:lang w:val="en-US" w:eastAsia="zh-CN"/>
              </w:rPr>
              <w:t>内设置4层活性炭，</w:t>
            </w:r>
            <w:r>
              <w:rPr>
                <w:rFonts w:hint="eastAsia"/>
                <w:kern w:val="0"/>
                <w:sz w:val="24"/>
              </w:rPr>
              <w:t>则</w:t>
            </w:r>
            <w:r>
              <w:rPr>
                <w:rFonts w:hint="eastAsia"/>
                <w:kern w:val="0"/>
                <w:sz w:val="24"/>
                <w:lang w:val="en-US" w:eastAsia="zh-CN"/>
              </w:rPr>
              <w:t>有机</w:t>
            </w:r>
            <w:r>
              <w:rPr>
                <w:rFonts w:hint="eastAsia"/>
                <w:kern w:val="0"/>
                <w:sz w:val="24"/>
              </w:rPr>
              <w:t>废气</w:t>
            </w:r>
            <w:r>
              <w:rPr>
                <w:rFonts w:hint="eastAsia"/>
                <w:kern w:val="0"/>
                <w:sz w:val="24"/>
                <w:lang w:eastAsia="zh-CN"/>
              </w:rPr>
              <w:t>二级</w:t>
            </w:r>
            <w:r>
              <w:rPr>
                <w:rFonts w:hint="eastAsia"/>
                <w:kern w:val="0"/>
                <w:sz w:val="24"/>
              </w:rPr>
              <w:t>活性炭吸附装置</w:t>
            </w:r>
            <w:r>
              <w:rPr>
                <w:rFonts w:hint="eastAsia" w:ascii="Times New Roman" w:hAnsi="Times New Roman" w:eastAsia="宋体" w:cs="Times New Roman"/>
                <w:color w:val="auto"/>
                <w:sz w:val="24"/>
                <w:szCs w:val="24"/>
                <w:highlight w:val="none"/>
                <w:lang w:val="en-US" w:eastAsia="zh-CN"/>
              </w:rPr>
              <w:t>单台</w:t>
            </w:r>
            <w:r>
              <w:rPr>
                <w:rFonts w:hint="eastAsia"/>
                <w:kern w:val="0"/>
                <w:sz w:val="24"/>
              </w:rPr>
              <w:t>活性炭充填量为</w:t>
            </w:r>
            <w:r>
              <w:rPr>
                <w:rFonts w:hint="eastAsia"/>
                <w:kern w:val="0"/>
                <w:sz w:val="24"/>
                <w:lang w:val="en-US" w:eastAsia="zh-CN"/>
              </w:rPr>
              <w:t>1.68</w:t>
            </w:r>
            <w:r>
              <w:rPr>
                <w:rFonts w:hint="eastAsia"/>
                <w:kern w:val="0"/>
                <w:sz w:val="24"/>
              </w:rPr>
              <w:t>m</w:t>
            </w:r>
            <w:r>
              <w:rPr>
                <w:rFonts w:hint="eastAsia"/>
                <w:kern w:val="0"/>
                <w:sz w:val="24"/>
                <w:vertAlign w:val="superscript"/>
              </w:rPr>
              <w:t>3</w:t>
            </w:r>
            <w:r>
              <w:rPr>
                <w:rFonts w:hint="eastAsia"/>
                <w:kern w:val="0"/>
                <w:sz w:val="24"/>
              </w:rPr>
              <w:t>，</w:t>
            </w:r>
            <w:r>
              <w:rPr>
                <w:kern w:val="0"/>
                <w:sz w:val="24"/>
              </w:rPr>
              <w:t>蜂窝活性炭的堆积密度</w:t>
            </w:r>
            <w:r>
              <w:rPr>
                <w:rFonts w:hint="eastAsia"/>
                <w:kern w:val="0"/>
                <w:sz w:val="24"/>
              </w:rPr>
              <w:t>按</w:t>
            </w:r>
            <w:r>
              <w:rPr>
                <w:kern w:val="0"/>
                <w:sz w:val="24"/>
              </w:rPr>
              <w:t>0</w:t>
            </w:r>
            <w:r>
              <w:rPr>
                <w:rFonts w:hint="eastAsia"/>
                <w:kern w:val="0"/>
                <w:sz w:val="24"/>
              </w:rPr>
              <w:t>.55</w:t>
            </w:r>
            <w:r>
              <w:rPr>
                <w:kern w:val="0"/>
                <w:sz w:val="24"/>
              </w:rPr>
              <w:t>g</w:t>
            </w:r>
            <w:r>
              <w:rPr>
                <w:rFonts w:hint="eastAsia"/>
                <w:kern w:val="0"/>
                <w:sz w:val="24"/>
              </w:rPr>
              <w:t>/cm</w:t>
            </w:r>
            <w:r>
              <w:rPr>
                <w:rFonts w:hint="eastAsia"/>
                <w:kern w:val="0"/>
                <w:sz w:val="24"/>
                <w:vertAlign w:val="superscript"/>
              </w:rPr>
              <w:t>3</w:t>
            </w:r>
            <w:r>
              <w:rPr>
                <w:kern w:val="0"/>
                <w:sz w:val="24"/>
              </w:rPr>
              <w:t>，</w:t>
            </w:r>
            <w:r>
              <w:rPr>
                <w:rFonts w:hint="eastAsia"/>
                <w:kern w:val="0"/>
                <w:sz w:val="24"/>
                <w:lang w:val="en-US" w:eastAsia="zh-CN"/>
              </w:rPr>
              <w:t>计算得有机</w:t>
            </w:r>
            <w:r>
              <w:rPr>
                <w:rFonts w:hint="eastAsia"/>
                <w:kern w:val="0"/>
                <w:sz w:val="24"/>
              </w:rPr>
              <w:t>废气</w:t>
            </w:r>
            <w:r>
              <w:rPr>
                <w:rFonts w:hint="eastAsia"/>
                <w:kern w:val="0"/>
                <w:sz w:val="24"/>
                <w:lang w:eastAsia="zh-CN"/>
              </w:rPr>
              <w:t>二级</w:t>
            </w:r>
            <w:r>
              <w:rPr>
                <w:rFonts w:hint="eastAsia"/>
                <w:kern w:val="0"/>
                <w:sz w:val="24"/>
              </w:rPr>
              <w:t>活性炭吸附装置单台活性炭吸附装置一次装填量为</w:t>
            </w:r>
            <w:r>
              <w:rPr>
                <w:rFonts w:hint="eastAsia"/>
                <w:kern w:val="0"/>
                <w:sz w:val="24"/>
                <w:lang w:val="en-US" w:eastAsia="zh-CN"/>
              </w:rPr>
              <w:t>924</w:t>
            </w:r>
            <w:r>
              <w:rPr>
                <w:rFonts w:hint="eastAsia"/>
                <w:kern w:val="0"/>
                <w:sz w:val="24"/>
              </w:rPr>
              <w:t>kg，本项目有机废气采用二级活性炭吸附装置，</w:t>
            </w:r>
            <w:r>
              <w:rPr>
                <w:rFonts w:hint="eastAsia"/>
                <w:kern w:val="0"/>
                <w:sz w:val="24"/>
                <w:lang w:val="en-US" w:eastAsia="zh-CN"/>
              </w:rPr>
              <w:t>则有机</w:t>
            </w:r>
            <w:r>
              <w:rPr>
                <w:rFonts w:hint="eastAsia"/>
                <w:kern w:val="0"/>
                <w:sz w:val="24"/>
              </w:rPr>
              <w:t>废气</w:t>
            </w:r>
            <w:r>
              <w:rPr>
                <w:rFonts w:hint="eastAsia"/>
                <w:kern w:val="0"/>
                <w:sz w:val="24"/>
                <w:lang w:eastAsia="zh-CN"/>
              </w:rPr>
              <w:t>二级</w:t>
            </w:r>
            <w:r>
              <w:rPr>
                <w:rFonts w:hint="eastAsia"/>
                <w:kern w:val="0"/>
                <w:sz w:val="24"/>
              </w:rPr>
              <w:t>活性炭吸附装置</w:t>
            </w:r>
            <w:r>
              <w:rPr>
                <w:rFonts w:hint="eastAsia" w:ascii="Times New Roman" w:hAnsi="Times New Roman" w:eastAsia="宋体" w:cs="Times New Roman"/>
                <w:color w:val="auto"/>
                <w:sz w:val="24"/>
                <w:szCs w:val="24"/>
                <w:highlight w:val="none"/>
                <w:lang w:val="en-US" w:eastAsia="zh-CN"/>
              </w:rPr>
              <w:t>活性炭吸附</w:t>
            </w:r>
            <w:r>
              <w:rPr>
                <w:rFonts w:hint="eastAsia"/>
                <w:kern w:val="0"/>
                <w:sz w:val="24"/>
              </w:rPr>
              <w:t>装置一次总装填活性炭量为</w:t>
            </w:r>
            <w:r>
              <w:rPr>
                <w:rFonts w:hint="eastAsia"/>
                <w:kern w:val="0"/>
                <w:sz w:val="24"/>
                <w:lang w:val="en-US" w:eastAsia="zh-CN"/>
              </w:rPr>
              <w:t>1.848</w:t>
            </w:r>
            <w:r>
              <w:rPr>
                <w:rFonts w:hint="eastAsia"/>
                <w:kern w:val="0"/>
                <w:sz w:val="24"/>
              </w:rPr>
              <w:t>t</w:t>
            </w:r>
            <w:r>
              <w:rPr>
                <w:rFonts w:hint="eastAsia"/>
                <w:sz w:val="24"/>
                <w:lang w:eastAsia="zh-CN"/>
              </w:rPr>
              <w:t>，</w:t>
            </w:r>
            <w:r>
              <w:rPr>
                <w:rFonts w:hint="eastAsia"/>
                <w:kern w:val="0"/>
                <w:sz w:val="24"/>
              </w:rPr>
              <w:t>活性炭吸附装置吸附饱和时活性炭吸附量为0.</w:t>
            </w:r>
            <w:r>
              <w:rPr>
                <w:rFonts w:hint="eastAsia"/>
                <w:kern w:val="0"/>
                <w:sz w:val="24"/>
                <w:lang w:val="en-US" w:eastAsia="zh-CN"/>
              </w:rPr>
              <w:t>499</w:t>
            </w:r>
            <w:r>
              <w:rPr>
                <w:rFonts w:hint="eastAsia"/>
                <w:kern w:val="0"/>
                <w:sz w:val="24"/>
              </w:rPr>
              <w:t>t有机废气，</w:t>
            </w:r>
            <w:r>
              <w:rPr>
                <w:rFonts w:hint="eastAsia"/>
                <w:kern w:val="0"/>
                <w:sz w:val="24"/>
                <w:lang w:val="en-US" w:eastAsia="zh-CN"/>
              </w:rPr>
              <w:t>项目</w:t>
            </w:r>
            <w:r>
              <w:rPr>
                <w:rFonts w:hint="eastAsia" w:ascii="Times New Roman" w:hAnsi="Times New Roman" w:eastAsia="宋体" w:cs="Times New Roman"/>
                <w:color w:val="auto"/>
                <w:sz w:val="24"/>
                <w:szCs w:val="24"/>
                <w:highlight w:val="none"/>
                <w:lang w:val="en-US" w:eastAsia="zh-CN"/>
              </w:rPr>
              <w:t>废气</w:t>
            </w:r>
            <w:r>
              <w:rPr>
                <w:rFonts w:hint="eastAsia"/>
                <w:kern w:val="0"/>
                <w:sz w:val="24"/>
              </w:rPr>
              <w:t>活性炭吸附装置年吸附有机废气量为</w:t>
            </w:r>
            <w:r>
              <w:rPr>
                <w:rFonts w:hint="eastAsia"/>
                <w:kern w:val="0"/>
                <w:sz w:val="24"/>
                <w:lang w:val="en-US" w:eastAsia="zh-CN"/>
              </w:rPr>
              <w:t>7.685</w:t>
            </w:r>
            <w:r>
              <w:rPr>
                <w:rFonts w:hint="eastAsia"/>
                <w:kern w:val="0"/>
                <w:sz w:val="24"/>
              </w:rPr>
              <w:t>t/a，则</w:t>
            </w:r>
            <w:r>
              <w:rPr>
                <w:rFonts w:hint="eastAsia" w:ascii="Times New Roman" w:hAnsi="Times New Roman" w:eastAsia="宋体" w:cs="Times New Roman"/>
                <w:color w:val="auto"/>
                <w:sz w:val="24"/>
                <w:szCs w:val="24"/>
                <w:highlight w:val="none"/>
                <w:lang w:val="en-US" w:eastAsia="zh-CN"/>
              </w:rPr>
              <w:t>活性炭吸附装置</w:t>
            </w:r>
            <w:r>
              <w:rPr>
                <w:rFonts w:hint="eastAsia"/>
                <w:kern w:val="0"/>
                <w:sz w:val="24"/>
              </w:rPr>
              <w:t>平均</w:t>
            </w:r>
            <w:r>
              <w:rPr>
                <w:rFonts w:hint="eastAsia"/>
                <w:kern w:val="0"/>
                <w:sz w:val="24"/>
                <w:lang w:val="en-US" w:eastAsia="zh-CN"/>
              </w:rPr>
              <w:t>19天</w:t>
            </w:r>
            <w:r>
              <w:rPr>
                <w:rFonts w:hint="eastAsia"/>
                <w:kern w:val="0"/>
                <w:sz w:val="24"/>
              </w:rPr>
              <w:t>需要更换一次活性炭</w:t>
            </w:r>
            <w:r>
              <w:rPr>
                <w:rFonts w:hint="eastAsia"/>
                <w:kern w:val="0"/>
                <w:sz w:val="24"/>
                <w:lang w:eastAsia="zh-CN"/>
              </w:rPr>
              <w:t>。</w:t>
            </w:r>
            <w:r>
              <w:rPr>
                <w:rFonts w:hint="eastAsia"/>
                <w:kern w:val="0"/>
                <w:sz w:val="24"/>
              </w:rPr>
              <w:t>活性炭吸附箱体</w:t>
            </w:r>
            <w:r>
              <w:rPr>
                <w:kern w:val="0"/>
                <w:sz w:val="24"/>
              </w:rPr>
              <w:t>设计参数</w:t>
            </w:r>
            <w:r>
              <w:rPr>
                <w:rFonts w:hint="eastAsia"/>
                <w:kern w:val="0"/>
                <w:sz w:val="24"/>
                <w:lang w:eastAsia="zh-CN"/>
              </w:rPr>
              <w:t>详见下表所示。</w:t>
            </w:r>
          </w:p>
          <w:p w14:paraId="0A27EB0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sz w:val="24"/>
                <w:szCs w:val="24"/>
              </w:rPr>
            </w:pPr>
            <w:r>
              <w:rPr>
                <w:b/>
                <w:sz w:val="24"/>
                <w:szCs w:val="24"/>
              </w:rPr>
              <w:t>表</w:t>
            </w:r>
            <w:r>
              <w:rPr>
                <w:rFonts w:hint="eastAsia"/>
                <w:b/>
                <w:sz w:val="24"/>
                <w:szCs w:val="24"/>
                <w:lang w:val="en-US" w:eastAsia="zh-CN"/>
              </w:rPr>
              <w:t>4</w:t>
            </w:r>
            <w:r>
              <w:rPr>
                <w:rFonts w:hint="eastAsia"/>
                <w:b/>
                <w:sz w:val="24"/>
                <w:szCs w:val="24"/>
              </w:rPr>
              <w:t>-</w:t>
            </w:r>
            <w:r>
              <w:rPr>
                <w:rFonts w:hint="eastAsia"/>
                <w:b/>
                <w:sz w:val="24"/>
                <w:szCs w:val="24"/>
                <w:lang w:val="en-US" w:eastAsia="zh-CN"/>
              </w:rPr>
              <w:t>10</w:t>
            </w:r>
            <w:r>
              <w:rPr>
                <w:rFonts w:hint="eastAsia"/>
                <w:b/>
                <w:sz w:val="24"/>
                <w:szCs w:val="24"/>
              </w:rPr>
              <w:t xml:space="preserve">  </w:t>
            </w:r>
            <w:r>
              <w:rPr>
                <w:rFonts w:hint="eastAsia"/>
                <w:b/>
                <w:sz w:val="24"/>
                <w:szCs w:val="24"/>
                <w:lang w:val="en-US" w:eastAsia="zh-CN"/>
              </w:rPr>
              <w:t>挤塑废气</w:t>
            </w:r>
            <w:r>
              <w:rPr>
                <w:rFonts w:hint="eastAsia"/>
                <w:b/>
                <w:sz w:val="24"/>
                <w:szCs w:val="24"/>
              </w:rPr>
              <w:t>活性炭吸附装置技术</w:t>
            </w:r>
            <w:r>
              <w:rPr>
                <w:b/>
                <w:sz w:val="24"/>
                <w:szCs w:val="24"/>
              </w:rPr>
              <w:t>参数</w:t>
            </w:r>
            <w:r>
              <w:rPr>
                <w:rFonts w:hint="eastAsia"/>
                <w:b/>
                <w:sz w:val="24"/>
                <w:szCs w:val="24"/>
              </w:rPr>
              <w:t>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5"/>
              <w:gridCol w:w="1615"/>
              <w:gridCol w:w="1806"/>
              <w:gridCol w:w="2080"/>
              <w:gridCol w:w="2051"/>
            </w:tblGrid>
            <w:tr w14:paraId="468C2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465" w:type="pct"/>
                  <w:noWrap w:val="0"/>
                  <w:vAlign w:val="center"/>
                </w:tcPr>
                <w:p w14:paraId="11595B59">
                  <w:pPr>
                    <w:adjustRightInd w:val="0"/>
                    <w:spacing w:line="240" w:lineRule="auto"/>
                    <w:jc w:val="center"/>
                    <w:rPr>
                      <w:rFonts w:hint="eastAsia"/>
                      <w:b w:val="0"/>
                      <w:bCs/>
                      <w:sz w:val="21"/>
                      <w:szCs w:val="21"/>
                    </w:rPr>
                  </w:pPr>
                  <w:r>
                    <w:rPr>
                      <w:rFonts w:hint="eastAsia"/>
                      <w:b w:val="0"/>
                      <w:bCs/>
                      <w:sz w:val="21"/>
                      <w:szCs w:val="21"/>
                    </w:rPr>
                    <w:t>项目</w:t>
                  </w:r>
                </w:p>
              </w:tc>
              <w:tc>
                <w:tcPr>
                  <w:tcW w:w="969" w:type="pct"/>
                  <w:noWrap w:val="0"/>
                  <w:vAlign w:val="center"/>
                </w:tcPr>
                <w:p w14:paraId="2F44F8DA">
                  <w:pPr>
                    <w:adjustRightInd w:val="0"/>
                    <w:spacing w:line="240" w:lineRule="auto"/>
                    <w:jc w:val="center"/>
                    <w:rPr>
                      <w:rFonts w:hint="eastAsia"/>
                      <w:b w:val="0"/>
                      <w:bCs/>
                      <w:sz w:val="21"/>
                      <w:szCs w:val="21"/>
                    </w:rPr>
                  </w:pPr>
                  <w:r>
                    <w:rPr>
                      <w:rFonts w:hint="eastAsia"/>
                      <w:b w:val="0"/>
                      <w:bCs/>
                      <w:sz w:val="21"/>
                      <w:szCs w:val="21"/>
                    </w:rPr>
                    <w:t>处理风量</w:t>
                  </w:r>
                </w:p>
              </w:tc>
              <w:tc>
                <w:tcPr>
                  <w:tcW w:w="1084" w:type="pct"/>
                  <w:noWrap w:val="0"/>
                  <w:vAlign w:val="center"/>
                </w:tcPr>
                <w:p w14:paraId="669A4489">
                  <w:pPr>
                    <w:adjustRightInd w:val="0"/>
                    <w:spacing w:line="240" w:lineRule="auto"/>
                    <w:jc w:val="center"/>
                    <w:rPr>
                      <w:rFonts w:hint="eastAsia"/>
                      <w:b w:val="0"/>
                      <w:bCs/>
                      <w:sz w:val="21"/>
                      <w:szCs w:val="21"/>
                    </w:rPr>
                  </w:pPr>
                  <w:r>
                    <w:rPr>
                      <w:rFonts w:hint="eastAsia"/>
                      <w:b w:val="0"/>
                      <w:bCs/>
                      <w:sz w:val="21"/>
                      <w:szCs w:val="21"/>
                    </w:rPr>
                    <w:t>过滤风速</w:t>
                  </w:r>
                </w:p>
              </w:tc>
              <w:tc>
                <w:tcPr>
                  <w:tcW w:w="1248" w:type="pct"/>
                  <w:noWrap w:val="0"/>
                  <w:vAlign w:val="center"/>
                </w:tcPr>
                <w:p w14:paraId="15B0D6C4">
                  <w:pPr>
                    <w:adjustRightInd w:val="0"/>
                    <w:spacing w:line="240" w:lineRule="auto"/>
                    <w:jc w:val="center"/>
                    <w:rPr>
                      <w:rFonts w:hint="eastAsia"/>
                      <w:b w:val="0"/>
                      <w:bCs/>
                      <w:sz w:val="21"/>
                      <w:szCs w:val="21"/>
                    </w:rPr>
                  </w:pPr>
                  <w:r>
                    <w:rPr>
                      <w:rFonts w:hint="eastAsia"/>
                      <w:b w:val="0"/>
                      <w:bCs/>
                      <w:sz w:val="21"/>
                      <w:szCs w:val="21"/>
                    </w:rPr>
                    <w:t>过滤停留时间</w:t>
                  </w:r>
                </w:p>
              </w:tc>
              <w:tc>
                <w:tcPr>
                  <w:tcW w:w="1231" w:type="pct"/>
                  <w:noWrap w:val="0"/>
                  <w:vAlign w:val="center"/>
                </w:tcPr>
                <w:p w14:paraId="7D9071E3">
                  <w:pPr>
                    <w:adjustRightInd w:val="0"/>
                    <w:spacing w:line="240" w:lineRule="auto"/>
                    <w:jc w:val="center"/>
                    <w:rPr>
                      <w:rFonts w:hint="eastAsia"/>
                      <w:b w:val="0"/>
                      <w:bCs/>
                      <w:sz w:val="21"/>
                      <w:szCs w:val="21"/>
                    </w:rPr>
                  </w:pPr>
                  <w:r>
                    <w:rPr>
                      <w:rFonts w:hint="eastAsia"/>
                      <w:b w:val="0"/>
                      <w:bCs/>
                      <w:sz w:val="21"/>
                      <w:szCs w:val="21"/>
                    </w:rPr>
                    <w:t>处理效率</w:t>
                  </w:r>
                </w:p>
              </w:tc>
            </w:tr>
            <w:tr w14:paraId="767D0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465" w:type="pct"/>
                  <w:noWrap w:val="0"/>
                  <w:vAlign w:val="center"/>
                </w:tcPr>
                <w:p w14:paraId="7FF30E5E">
                  <w:pPr>
                    <w:adjustRightInd w:val="0"/>
                    <w:spacing w:line="240" w:lineRule="auto"/>
                    <w:jc w:val="center"/>
                    <w:rPr>
                      <w:rFonts w:hint="eastAsia"/>
                      <w:b w:val="0"/>
                      <w:bCs/>
                      <w:sz w:val="21"/>
                      <w:szCs w:val="21"/>
                    </w:rPr>
                  </w:pPr>
                  <w:r>
                    <w:rPr>
                      <w:rFonts w:hint="eastAsia"/>
                      <w:b w:val="0"/>
                      <w:bCs/>
                      <w:sz w:val="21"/>
                      <w:szCs w:val="21"/>
                    </w:rPr>
                    <w:t>参数</w:t>
                  </w:r>
                </w:p>
              </w:tc>
              <w:tc>
                <w:tcPr>
                  <w:tcW w:w="969" w:type="pct"/>
                  <w:noWrap w:val="0"/>
                  <w:vAlign w:val="center"/>
                </w:tcPr>
                <w:p w14:paraId="489B3AB2">
                  <w:pPr>
                    <w:adjustRightInd w:val="0"/>
                    <w:spacing w:line="240" w:lineRule="auto"/>
                    <w:jc w:val="center"/>
                    <w:rPr>
                      <w:rFonts w:hint="eastAsia"/>
                      <w:b w:val="0"/>
                      <w:bCs/>
                      <w:color w:val="auto"/>
                      <w:sz w:val="21"/>
                      <w:szCs w:val="21"/>
                      <w:lang w:val="pt-BR"/>
                    </w:rPr>
                  </w:pPr>
                  <w:r>
                    <w:rPr>
                      <w:rFonts w:hint="eastAsia"/>
                      <w:b w:val="0"/>
                      <w:bCs/>
                      <w:color w:val="auto"/>
                      <w:sz w:val="21"/>
                      <w:szCs w:val="21"/>
                      <w:lang w:val="en-US" w:eastAsia="zh-CN"/>
                    </w:rPr>
                    <w:t>150</w:t>
                  </w:r>
                  <w:r>
                    <w:rPr>
                      <w:rFonts w:hint="eastAsia"/>
                      <w:b w:val="0"/>
                      <w:bCs/>
                      <w:color w:val="auto"/>
                      <w:sz w:val="21"/>
                      <w:szCs w:val="21"/>
                      <w:lang w:val="pt-BR"/>
                    </w:rPr>
                    <w:t>00m</w:t>
                  </w:r>
                  <w:r>
                    <w:rPr>
                      <w:rFonts w:hint="eastAsia"/>
                      <w:b w:val="0"/>
                      <w:bCs/>
                      <w:color w:val="auto"/>
                      <w:sz w:val="21"/>
                      <w:szCs w:val="21"/>
                      <w:vertAlign w:val="superscript"/>
                      <w:lang w:val="pt-BR"/>
                    </w:rPr>
                    <w:t>3</w:t>
                  </w:r>
                  <w:r>
                    <w:rPr>
                      <w:rFonts w:hint="eastAsia"/>
                      <w:b w:val="0"/>
                      <w:bCs/>
                      <w:color w:val="auto"/>
                      <w:sz w:val="21"/>
                      <w:szCs w:val="21"/>
                      <w:lang w:val="pt-BR"/>
                    </w:rPr>
                    <w:t>/h</w:t>
                  </w:r>
                </w:p>
              </w:tc>
              <w:tc>
                <w:tcPr>
                  <w:tcW w:w="1084" w:type="pct"/>
                  <w:noWrap w:val="0"/>
                  <w:vAlign w:val="center"/>
                </w:tcPr>
                <w:p w14:paraId="1531654C">
                  <w:pPr>
                    <w:adjustRightInd w:val="0"/>
                    <w:spacing w:line="240" w:lineRule="auto"/>
                    <w:jc w:val="center"/>
                    <w:rPr>
                      <w:rFonts w:hint="eastAsia"/>
                      <w:b w:val="0"/>
                      <w:bCs/>
                      <w:color w:val="auto"/>
                      <w:sz w:val="21"/>
                      <w:szCs w:val="21"/>
                    </w:rPr>
                  </w:pPr>
                  <w:r>
                    <w:rPr>
                      <w:rFonts w:hint="eastAsia"/>
                      <w:b w:val="0"/>
                      <w:bCs/>
                      <w:color w:val="auto"/>
                      <w:sz w:val="21"/>
                      <w:szCs w:val="21"/>
                    </w:rPr>
                    <w:t>1.</w:t>
                  </w:r>
                  <w:r>
                    <w:rPr>
                      <w:rFonts w:hint="eastAsia"/>
                      <w:b w:val="0"/>
                      <w:bCs/>
                      <w:color w:val="auto"/>
                      <w:sz w:val="21"/>
                      <w:szCs w:val="21"/>
                      <w:lang w:val="en-US" w:eastAsia="zh-CN"/>
                    </w:rPr>
                    <w:t>0</w:t>
                  </w:r>
                  <w:r>
                    <w:rPr>
                      <w:rFonts w:hint="eastAsia"/>
                      <w:b w:val="0"/>
                      <w:bCs/>
                      <w:color w:val="auto"/>
                      <w:sz w:val="21"/>
                      <w:szCs w:val="21"/>
                    </w:rPr>
                    <w:t>m/s</w:t>
                  </w:r>
                </w:p>
              </w:tc>
              <w:tc>
                <w:tcPr>
                  <w:tcW w:w="1248" w:type="pct"/>
                  <w:noWrap w:val="0"/>
                  <w:vAlign w:val="center"/>
                </w:tcPr>
                <w:p w14:paraId="073B8E88">
                  <w:pPr>
                    <w:adjustRightInd w:val="0"/>
                    <w:spacing w:line="240" w:lineRule="auto"/>
                    <w:jc w:val="center"/>
                    <w:rPr>
                      <w:rFonts w:hint="eastAsia"/>
                      <w:b w:val="0"/>
                      <w:bCs/>
                      <w:sz w:val="21"/>
                      <w:szCs w:val="21"/>
                    </w:rPr>
                  </w:pPr>
                  <w:r>
                    <w:rPr>
                      <w:rFonts w:hint="eastAsia"/>
                      <w:b w:val="0"/>
                      <w:bCs/>
                      <w:sz w:val="21"/>
                      <w:szCs w:val="21"/>
                    </w:rPr>
                    <w:t>0.1~2s</w:t>
                  </w:r>
                </w:p>
              </w:tc>
              <w:tc>
                <w:tcPr>
                  <w:tcW w:w="1231" w:type="pct"/>
                  <w:noWrap w:val="0"/>
                  <w:vAlign w:val="center"/>
                </w:tcPr>
                <w:p w14:paraId="6DC8AD48">
                  <w:pPr>
                    <w:adjustRightInd w:val="0"/>
                    <w:spacing w:line="240" w:lineRule="auto"/>
                    <w:jc w:val="center"/>
                    <w:rPr>
                      <w:rFonts w:hint="eastAsia"/>
                      <w:b w:val="0"/>
                      <w:bCs/>
                      <w:sz w:val="21"/>
                      <w:szCs w:val="21"/>
                    </w:rPr>
                  </w:pPr>
                  <w:r>
                    <w:rPr>
                      <w:rFonts w:hint="eastAsia"/>
                      <w:b w:val="0"/>
                      <w:bCs/>
                      <w:sz w:val="21"/>
                      <w:szCs w:val="21"/>
                    </w:rPr>
                    <w:t>9</w:t>
                  </w:r>
                  <w:r>
                    <w:rPr>
                      <w:rFonts w:hint="eastAsia"/>
                      <w:b w:val="0"/>
                      <w:bCs/>
                      <w:sz w:val="21"/>
                      <w:szCs w:val="21"/>
                      <w:lang w:val="en-US" w:eastAsia="zh-CN"/>
                    </w:rPr>
                    <w:t>5</w:t>
                  </w:r>
                  <w:r>
                    <w:rPr>
                      <w:rFonts w:hint="eastAsia"/>
                      <w:b w:val="0"/>
                      <w:bCs/>
                      <w:sz w:val="21"/>
                      <w:szCs w:val="21"/>
                    </w:rPr>
                    <w:t>%</w:t>
                  </w:r>
                </w:p>
              </w:tc>
            </w:tr>
            <w:tr w14:paraId="54ED9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5" w:type="pct"/>
                  <w:noWrap w:val="0"/>
                  <w:vAlign w:val="center"/>
                </w:tcPr>
                <w:p w14:paraId="5A61C481">
                  <w:pPr>
                    <w:adjustRightInd w:val="0"/>
                    <w:spacing w:line="240" w:lineRule="auto"/>
                    <w:jc w:val="center"/>
                    <w:rPr>
                      <w:rFonts w:hint="eastAsia"/>
                      <w:b w:val="0"/>
                      <w:bCs/>
                      <w:sz w:val="21"/>
                      <w:szCs w:val="21"/>
                    </w:rPr>
                  </w:pPr>
                  <w:r>
                    <w:rPr>
                      <w:rFonts w:hint="eastAsia"/>
                      <w:b w:val="0"/>
                      <w:bCs/>
                      <w:sz w:val="21"/>
                      <w:szCs w:val="21"/>
                    </w:rPr>
                    <w:t>项目</w:t>
                  </w:r>
                </w:p>
              </w:tc>
              <w:tc>
                <w:tcPr>
                  <w:tcW w:w="969" w:type="pct"/>
                  <w:noWrap w:val="0"/>
                  <w:vAlign w:val="center"/>
                </w:tcPr>
                <w:p w14:paraId="247C48EE">
                  <w:pPr>
                    <w:adjustRightInd w:val="0"/>
                    <w:spacing w:line="240" w:lineRule="auto"/>
                    <w:jc w:val="center"/>
                    <w:rPr>
                      <w:rFonts w:hint="eastAsia"/>
                      <w:b w:val="0"/>
                      <w:bCs/>
                      <w:sz w:val="21"/>
                      <w:szCs w:val="21"/>
                    </w:rPr>
                  </w:pPr>
                  <w:r>
                    <w:rPr>
                      <w:rFonts w:hint="eastAsia"/>
                      <w:b w:val="0"/>
                      <w:bCs/>
                      <w:sz w:val="21"/>
                      <w:szCs w:val="21"/>
                    </w:rPr>
                    <w:t>工作阻力</w:t>
                  </w:r>
                </w:p>
              </w:tc>
              <w:tc>
                <w:tcPr>
                  <w:tcW w:w="1084" w:type="pct"/>
                  <w:noWrap w:val="0"/>
                  <w:vAlign w:val="center"/>
                </w:tcPr>
                <w:p w14:paraId="33360D65">
                  <w:pPr>
                    <w:adjustRightInd w:val="0"/>
                    <w:spacing w:line="240" w:lineRule="auto"/>
                    <w:jc w:val="center"/>
                    <w:rPr>
                      <w:rFonts w:hint="eastAsia"/>
                      <w:b w:val="0"/>
                      <w:bCs/>
                      <w:sz w:val="21"/>
                      <w:szCs w:val="21"/>
                    </w:rPr>
                  </w:pPr>
                  <w:r>
                    <w:rPr>
                      <w:rFonts w:hint="eastAsia"/>
                      <w:b w:val="0"/>
                      <w:bCs/>
                      <w:sz w:val="21"/>
                      <w:szCs w:val="21"/>
                    </w:rPr>
                    <w:t>介质</w:t>
                  </w:r>
                </w:p>
              </w:tc>
              <w:tc>
                <w:tcPr>
                  <w:tcW w:w="1248" w:type="pct"/>
                  <w:noWrap w:val="0"/>
                  <w:vAlign w:val="center"/>
                </w:tcPr>
                <w:p w14:paraId="47384271">
                  <w:pPr>
                    <w:adjustRightInd w:val="0"/>
                    <w:spacing w:line="240" w:lineRule="auto"/>
                    <w:jc w:val="center"/>
                    <w:rPr>
                      <w:rFonts w:hint="eastAsia"/>
                      <w:b w:val="0"/>
                      <w:bCs/>
                      <w:sz w:val="21"/>
                      <w:szCs w:val="21"/>
                    </w:rPr>
                  </w:pPr>
                  <w:r>
                    <w:rPr>
                      <w:rFonts w:hint="eastAsia"/>
                      <w:b w:val="0"/>
                      <w:bCs/>
                      <w:sz w:val="21"/>
                      <w:szCs w:val="21"/>
                    </w:rPr>
                    <w:t>过滤面积</w:t>
                  </w:r>
                </w:p>
              </w:tc>
              <w:tc>
                <w:tcPr>
                  <w:tcW w:w="1231" w:type="pct"/>
                  <w:noWrap w:val="0"/>
                  <w:vAlign w:val="center"/>
                </w:tcPr>
                <w:p w14:paraId="643CEF4B">
                  <w:pPr>
                    <w:adjustRightInd w:val="0"/>
                    <w:spacing w:line="240" w:lineRule="auto"/>
                    <w:jc w:val="center"/>
                    <w:rPr>
                      <w:rFonts w:hint="eastAsia"/>
                      <w:b w:val="0"/>
                      <w:bCs/>
                      <w:sz w:val="21"/>
                      <w:szCs w:val="21"/>
                    </w:rPr>
                  </w:pPr>
                  <w:r>
                    <w:rPr>
                      <w:rFonts w:hint="eastAsia"/>
                      <w:b w:val="0"/>
                      <w:bCs/>
                      <w:sz w:val="21"/>
                      <w:szCs w:val="21"/>
                    </w:rPr>
                    <w:t>活性炭形态</w:t>
                  </w:r>
                </w:p>
              </w:tc>
            </w:tr>
            <w:tr w14:paraId="49363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465" w:type="pct"/>
                  <w:noWrap w:val="0"/>
                  <w:vAlign w:val="center"/>
                </w:tcPr>
                <w:p w14:paraId="146B7AB9">
                  <w:pPr>
                    <w:adjustRightInd w:val="0"/>
                    <w:spacing w:line="240" w:lineRule="auto"/>
                    <w:jc w:val="center"/>
                    <w:rPr>
                      <w:rFonts w:hint="eastAsia"/>
                      <w:b w:val="0"/>
                      <w:bCs/>
                      <w:sz w:val="21"/>
                      <w:szCs w:val="21"/>
                    </w:rPr>
                  </w:pPr>
                  <w:r>
                    <w:rPr>
                      <w:rFonts w:hint="eastAsia"/>
                      <w:b w:val="0"/>
                      <w:bCs/>
                      <w:sz w:val="21"/>
                      <w:szCs w:val="21"/>
                    </w:rPr>
                    <w:t>参数</w:t>
                  </w:r>
                </w:p>
              </w:tc>
              <w:tc>
                <w:tcPr>
                  <w:tcW w:w="969" w:type="pct"/>
                  <w:noWrap w:val="0"/>
                  <w:vAlign w:val="center"/>
                </w:tcPr>
                <w:p w14:paraId="3DCA4511">
                  <w:pPr>
                    <w:adjustRightInd w:val="0"/>
                    <w:spacing w:line="240" w:lineRule="auto"/>
                    <w:jc w:val="center"/>
                    <w:rPr>
                      <w:rFonts w:hint="eastAsia" w:ascii="宋体" w:hAnsi="宋体"/>
                      <w:b w:val="0"/>
                      <w:bCs/>
                      <w:sz w:val="21"/>
                      <w:szCs w:val="21"/>
                    </w:rPr>
                  </w:pPr>
                  <w:r>
                    <w:rPr>
                      <w:rFonts w:hint="eastAsia"/>
                      <w:b w:val="0"/>
                      <w:bCs/>
                      <w:sz w:val="21"/>
                      <w:szCs w:val="21"/>
                    </w:rPr>
                    <w:t>800~1200Pa</w:t>
                  </w:r>
                </w:p>
              </w:tc>
              <w:tc>
                <w:tcPr>
                  <w:tcW w:w="1084" w:type="pct"/>
                  <w:noWrap w:val="0"/>
                  <w:vAlign w:val="center"/>
                </w:tcPr>
                <w:p w14:paraId="1F91F78E">
                  <w:pPr>
                    <w:adjustRightInd w:val="0"/>
                    <w:spacing w:line="240" w:lineRule="auto"/>
                    <w:jc w:val="center"/>
                    <w:rPr>
                      <w:rFonts w:hint="eastAsia" w:ascii="宋体" w:hAnsi="宋体"/>
                      <w:b w:val="0"/>
                      <w:bCs/>
                      <w:sz w:val="21"/>
                      <w:szCs w:val="21"/>
                    </w:rPr>
                  </w:pPr>
                  <w:r>
                    <w:rPr>
                      <w:rFonts w:hint="eastAsia"/>
                      <w:b w:val="0"/>
                      <w:bCs/>
                      <w:sz w:val="21"/>
                      <w:szCs w:val="21"/>
                    </w:rPr>
                    <w:t>有机废气</w:t>
                  </w:r>
                </w:p>
              </w:tc>
              <w:tc>
                <w:tcPr>
                  <w:tcW w:w="1248" w:type="pct"/>
                  <w:noWrap w:val="0"/>
                  <w:vAlign w:val="center"/>
                </w:tcPr>
                <w:p w14:paraId="5D94B385">
                  <w:pPr>
                    <w:adjustRightInd w:val="0"/>
                    <w:spacing w:line="240" w:lineRule="auto"/>
                    <w:jc w:val="center"/>
                    <w:rPr>
                      <w:rFonts w:hint="eastAsia"/>
                      <w:b w:val="0"/>
                      <w:bCs/>
                      <w:sz w:val="21"/>
                      <w:szCs w:val="21"/>
                      <w:vertAlign w:val="superscript"/>
                    </w:rPr>
                  </w:pPr>
                  <w:r>
                    <w:rPr>
                      <w:rFonts w:hint="eastAsia"/>
                      <w:b w:val="0"/>
                      <w:bCs/>
                      <w:sz w:val="21"/>
                      <w:szCs w:val="21"/>
                    </w:rPr>
                    <w:t>≥</w:t>
                  </w:r>
                  <w:r>
                    <w:rPr>
                      <w:rFonts w:hint="eastAsia"/>
                      <w:b w:val="0"/>
                      <w:bCs/>
                      <w:sz w:val="21"/>
                      <w:szCs w:val="21"/>
                      <w:lang w:val="en-US" w:eastAsia="zh-CN"/>
                    </w:rPr>
                    <w:t>4.2</w:t>
                  </w:r>
                  <w:r>
                    <w:rPr>
                      <w:rFonts w:hint="eastAsia"/>
                      <w:b w:val="0"/>
                      <w:bCs/>
                      <w:sz w:val="21"/>
                      <w:szCs w:val="21"/>
                    </w:rPr>
                    <w:t>m</w:t>
                  </w:r>
                  <w:r>
                    <w:rPr>
                      <w:rFonts w:hint="eastAsia"/>
                      <w:b w:val="0"/>
                      <w:bCs/>
                      <w:sz w:val="21"/>
                      <w:szCs w:val="21"/>
                      <w:vertAlign w:val="superscript"/>
                    </w:rPr>
                    <w:t>2</w:t>
                  </w:r>
                </w:p>
              </w:tc>
              <w:tc>
                <w:tcPr>
                  <w:tcW w:w="1231" w:type="pct"/>
                  <w:noWrap w:val="0"/>
                  <w:vAlign w:val="center"/>
                </w:tcPr>
                <w:p w14:paraId="7E47AA8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b w:val="0"/>
                      <w:bCs/>
                      <w:sz w:val="21"/>
                      <w:szCs w:val="21"/>
                    </w:rPr>
                  </w:pPr>
                  <w:r>
                    <w:rPr>
                      <w:rFonts w:hint="eastAsia"/>
                      <w:b w:val="0"/>
                      <w:bCs/>
                      <w:sz w:val="21"/>
                      <w:szCs w:val="21"/>
                    </w:rPr>
                    <w:t>蜂窝状，尺寸</w:t>
                  </w:r>
                  <w:r>
                    <w:rPr>
                      <w:rFonts w:hint="eastAsia"/>
                      <w:b w:val="0"/>
                      <w:bCs/>
                      <w:sz w:val="21"/>
                      <w:szCs w:val="21"/>
                      <w:lang w:val="en-US" w:eastAsia="zh-CN"/>
                    </w:rPr>
                    <w:t>10c</w:t>
                  </w:r>
                  <w:r>
                    <w:rPr>
                      <w:rFonts w:hint="eastAsia"/>
                      <w:b w:val="0"/>
                      <w:bCs/>
                      <w:sz w:val="21"/>
                      <w:szCs w:val="21"/>
                      <w:lang w:val="pt-BR"/>
                    </w:rPr>
                    <w:t>m</w:t>
                  </w:r>
                  <w:r>
                    <w:rPr>
                      <w:b w:val="0"/>
                      <w:bCs/>
                      <w:sz w:val="21"/>
                      <w:szCs w:val="21"/>
                      <w:lang w:val="pt-BR"/>
                    </w:rPr>
                    <w:t>×</w:t>
                  </w:r>
                  <w:r>
                    <w:rPr>
                      <w:rFonts w:hint="eastAsia"/>
                      <w:b w:val="0"/>
                      <w:bCs/>
                      <w:sz w:val="21"/>
                      <w:szCs w:val="21"/>
                      <w:lang w:val="en-US" w:eastAsia="zh-CN"/>
                    </w:rPr>
                    <w:t>10c</w:t>
                  </w:r>
                  <w:r>
                    <w:rPr>
                      <w:rFonts w:hint="eastAsia"/>
                      <w:b w:val="0"/>
                      <w:bCs/>
                      <w:sz w:val="21"/>
                      <w:szCs w:val="21"/>
                      <w:lang w:val="pt-BR"/>
                    </w:rPr>
                    <w:t>m</w:t>
                  </w:r>
                  <w:r>
                    <w:rPr>
                      <w:b w:val="0"/>
                      <w:bCs/>
                      <w:sz w:val="21"/>
                      <w:szCs w:val="21"/>
                      <w:lang w:val="pt-BR"/>
                    </w:rPr>
                    <w:t>×</w:t>
                  </w:r>
                  <w:r>
                    <w:rPr>
                      <w:rFonts w:hint="eastAsia"/>
                      <w:b w:val="0"/>
                      <w:bCs/>
                      <w:sz w:val="21"/>
                      <w:szCs w:val="21"/>
                      <w:lang w:val="en-US" w:eastAsia="zh-CN"/>
                    </w:rPr>
                    <w:t>10c</w:t>
                  </w:r>
                  <w:r>
                    <w:rPr>
                      <w:rFonts w:hint="eastAsia"/>
                      <w:b w:val="0"/>
                      <w:bCs/>
                      <w:sz w:val="21"/>
                      <w:szCs w:val="21"/>
                      <w:lang w:val="pt-BR"/>
                    </w:rPr>
                    <w:t>m</w:t>
                  </w:r>
                </w:p>
              </w:tc>
            </w:tr>
            <w:tr w14:paraId="47C97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5" w:type="pct"/>
                  <w:noWrap w:val="0"/>
                  <w:vAlign w:val="center"/>
                </w:tcPr>
                <w:p w14:paraId="37ABE2CD">
                  <w:pPr>
                    <w:adjustRightInd w:val="0"/>
                    <w:spacing w:line="240" w:lineRule="auto"/>
                    <w:jc w:val="center"/>
                    <w:rPr>
                      <w:rFonts w:hint="eastAsia"/>
                      <w:b w:val="0"/>
                      <w:bCs/>
                      <w:sz w:val="21"/>
                      <w:szCs w:val="21"/>
                    </w:rPr>
                  </w:pPr>
                  <w:r>
                    <w:rPr>
                      <w:rFonts w:hint="eastAsia"/>
                      <w:b w:val="0"/>
                      <w:bCs/>
                      <w:sz w:val="21"/>
                      <w:szCs w:val="21"/>
                    </w:rPr>
                    <w:t>项目</w:t>
                  </w:r>
                </w:p>
              </w:tc>
              <w:tc>
                <w:tcPr>
                  <w:tcW w:w="969" w:type="pct"/>
                  <w:noWrap w:val="0"/>
                  <w:vAlign w:val="center"/>
                </w:tcPr>
                <w:p w14:paraId="3A0872C7">
                  <w:pPr>
                    <w:adjustRightInd w:val="0"/>
                    <w:spacing w:line="240" w:lineRule="auto"/>
                    <w:jc w:val="center"/>
                    <w:rPr>
                      <w:rFonts w:hint="eastAsia"/>
                      <w:b w:val="0"/>
                      <w:bCs/>
                      <w:sz w:val="21"/>
                      <w:szCs w:val="21"/>
                    </w:rPr>
                  </w:pPr>
                  <w:r>
                    <w:rPr>
                      <w:rFonts w:hint="eastAsia"/>
                      <w:b w:val="0"/>
                      <w:bCs/>
                      <w:sz w:val="21"/>
                      <w:szCs w:val="21"/>
                    </w:rPr>
                    <w:t>介质温度</w:t>
                  </w:r>
                </w:p>
              </w:tc>
              <w:tc>
                <w:tcPr>
                  <w:tcW w:w="1084" w:type="pct"/>
                  <w:noWrap w:val="0"/>
                  <w:vAlign w:val="center"/>
                </w:tcPr>
                <w:p w14:paraId="3D9B14D7">
                  <w:pPr>
                    <w:adjustRightInd w:val="0"/>
                    <w:spacing w:line="240" w:lineRule="auto"/>
                    <w:jc w:val="center"/>
                    <w:rPr>
                      <w:b w:val="0"/>
                      <w:bCs/>
                      <w:sz w:val="21"/>
                      <w:szCs w:val="21"/>
                    </w:rPr>
                  </w:pPr>
                  <w:r>
                    <w:rPr>
                      <w:rFonts w:hint="eastAsia"/>
                      <w:b w:val="0"/>
                      <w:bCs/>
                      <w:sz w:val="21"/>
                      <w:szCs w:val="21"/>
                    </w:rPr>
                    <w:t>活性炭碘值</w:t>
                  </w:r>
                </w:p>
              </w:tc>
              <w:tc>
                <w:tcPr>
                  <w:tcW w:w="1248" w:type="pct"/>
                  <w:noWrap w:val="0"/>
                  <w:vAlign w:val="center"/>
                </w:tcPr>
                <w:p w14:paraId="0B4A46F9">
                  <w:pPr>
                    <w:adjustRightInd w:val="0"/>
                    <w:spacing w:line="240" w:lineRule="auto"/>
                    <w:jc w:val="center"/>
                    <w:rPr>
                      <w:rFonts w:hint="eastAsia"/>
                      <w:b w:val="0"/>
                      <w:bCs/>
                      <w:sz w:val="21"/>
                      <w:szCs w:val="21"/>
                    </w:rPr>
                  </w:pPr>
                  <w:r>
                    <w:rPr>
                      <w:rFonts w:hint="eastAsia"/>
                      <w:b w:val="0"/>
                      <w:bCs/>
                      <w:sz w:val="21"/>
                      <w:szCs w:val="21"/>
                    </w:rPr>
                    <w:t>活性炭层厚度</w:t>
                  </w:r>
                </w:p>
              </w:tc>
              <w:tc>
                <w:tcPr>
                  <w:tcW w:w="1231" w:type="pct"/>
                  <w:noWrap w:val="0"/>
                  <w:vAlign w:val="center"/>
                </w:tcPr>
                <w:p w14:paraId="053B72A4">
                  <w:pPr>
                    <w:adjustRightInd w:val="0"/>
                    <w:spacing w:line="240" w:lineRule="auto"/>
                    <w:jc w:val="center"/>
                    <w:rPr>
                      <w:b w:val="0"/>
                      <w:bCs/>
                      <w:sz w:val="21"/>
                      <w:szCs w:val="21"/>
                    </w:rPr>
                  </w:pPr>
                  <w:r>
                    <w:rPr>
                      <w:rFonts w:hint="eastAsia"/>
                      <w:b w:val="0"/>
                      <w:bCs/>
                      <w:sz w:val="21"/>
                      <w:szCs w:val="21"/>
                    </w:rPr>
                    <w:t>活性炭堆积密度</w:t>
                  </w:r>
                </w:p>
              </w:tc>
            </w:tr>
            <w:tr w14:paraId="67E9B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5" w:type="pct"/>
                  <w:noWrap w:val="0"/>
                  <w:vAlign w:val="center"/>
                </w:tcPr>
                <w:p w14:paraId="463E3FC1">
                  <w:pPr>
                    <w:adjustRightInd w:val="0"/>
                    <w:spacing w:line="240" w:lineRule="auto"/>
                    <w:jc w:val="center"/>
                    <w:rPr>
                      <w:rFonts w:hint="eastAsia"/>
                      <w:b w:val="0"/>
                      <w:bCs/>
                      <w:sz w:val="21"/>
                      <w:szCs w:val="21"/>
                    </w:rPr>
                  </w:pPr>
                  <w:r>
                    <w:rPr>
                      <w:rFonts w:hint="eastAsia"/>
                      <w:b w:val="0"/>
                      <w:bCs/>
                      <w:sz w:val="21"/>
                      <w:szCs w:val="21"/>
                    </w:rPr>
                    <w:t>参数</w:t>
                  </w:r>
                </w:p>
              </w:tc>
              <w:tc>
                <w:tcPr>
                  <w:tcW w:w="969" w:type="pct"/>
                  <w:noWrap w:val="0"/>
                  <w:vAlign w:val="center"/>
                </w:tcPr>
                <w:p w14:paraId="4DA44794">
                  <w:pPr>
                    <w:adjustRightInd w:val="0"/>
                    <w:spacing w:line="240" w:lineRule="auto"/>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w:t>
                  </w:r>
                  <w:r>
                    <w:rPr>
                      <w:rFonts w:hint="default" w:ascii="Times New Roman" w:hAnsi="Times New Roman" w:cs="Times New Roman"/>
                      <w:b w:val="0"/>
                      <w:bCs/>
                      <w:sz w:val="21"/>
                      <w:szCs w:val="21"/>
                      <w:lang w:val="en-US" w:eastAsia="zh-CN"/>
                    </w:rPr>
                    <w:t>25</w:t>
                  </w:r>
                  <w:r>
                    <w:rPr>
                      <w:rFonts w:hint="default" w:ascii="Times New Roman" w:hAnsi="Times New Roman" w:cs="Times New Roman"/>
                      <w:b w:val="0"/>
                      <w:bCs/>
                      <w:sz w:val="21"/>
                      <w:szCs w:val="21"/>
                    </w:rPr>
                    <w:t>℃</w:t>
                  </w:r>
                </w:p>
              </w:tc>
              <w:tc>
                <w:tcPr>
                  <w:tcW w:w="1084" w:type="pct"/>
                  <w:noWrap w:val="0"/>
                  <w:vAlign w:val="center"/>
                </w:tcPr>
                <w:p w14:paraId="754A9E5C">
                  <w:pPr>
                    <w:adjustRightInd w:val="0"/>
                    <w:spacing w:line="240" w:lineRule="auto"/>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w:t>
                  </w:r>
                  <w:r>
                    <w:rPr>
                      <w:rFonts w:hint="eastAsia" w:cs="Times New Roman"/>
                      <w:b w:val="0"/>
                      <w:bCs/>
                      <w:sz w:val="21"/>
                      <w:szCs w:val="21"/>
                      <w:lang w:val="en-US" w:eastAsia="zh-CN"/>
                    </w:rPr>
                    <w:t>800</w:t>
                  </w:r>
                  <w:r>
                    <w:rPr>
                      <w:rFonts w:hint="default" w:ascii="Times New Roman" w:hAnsi="Times New Roman" w:cs="Times New Roman"/>
                      <w:b w:val="0"/>
                      <w:bCs/>
                      <w:sz w:val="21"/>
                      <w:szCs w:val="21"/>
                    </w:rPr>
                    <w:t>mg/g</w:t>
                  </w:r>
                </w:p>
              </w:tc>
              <w:tc>
                <w:tcPr>
                  <w:tcW w:w="1248" w:type="pct"/>
                  <w:noWrap w:val="0"/>
                  <w:vAlign w:val="center"/>
                </w:tcPr>
                <w:p w14:paraId="54C7877C">
                  <w:pPr>
                    <w:adjustRightInd w:val="0"/>
                    <w:spacing w:line="240" w:lineRule="auto"/>
                    <w:jc w:val="center"/>
                    <w:rPr>
                      <w:rFonts w:hint="eastAsia"/>
                      <w:b w:val="0"/>
                      <w:bCs/>
                      <w:sz w:val="21"/>
                      <w:szCs w:val="21"/>
                      <w:lang w:eastAsia="zh-CN"/>
                    </w:rPr>
                  </w:pPr>
                  <w:r>
                    <w:rPr>
                      <w:rFonts w:hint="eastAsia"/>
                      <w:b w:val="0"/>
                      <w:bCs/>
                      <w:sz w:val="21"/>
                      <w:szCs w:val="21"/>
                    </w:rPr>
                    <w:t>单层厚度0.</w:t>
                  </w:r>
                  <w:r>
                    <w:rPr>
                      <w:rFonts w:hint="eastAsia"/>
                      <w:b w:val="0"/>
                      <w:bCs/>
                      <w:sz w:val="21"/>
                      <w:szCs w:val="21"/>
                      <w:lang w:val="en-US" w:eastAsia="zh-CN"/>
                    </w:rPr>
                    <w:t>1</w:t>
                  </w:r>
                  <w:r>
                    <w:rPr>
                      <w:rFonts w:hint="eastAsia"/>
                      <w:b w:val="0"/>
                      <w:bCs/>
                      <w:sz w:val="21"/>
                      <w:szCs w:val="21"/>
                    </w:rPr>
                    <w:t>m</w:t>
                  </w:r>
                  <w:r>
                    <w:rPr>
                      <w:rFonts w:hint="eastAsia"/>
                      <w:b w:val="0"/>
                      <w:bCs/>
                      <w:sz w:val="21"/>
                      <w:szCs w:val="21"/>
                      <w:lang w:eastAsia="zh-CN"/>
                    </w:rPr>
                    <w:t>，</w:t>
                  </w:r>
                </w:p>
                <w:p w14:paraId="07EF1EF0">
                  <w:pPr>
                    <w:adjustRightInd w:val="0"/>
                    <w:spacing w:line="240" w:lineRule="auto"/>
                    <w:jc w:val="center"/>
                    <w:rPr>
                      <w:rFonts w:hint="default" w:eastAsia="宋体"/>
                      <w:b w:val="0"/>
                      <w:bCs/>
                      <w:sz w:val="21"/>
                      <w:szCs w:val="21"/>
                      <w:lang w:val="en-US" w:eastAsia="zh-CN"/>
                    </w:rPr>
                  </w:pPr>
                  <w:r>
                    <w:rPr>
                      <w:rFonts w:hint="eastAsia"/>
                      <w:b w:val="0"/>
                      <w:bCs/>
                      <w:sz w:val="21"/>
                      <w:szCs w:val="21"/>
                      <w:lang w:val="en-US" w:eastAsia="zh-CN"/>
                    </w:rPr>
                    <w:t>每个炭箱设4个炭层</w:t>
                  </w:r>
                </w:p>
              </w:tc>
              <w:tc>
                <w:tcPr>
                  <w:tcW w:w="1231" w:type="pct"/>
                  <w:noWrap w:val="0"/>
                  <w:vAlign w:val="center"/>
                </w:tcPr>
                <w:p w14:paraId="78AE6A06">
                  <w:pPr>
                    <w:adjustRightInd w:val="0"/>
                    <w:spacing w:line="240" w:lineRule="auto"/>
                    <w:jc w:val="center"/>
                    <w:rPr>
                      <w:rFonts w:hint="eastAsia"/>
                      <w:b w:val="0"/>
                      <w:bCs/>
                      <w:sz w:val="21"/>
                      <w:szCs w:val="21"/>
                    </w:rPr>
                  </w:pPr>
                  <w:r>
                    <w:rPr>
                      <w:rFonts w:hint="eastAsia"/>
                      <w:b w:val="0"/>
                      <w:bCs/>
                      <w:sz w:val="21"/>
                      <w:szCs w:val="21"/>
                    </w:rPr>
                    <w:t>0.55</w:t>
                  </w:r>
                  <w:r>
                    <w:rPr>
                      <w:b w:val="0"/>
                      <w:bCs/>
                      <w:sz w:val="21"/>
                      <w:szCs w:val="21"/>
                    </w:rPr>
                    <w:t>g/cm³</w:t>
                  </w:r>
                </w:p>
              </w:tc>
            </w:tr>
            <w:tr w14:paraId="7A3B5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465" w:type="pct"/>
                  <w:noWrap w:val="0"/>
                  <w:vAlign w:val="center"/>
                </w:tcPr>
                <w:p w14:paraId="2321B634">
                  <w:pPr>
                    <w:adjustRightInd w:val="0"/>
                    <w:spacing w:line="240" w:lineRule="auto"/>
                    <w:jc w:val="center"/>
                    <w:rPr>
                      <w:rFonts w:hint="eastAsia"/>
                      <w:b w:val="0"/>
                      <w:bCs/>
                      <w:sz w:val="21"/>
                      <w:szCs w:val="21"/>
                    </w:rPr>
                  </w:pPr>
                  <w:r>
                    <w:rPr>
                      <w:rFonts w:hint="eastAsia"/>
                      <w:b w:val="0"/>
                      <w:bCs/>
                      <w:sz w:val="21"/>
                      <w:szCs w:val="21"/>
                    </w:rPr>
                    <w:t>项目</w:t>
                  </w:r>
                </w:p>
              </w:tc>
              <w:tc>
                <w:tcPr>
                  <w:tcW w:w="969" w:type="pct"/>
                  <w:noWrap w:val="0"/>
                  <w:vAlign w:val="center"/>
                </w:tcPr>
                <w:p w14:paraId="111A816D">
                  <w:pPr>
                    <w:adjustRightInd w:val="0"/>
                    <w:spacing w:line="240" w:lineRule="auto"/>
                    <w:jc w:val="center"/>
                    <w:rPr>
                      <w:rFonts w:hint="eastAsia"/>
                      <w:b w:val="0"/>
                      <w:bCs/>
                      <w:sz w:val="21"/>
                      <w:szCs w:val="21"/>
                    </w:rPr>
                  </w:pPr>
                  <w:r>
                    <w:rPr>
                      <w:rFonts w:hint="eastAsia"/>
                      <w:b w:val="0"/>
                      <w:bCs/>
                      <w:sz w:val="21"/>
                      <w:szCs w:val="21"/>
                    </w:rPr>
                    <w:t>活性炭一次填充量（</w:t>
                  </w:r>
                  <w:r>
                    <w:rPr>
                      <w:rFonts w:hint="eastAsia"/>
                      <w:b w:val="0"/>
                      <w:bCs/>
                      <w:sz w:val="21"/>
                      <w:szCs w:val="21"/>
                      <w:lang w:val="en-US" w:eastAsia="zh-CN"/>
                    </w:rPr>
                    <w:t>1</w:t>
                  </w:r>
                  <w:r>
                    <w:rPr>
                      <w:rFonts w:hint="eastAsia"/>
                      <w:b w:val="0"/>
                      <w:bCs/>
                      <w:sz w:val="21"/>
                      <w:szCs w:val="21"/>
                    </w:rPr>
                    <w:t>套）</w:t>
                  </w:r>
                </w:p>
              </w:tc>
              <w:tc>
                <w:tcPr>
                  <w:tcW w:w="1084" w:type="pct"/>
                  <w:noWrap w:val="0"/>
                  <w:vAlign w:val="center"/>
                </w:tcPr>
                <w:p w14:paraId="43C49C03">
                  <w:pPr>
                    <w:adjustRightInd w:val="0"/>
                    <w:spacing w:line="240" w:lineRule="auto"/>
                    <w:ind w:left="-72" w:leftChars="-30" w:right="-72" w:rightChars="-30"/>
                    <w:jc w:val="center"/>
                    <w:rPr>
                      <w:b w:val="0"/>
                      <w:bCs/>
                      <w:kern w:val="0"/>
                      <w:sz w:val="21"/>
                      <w:szCs w:val="21"/>
                    </w:rPr>
                  </w:pPr>
                  <w:r>
                    <w:rPr>
                      <w:b w:val="0"/>
                      <w:bCs/>
                      <w:kern w:val="0"/>
                      <w:sz w:val="21"/>
                      <w:szCs w:val="21"/>
                    </w:rPr>
                    <w:t>一次填装使用时间</w:t>
                  </w:r>
                  <w:r>
                    <w:rPr>
                      <w:rFonts w:hint="eastAsia"/>
                      <w:b w:val="0"/>
                      <w:bCs/>
                      <w:kern w:val="0"/>
                      <w:sz w:val="21"/>
                      <w:szCs w:val="21"/>
                    </w:rPr>
                    <w:t>（d）</w:t>
                  </w:r>
                </w:p>
              </w:tc>
              <w:tc>
                <w:tcPr>
                  <w:tcW w:w="1248" w:type="pct"/>
                  <w:noWrap w:val="0"/>
                  <w:vAlign w:val="center"/>
                </w:tcPr>
                <w:p w14:paraId="1192D525">
                  <w:pPr>
                    <w:adjustRightInd w:val="0"/>
                    <w:spacing w:line="240" w:lineRule="auto"/>
                    <w:jc w:val="center"/>
                    <w:rPr>
                      <w:b w:val="0"/>
                      <w:bCs/>
                      <w:sz w:val="21"/>
                      <w:szCs w:val="21"/>
                    </w:rPr>
                  </w:pPr>
                  <w:r>
                    <w:rPr>
                      <w:b w:val="0"/>
                      <w:bCs/>
                      <w:sz w:val="21"/>
                      <w:szCs w:val="21"/>
                    </w:rPr>
                    <w:t>更换频次</w:t>
                  </w:r>
                  <w:r>
                    <w:rPr>
                      <w:rFonts w:hint="eastAsia"/>
                      <w:b w:val="0"/>
                      <w:bCs/>
                      <w:kern w:val="0"/>
                      <w:sz w:val="21"/>
                      <w:szCs w:val="21"/>
                    </w:rPr>
                    <w:t>（</w:t>
                  </w:r>
                  <w:r>
                    <w:rPr>
                      <w:rFonts w:hint="eastAsia"/>
                      <w:b w:val="0"/>
                      <w:bCs/>
                      <w:kern w:val="0"/>
                      <w:sz w:val="21"/>
                      <w:szCs w:val="21"/>
                      <w:lang w:eastAsia="zh-CN"/>
                    </w:rPr>
                    <w:t>次</w:t>
                  </w:r>
                  <w:r>
                    <w:rPr>
                      <w:rFonts w:hint="eastAsia"/>
                      <w:b w:val="0"/>
                      <w:bCs/>
                      <w:kern w:val="0"/>
                      <w:sz w:val="21"/>
                      <w:szCs w:val="21"/>
                    </w:rPr>
                    <w:t>）</w:t>
                  </w:r>
                </w:p>
              </w:tc>
              <w:tc>
                <w:tcPr>
                  <w:tcW w:w="1231" w:type="pct"/>
                  <w:noWrap w:val="0"/>
                  <w:vAlign w:val="center"/>
                </w:tcPr>
                <w:p w14:paraId="3E4662A2">
                  <w:pPr>
                    <w:adjustRightInd w:val="0"/>
                    <w:spacing w:line="240" w:lineRule="auto"/>
                    <w:jc w:val="center"/>
                    <w:rPr>
                      <w:rFonts w:hint="eastAsia"/>
                      <w:b w:val="0"/>
                      <w:bCs/>
                      <w:sz w:val="21"/>
                      <w:szCs w:val="21"/>
                    </w:rPr>
                  </w:pPr>
                  <w:r>
                    <w:rPr>
                      <w:b w:val="0"/>
                      <w:bCs/>
                      <w:sz w:val="21"/>
                      <w:szCs w:val="21"/>
                    </w:rPr>
                    <w:t>废活性炭产生量</w:t>
                  </w:r>
                  <w:r>
                    <w:rPr>
                      <w:rFonts w:hint="eastAsia"/>
                      <w:b w:val="0"/>
                      <w:bCs/>
                      <w:sz w:val="21"/>
                      <w:szCs w:val="21"/>
                    </w:rPr>
                    <w:t>（t/a）</w:t>
                  </w:r>
                </w:p>
              </w:tc>
            </w:tr>
            <w:tr w14:paraId="44400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5" w:type="pct"/>
                  <w:noWrap w:val="0"/>
                  <w:vAlign w:val="center"/>
                </w:tcPr>
                <w:p w14:paraId="6E9671DE">
                  <w:pPr>
                    <w:adjustRightInd w:val="0"/>
                    <w:spacing w:line="240" w:lineRule="auto"/>
                    <w:jc w:val="center"/>
                    <w:rPr>
                      <w:rFonts w:hint="eastAsia"/>
                      <w:b w:val="0"/>
                      <w:bCs/>
                      <w:sz w:val="21"/>
                      <w:szCs w:val="21"/>
                    </w:rPr>
                  </w:pPr>
                  <w:r>
                    <w:rPr>
                      <w:rFonts w:hint="eastAsia"/>
                      <w:b w:val="0"/>
                      <w:bCs/>
                      <w:sz w:val="21"/>
                      <w:szCs w:val="21"/>
                    </w:rPr>
                    <w:t>参数</w:t>
                  </w:r>
                </w:p>
              </w:tc>
              <w:tc>
                <w:tcPr>
                  <w:tcW w:w="969" w:type="pct"/>
                  <w:noWrap w:val="0"/>
                  <w:vAlign w:val="center"/>
                </w:tcPr>
                <w:p w14:paraId="2AA4990D">
                  <w:pPr>
                    <w:adjustRightInd w:val="0"/>
                    <w:spacing w:line="240" w:lineRule="auto"/>
                    <w:jc w:val="center"/>
                    <w:rPr>
                      <w:rFonts w:hint="eastAsia"/>
                      <w:b w:val="0"/>
                      <w:bCs/>
                      <w:sz w:val="21"/>
                      <w:szCs w:val="21"/>
                    </w:rPr>
                  </w:pPr>
                  <w:r>
                    <w:rPr>
                      <w:rFonts w:hint="eastAsia"/>
                      <w:b w:val="0"/>
                      <w:bCs/>
                      <w:sz w:val="21"/>
                      <w:szCs w:val="21"/>
                      <w:lang w:val="en-US" w:eastAsia="zh-CN"/>
                    </w:rPr>
                    <w:t>1.848</w:t>
                  </w:r>
                  <w:r>
                    <w:rPr>
                      <w:rFonts w:hint="eastAsia"/>
                      <w:b w:val="0"/>
                      <w:bCs/>
                      <w:sz w:val="21"/>
                      <w:szCs w:val="21"/>
                    </w:rPr>
                    <w:t>t</w:t>
                  </w:r>
                </w:p>
              </w:tc>
              <w:tc>
                <w:tcPr>
                  <w:tcW w:w="1084" w:type="pct"/>
                  <w:noWrap w:val="0"/>
                  <w:vAlign w:val="center"/>
                </w:tcPr>
                <w:p w14:paraId="4650E378">
                  <w:pPr>
                    <w:adjustRightInd w:val="0"/>
                    <w:spacing w:line="240" w:lineRule="auto"/>
                    <w:jc w:val="center"/>
                    <w:rPr>
                      <w:rFonts w:hint="default"/>
                      <w:b w:val="0"/>
                      <w:bCs/>
                      <w:kern w:val="0"/>
                      <w:sz w:val="21"/>
                      <w:szCs w:val="21"/>
                      <w:lang w:val="en-US"/>
                    </w:rPr>
                  </w:pPr>
                  <w:r>
                    <w:rPr>
                      <w:rFonts w:hint="eastAsia"/>
                      <w:b w:val="0"/>
                      <w:bCs/>
                      <w:kern w:val="0"/>
                      <w:sz w:val="21"/>
                      <w:szCs w:val="21"/>
                      <w:lang w:val="en-US" w:eastAsia="zh-CN"/>
                    </w:rPr>
                    <w:t>19</w:t>
                  </w:r>
                </w:p>
              </w:tc>
              <w:tc>
                <w:tcPr>
                  <w:tcW w:w="1248" w:type="pct"/>
                  <w:noWrap w:val="0"/>
                  <w:vAlign w:val="center"/>
                </w:tcPr>
                <w:p w14:paraId="17BF8552">
                  <w:pPr>
                    <w:adjustRightInd w:val="0"/>
                    <w:spacing w:line="240" w:lineRule="auto"/>
                    <w:jc w:val="center"/>
                    <w:rPr>
                      <w:rFonts w:hint="default" w:eastAsia="宋体"/>
                      <w:b w:val="0"/>
                      <w:bCs/>
                      <w:sz w:val="21"/>
                      <w:szCs w:val="21"/>
                      <w:lang w:val="en-US" w:eastAsia="zh-CN"/>
                    </w:rPr>
                  </w:pPr>
                  <w:r>
                    <w:rPr>
                      <w:rFonts w:hint="eastAsia"/>
                      <w:b w:val="0"/>
                      <w:bCs/>
                      <w:sz w:val="21"/>
                      <w:szCs w:val="21"/>
                      <w:lang w:val="en-US" w:eastAsia="zh-CN"/>
                    </w:rPr>
                    <w:t>16</w:t>
                  </w:r>
                </w:p>
              </w:tc>
              <w:tc>
                <w:tcPr>
                  <w:tcW w:w="1231" w:type="pct"/>
                  <w:noWrap w:val="0"/>
                  <w:vAlign w:val="center"/>
                </w:tcPr>
                <w:p w14:paraId="23BAD706">
                  <w:pPr>
                    <w:adjustRightInd w:val="0"/>
                    <w:spacing w:line="240" w:lineRule="auto"/>
                    <w:jc w:val="center"/>
                    <w:rPr>
                      <w:rFonts w:hint="default" w:eastAsia="宋体"/>
                      <w:b w:val="0"/>
                      <w:bCs/>
                      <w:sz w:val="21"/>
                      <w:szCs w:val="21"/>
                      <w:lang w:val="en-US" w:eastAsia="zh-CN"/>
                    </w:rPr>
                  </w:pPr>
                  <w:r>
                    <w:rPr>
                      <w:rFonts w:hint="eastAsia"/>
                      <w:b w:val="0"/>
                      <w:bCs/>
                      <w:sz w:val="21"/>
                      <w:szCs w:val="21"/>
                      <w:lang w:val="en-US" w:eastAsia="zh-CN"/>
                    </w:rPr>
                    <w:t>33.305</w:t>
                  </w:r>
                </w:p>
              </w:tc>
            </w:tr>
          </w:tbl>
          <w:p w14:paraId="049C4E32">
            <w:pPr>
              <w:keepNext w:val="0"/>
              <w:keepLines w:val="0"/>
              <w:pageBreakBefore w:val="0"/>
              <w:widowControl w:val="0"/>
              <w:kinsoku/>
              <w:wordWrap/>
              <w:overflowPunct/>
              <w:topLinePunct w:val="0"/>
              <w:autoSpaceDE w:val="0"/>
              <w:autoSpaceDN/>
              <w:bidi w:val="0"/>
              <w:adjustRightInd/>
              <w:snapToGrid/>
              <w:spacing w:line="360" w:lineRule="auto"/>
              <w:ind w:firstLine="480" w:firstLineChars="200"/>
              <w:jc w:val="both"/>
              <w:textAlignment w:val="auto"/>
              <w:rPr>
                <w:rFonts w:hint="eastAsia"/>
                <w:color w:val="auto"/>
                <w:sz w:val="24"/>
                <w:lang w:bidi="ar"/>
              </w:rPr>
            </w:pPr>
            <w:r>
              <w:rPr>
                <w:rFonts w:hint="eastAsia"/>
                <w:color w:val="auto"/>
                <w:sz w:val="24"/>
                <w:lang w:val="en-US" w:eastAsia="zh-CN" w:bidi="ar"/>
              </w:rPr>
              <w:t>④</w:t>
            </w:r>
            <w:r>
              <w:rPr>
                <w:rFonts w:hint="eastAsia"/>
                <w:color w:val="auto"/>
                <w:sz w:val="24"/>
                <w:lang w:bidi="ar"/>
              </w:rPr>
              <w:t>无组织废气防治措施</w:t>
            </w:r>
          </w:p>
          <w:p w14:paraId="0EE71EF0">
            <w:pPr>
              <w:keepNext w:val="0"/>
              <w:keepLines w:val="0"/>
              <w:pageBreakBefore w:val="0"/>
              <w:widowControl w:val="0"/>
              <w:kinsoku/>
              <w:wordWrap/>
              <w:overflowPunct/>
              <w:topLinePunct w:val="0"/>
              <w:autoSpaceDE w:val="0"/>
              <w:autoSpaceDN/>
              <w:bidi w:val="0"/>
              <w:adjustRightInd/>
              <w:snapToGrid/>
              <w:spacing w:line="360" w:lineRule="auto"/>
              <w:ind w:firstLine="480" w:firstLineChars="200"/>
              <w:jc w:val="both"/>
              <w:textAlignment w:val="auto"/>
              <w:rPr>
                <w:rFonts w:hint="eastAsia"/>
                <w:color w:val="auto"/>
                <w:sz w:val="24"/>
                <w:lang w:bidi="ar"/>
              </w:rPr>
            </w:pPr>
            <w:r>
              <w:rPr>
                <w:rFonts w:hint="eastAsia"/>
                <w:color w:val="auto"/>
                <w:sz w:val="24"/>
                <w:lang w:bidi="ar"/>
              </w:rPr>
              <w:t>本项目产生的无组织废气主要来源于逸散的</w:t>
            </w:r>
            <w:r>
              <w:rPr>
                <w:rFonts w:hint="eastAsia"/>
                <w:color w:val="auto"/>
                <w:sz w:val="24"/>
                <w:lang w:eastAsia="zh-CN" w:bidi="ar"/>
              </w:rPr>
              <w:t>挤塑</w:t>
            </w:r>
            <w:r>
              <w:rPr>
                <w:rFonts w:hint="eastAsia"/>
                <w:color w:val="auto"/>
                <w:sz w:val="24"/>
                <w:lang w:bidi="ar"/>
              </w:rPr>
              <w:t>工艺未收集的有机废气。为了尽量降低项目无组织排放的大气污染物对周边环境的影响，建设单位采取以下措施：</w:t>
            </w:r>
          </w:p>
          <w:p w14:paraId="6E474450">
            <w:pPr>
              <w:keepNext w:val="0"/>
              <w:keepLines w:val="0"/>
              <w:pageBreakBefore w:val="0"/>
              <w:widowControl w:val="0"/>
              <w:kinsoku/>
              <w:wordWrap/>
              <w:overflowPunct/>
              <w:topLinePunct w:val="0"/>
              <w:autoSpaceDE w:val="0"/>
              <w:autoSpaceDN/>
              <w:bidi w:val="0"/>
              <w:adjustRightInd/>
              <w:snapToGrid/>
              <w:spacing w:line="360" w:lineRule="auto"/>
              <w:ind w:firstLine="480" w:firstLineChars="200"/>
              <w:jc w:val="both"/>
              <w:textAlignment w:val="auto"/>
              <w:rPr>
                <w:rFonts w:hint="eastAsia"/>
                <w:color w:val="auto"/>
                <w:sz w:val="24"/>
                <w:lang w:bidi="ar"/>
              </w:rPr>
            </w:pPr>
            <w:r>
              <w:rPr>
                <w:rFonts w:hint="eastAsia"/>
                <w:color w:val="auto"/>
                <w:sz w:val="24"/>
                <w:lang w:val="en-US" w:eastAsia="zh-CN" w:bidi="ar"/>
              </w:rPr>
              <w:t>a</w:t>
            </w:r>
            <w:r>
              <w:rPr>
                <w:rFonts w:hint="eastAsia"/>
                <w:color w:val="auto"/>
                <w:sz w:val="24"/>
                <w:lang w:bidi="ar"/>
              </w:rPr>
              <w:t>、</w:t>
            </w:r>
            <w:r>
              <w:rPr>
                <w:rFonts w:hint="default" w:ascii="Times New Roman" w:hAnsi="Times New Roman" w:eastAsia="宋体" w:cs="Times New Roman"/>
                <w:bCs/>
                <w:color w:val="auto"/>
                <w:sz w:val="24"/>
                <w:szCs w:val="24"/>
              </w:rPr>
              <w:t>定期检修废气治理设施，</w:t>
            </w:r>
            <w:r>
              <w:rPr>
                <w:rFonts w:hint="eastAsia"/>
                <w:color w:val="auto"/>
                <w:sz w:val="24"/>
                <w:lang w:bidi="ar"/>
              </w:rPr>
              <w:t>提高废气治理设施的集气率，以减少无组织废气的排放。</w:t>
            </w:r>
          </w:p>
          <w:p w14:paraId="0935F51B">
            <w:pPr>
              <w:keepNext w:val="0"/>
              <w:keepLines w:val="0"/>
              <w:pageBreakBefore w:val="0"/>
              <w:widowControl w:val="0"/>
              <w:kinsoku/>
              <w:wordWrap/>
              <w:overflowPunct/>
              <w:topLinePunct w:val="0"/>
              <w:autoSpaceDE w:val="0"/>
              <w:autoSpaceDN/>
              <w:bidi w:val="0"/>
              <w:adjustRightInd/>
              <w:snapToGrid/>
              <w:spacing w:line="360" w:lineRule="auto"/>
              <w:ind w:firstLine="480" w:firstLineChars="200"/>
              <w:jc w:val="both"/>
              <w:textAlignment w:val="auto"/>
              <w:rPr>
                <w:rFonts w:hint="eastAsia"/>
                <w:color w:val="auto"/>
                <w:sz w:val="24"/>
                <w:lang w:bidi="ar"/>
              </w:rPr>
            </w:pPr>
            <w:r>
              <w:rPr>
                <w:rFonts w:hint="eastAsia"/>
                <w:color w:val="auto"/>
                <w:sz w:val="24"/>
                <w:lang w:val="en-US" w:eastAsia="zh-CN" w:bidi="ar"/>
              </w:rPr>
              <w:t>b</w:t>
            </w:r>
            <w:r>
              <w:rPr>
                <w:rFonts w:hint="eastAsia"/>
                <w:color w:val="auto"/>
                <w:sz w:val="24"/>
                <w:lang w:bidi="ar"/>
              </w:rPr>
              <w:t>、加强生产管理、确保设备的密闭性；加强设备的维护，定期对设备进行检查，减少装置的跑、冒、滴、漏；提高设备的密封性能，包括管道连接件、阀门等的密封性能。</w:t>
            </w:r>
          </w:p>
          <w:p w14:paraId="215EC80C">
            <w:pPr>
              <w:keepNext w:val="0"/>
              <w:keepLines w:val="0"/>
              <w:pageBreakBefore w:val="0"/>
              <w:widowControl w:val="0"/>
              <w:kinsoku/>
              <w:wordWrap/>
              <w:overflowPunct/>
              <w:topLinePunct w:val="0"/>
              <w:autoSpaceDE w:val="0"/>
              <w:autoSpaceDN/>
              <w:bidi w:val="0"/>
              <w:adjustRightInd/>
              <w:snapToGrid/>
              <w:spacing w:line="360" w:lineRule="auto"/>
              <w:ind w:firstLine="480" w:firstLineChars="200"/>
              <w:jc w:val="both"/>
              <w:textAlignment w:val="auto"/>
              <w:rPr>
                <w:rFonts w:hint="eastAsia"/>
                <w:color w:val="auto"/>
                <w:sz w:val="24"/>
                <w:lang w:bidi="ar"/>
              </w:rPr>
            </w:pPr>
            <w:r>
              <w:rPr>
                <w:rFonts w:hint="eastAsia"/>
                <w:color w:val="auto"/>
                <w:sz w:val="24"/>
                <w:lang w:val="en-US" w:eastAsia="zh-CN" w:bidi="ar"/>
              </w:rPr>
              <w:t>c</w:t>
            </w:r>
            <w:r>
              <w:rPr>
                <w:rFonts w:hint="eastAsia"/>
                <w:color w:val="auto"/>
                <w:sz w:val="24"/>
                <w:lang w:bidi="ar"/>
              </w:rPr>
              <w:t>、加强对操作工的培训和管理，确保废气的捕捉率，以减少人为造成的废气无组织排放；</w:t>
            </w:r>
          </w:p>
          <w:p w14:paraId="666EE014">
            <w:pPr>
              <w:keepNext w:val="0"/>
              <w:keepLines w:val="0"/>
              <w:pageBreakBefore w:val="0"/>
              <w:widowControl w:val="0"/>
              <w:kinsoku/>
              <w:wordWrap/>
              <w:overflowPunct/>
              <w:topLinePunct w:val="0"/>
              <w:autoSpaceDE w:val="0"/>
              <w:autoSpaceDN/>
              <w:bidi w:val="0"/>
              <w:adjustRightInd/>
              <w:snapToGrid/>
              <w:spacing w:line="360" w:lineRule="auto"/>
              <w:ind w:firstLine="480" w:firstLineChars="200"/>
              <w:jc w:val="both"/>
              <w:textAlignment w:val="auto"/>
              <w:rPr>
                <w:rFonts w:hint="eastAsia"/>
                <w:color w:val="auto"/>
                <w:sz w:val="24"/>
                <w:lang w:bidi="ar"/>
              </w:rPr>
            </w:pPr>
            <w:r>
              <w:rPr>
                <w:rFonts w:hint="eastAsia"/>
                <w:color w:val="auto"/>
                <w:sz w:val="24"/>
                <w:lang w:val="en-US" w:eastAsia="zh-CN" w:bidi="ar"/>
              </w:rPr>
              <w:t>d</w:t>
            </w:r>
            <w:r>
              <w:rPr>
                <w:rFonts w:hint="eastAsia"/>
                <w:color w:val="auto"/>
                <w:sz w:val="24"/>
                <w:lang w:bidi="ar"/>
              </w:rPr>
              <w:t>、定期对活性炭吸附装置及其附件进行检查、维护和保养；加强对活性炭更换的管理和维护。加强活性炭吸附装置维护保养，所有风机、管道、阀门等连接部位、运转部位都应连接牢固，做到严密、不渗、不漏、不跑气。</w:t>
            </w:r>
          </w:p>
          <w:p w14:paraId="0AF299ED">
            <w:pPr>
              <w:keepNext w:val="0"/>
              <w:keepLines w:val="0"/>
              <w:pageBreakBefore w:val="0"/>
              <w:widowControl w:val="0"/>
              <w:kinsoku/>
              <w:wordWrap/>
              <w:overflowPunct/>
              <w:topLinePunct w:val="0"/>
              <w:autoSpaceDE w:val="0"/>
              <w:autoSpaceDN/>
              <w:bidi w:val="0"/>
              <w:adjustRightInd/>
              <w:snapToGrid/>
              <w:spacing w:line="360" w:lineRule="auto"/>
              <w:ind w:firstLine="480" w:firstLineChars="200"/>
              <w:jc w:val="both"/>
              <w:textAlignment w:val="auto"/>
              <w:rPr>
                <w:rFonts w:hint="eastAsia"/>
                <w:color w:val="auto"/>
                <w:sz w:val="24"/>
                <w:lang w:bidi="ar"/>
              </w:rPr>
            </w:pPr>
            <w:r>
              <w:rPr>
                <w:rFonts w:hint="eastAsia"/>
                <w:color w:val="auto"/>
                <w:sz w:val="24"/>
                <w:lang w:val="en-US" w:eastAsia="zh-CN" w:bidi="ar"/>
              </w:rPr>
              <w:t>e</w:t>
            </w:r>
            <w:r>
              <w:rPr>
                <w:rFonts w:hint="eastAsia"/>
                <w:color w:val="auto"/>
                <w:sz w:val="24"/>
                <w:lang w:bidi="ar"/>
              </w:rPr>
              <w:t>、防止管道和收集系统的</w:t>
            </w:r>
            <w:r>
              <w:rPr>
                <w:rFonts w:hint="eastAsia"/>
                <w:color w:val="auto"/>
                <w:sz w:val="24"/>
                <w:lang w:eastAsia="zh-CN" w:bidi="ar"/>
              </w:rPr>
              <w:t>泄漏</w:t>
            </w:r>
            <w:r>
              <w:rPr>
                <w:rFonts w:hint="eastAsia"/>
                <w:color w:val="auto"/>
                <w:sz w:val="24"/>
                <w:lang w:bidi="ar"/>
              </w:rPr>
              <w:t>，避免事故性无组织排放。建立事故性排放的防护措施，在车间内备有足够的通风设备。</w:t>
            </w:r>
          </w:p>
          <w:p w14:paraId="4F39FEBD">
            <w:pPr>
              <w:keepNext w:val="0"/>
              <w:keepLines w:val="0"/>
              <w:pageBreakBefore w:val="0"/>
              <w:widowControl w:val="0"/>
              <w:kinsoku/>
              <w:wordWrap/>
              <w:overflowPunct/>
              <w:topLinePunct w:val="0"/>
              <w:autoSpaceDE w:val="0"/>
              <w:autoSpaceDN/>
              <w:bidi w:val="0"/>
              <w:adjustRightInd/>
              <w:snapToGrid/>
              <w:spacing w:line="360" w:lineRule="auto"/>
              <w:ind w:firstLine="480" w:firstLineChars="200"/>
              <w:jc w:val="both"/>
              <w:textAlignment w:val="auto"/>
              <w:rPr>
                <w:rFonts w:hint="eastAsia"/>
                <w:color w:val="auto"/>
                <w:sz w:val="24"/>
                <w:lang w:bidi="ar"/>
              </w:rPr>
            </w:pPr>
            <w:r>
              <w:rPr>
                <w:rFonts w:hint="eastAsia"/>
                <w:color w:val="auto"/>
                <w:sz w:val="24"/>
                <w:lang w:bidi="ar"/>
              </w:rPr>
              <w:t>通过以上措施，可以减少无组织废气的排放，减少对周围大气环境的影响。</w:t>
            </w:r>
          </w:p>
          <w:p w14:paraId="3797208B">
            <w:pPr>
              <w:keepNext w:val="0"/>
              <w:keepLines w:val="0"/>
              <w:pageBreakBefore w:val="0"/>
              <w:widowControl w:val="0"/>
              <w:kinsoku/>
              <w:wordWrap/>
              <w:overflowPunct/>
              <w:topLinePunct w:val="0"/>
              <w:autoSpaceDE w:val="0"/>
              <w:autoSpaceDN/>
              <w:bidi w:val="0"/>
              <w:adjustRightInd/>
              <w:snapToGrid/>
              <w:spacing w:line="360" w:lineRule="auto"/>
              <w:ind w:firstLine="480" w:firstLineChars="200"/>
              <w:jc w:val="both"/>
              <w:textAlignment w:val="auto"/>
              <w:rPr>
                <w:color w:val="auto"/>
                <w:sz w:val="24"/>
                <w:lang w:bidi="ar"/>
              </w:rPr>
            </w:pPr>
            <w:r>
              <w:rPr>
                <w:rFonts w:hint="eastAsia"/>
                <w:color w:val="auto"/>
                <w:sz w:val="24"/>
                <w:lang w:bidi="ar"/>
              </w:rPr>
              <w:t>综上，项目排放的各类大气污染物经采取的各项废气治理措施治理后，均能够达标排放，因此，建设项目废气治理措施在技术上具有可行性。</w:t>
            </w:r>
          </w:p>
          <w:p w14:paraId="6CE72F8A">
            <w:pPr>
              <w:autoSpaceDE w:val="0"/>
              <w:spacing w:line="360" w:lineRule="auto"/>
              <w:ind w:firstLine="480" w:firstLineChars="200"/>
              <w:jc w:val="both"/>
              <w:rPr>
                <w:b/>
                <w:bCs/>
                <w:color w:val="auto"/>
                <w:sz w:val="24"/>
                <w:lang w:bidi="ar"/>
              </w:rPr>
            </w:pPr>
            <w:r>
              <w:rPr>
                <w:color w:val="auto"/>
                <w:sz w:val="24"/>
                <w:lang w:bidi="ar"/>
              </w:rPr>
              <w:t>（</w:t>
            </w:r>
            <w:r>
              <w:rPr>
                <w:rFonts w:hint="eastAsia"/>
                <w:color w:val="auto"/>
                <w:sz w:val="24"/>
                <w:lang w:val="en-US" w:eastAsia="zh-CN" w:bidi="ar"/>
              </w:rPr>
              <w:t>4</w:t>
            </w:r>
            <w:r>
              <w:rPr>
                <w:color w:val="auto"/>
                <w:sz w:val="24"/>
                <w:lang w:bidi="ar"/>
              </w:rPr>
              <w:t>）运营期废气</w:t>
            </w:r>
            <w:r>
              <w:rPr>
                <w:color w:val="auto"/>
                <w:kern w:val="0"/>
                <w:sz w:val="24"/>
              </w:rPr>
              <w:t>排放监测计划</w:t>
            </w:r>
          </w:p>
          <w:p w14:paraId="4109527C">
            <w:pPr>
              <w:autoSpaceDE w:val="0"/>
              <w:spacing w:line="360" w:lineRule="auto"/>
              <w:ind w:firstLine="480" w:firstLineChars="200"/>
              <w:jc w:val="both"/>
              <w:rPr>
                <w:color w:val="auto"/>
                <w:sz w:val="24"/>
                <w:lang w:bidi="ar"/>
              </w:rPr>
            </w:pPr>
            <w:r>
              <w:rPr>
                <w:rFonts w:hint="eastAsia"/>
                <w:color w:val="auto"/>
                <w:sz w:val="24"/>
              </w:rPr>
              <w:t>对照《固定污染源排污许可分类管理名录（2019 年版）》，本项目年产3万套新型PP管材和环保设施（约6000吨），排污许可管理类别为“登记管理”，</w:t>
            </w:r>
            <w:r>
              <w:rPr>
                <w:color w:val="auto"/>
                <w:sz w:val="24"/>
              </w:rPr>
              <w:t>根据</w:t>
            </w:r>
            <w:r>
              <w:rPr>
                <w:rFonts w:hint="eastAsia" w:ascii="Times New Roman" w:hAnsi="Times New Roman" w:eastAsia="宋体" w:cs="Times New Roman"/>
                <w:color w:val="auto"/>
                <w:sz w:val="24"/>
                <w:szCs w:val="24"/>
                <w:lang w:val="en-US" w:eastAsia="zh-CN"/>
              </w:rPr>
              <w:t>《排污单位自行监测技术指南 总则》（</w:t>
            </w:r>
            <w:r>
              <w:rPr>
                <w:rFonts w:hint="default" w:ascii="Times New Roman" w:hAnsi="Times New Roman" w:eastAsia="宋体" w:cs="Times New Roman"/>
                <w:color w:val="auto"/>
                <w:sz w:val="24"/>
                <w:szCs w:val="24"/>
                <w:lang w:val="en-US" w:eastAsia="zh-CN"/>
              </w:rPr>
              <w:t>HJ</w:t>
            </w:r>
            <w:r>
              <w:rPr>
                <w:rFonts w:hint="eastAsia" w:ascii="Times New Roman" w:hAnsi="Times New Roman" w:eastAsia="宋体" w:cs="Times New Roman"/>
                <w:color w:val="auto"/>
                <w:sz w:val="24"/>
                <w:szCs w:val="24"/>
                <w:lang w:val="en-US" w:eastAsia="zh-CN"/>
              </w:rPr>
              <w:t>819</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20</w:t>
            </w:r>
            <w:r>
              <w:rPr>
                <w:rFonts w:hint="eastAsia" w:ascii="Times New Roman" w:hAnsi="Times New Roman" w:eastAsia="宋体" w:cs="Times New Roman"/>
                <w:color w:val="auto"/>
                <w:sz w:val="24"/>
                <w:szCs w:val="24"/>
                <w:lang w:val="en-US" w:eastAsia="zh-CN"/>
              </w:rPr>
              <w:t>17）</w:t>
            </w:r>
            <w:r>
              <w:rPr>
                <w:rFonts w:hint="eastAsia" w:cs="Times New Roman"/>
                <w:color w:val="auto"/>
                <w:sz w:val="24"/>
                <w:szCs w:val="24"/>
                <w:lang w:val="en-US" w:eastAsia="zh-CN"/>
              </w:rPr>
              <w:t>以及</w:t>
            </w:r>
            <w:r>
              <w:rPr>
                <w:rFonts w:hint="eastAsia"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排污许可证申请与核发技术规范 橡胶和塑料制品工业</w:t>
            </w:r>
            <w:r>
              <w:rPr>
                <w:rFonts w:hint="eastAsia"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HJ1122-2020</w:t>
            </w:r>
            <w:r>
              <w:rPr>
                <w:rFonts w:hint="eastAsia" w:ascii="Times New Roman" w:hAnsi="Times New Roman" w:eastAsia="宋体" w:cs="Times New Roman"/>
                <w:color w:val="auto"/>
                <w:sz w:val="24"/>
                <w:szCs w:val="24"/>
                <w:lang w:val="en-US" w:eastAsia="zh-CN"/>
              </w:rPr>
              <w:t>）</w:t>
            </w:r>
            <w:r>
              <w:rPr>
                <w:color w:val="auto"/>
                <w:sz w:val="24"/>
              </w:rPr>
              <w:t>中自行监测的相关要求，本次评价制定项目运营期废气监测计划如下所示。</w:t>
            </w:r>
          </w:p>
          <w:p w14:paraId="3F6088BA">
            <w:pPr>
              <w:pStyle w:val="32"/>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jc w:val="center"/>
              <w:textAlignment w:val="auto"/>
              <w:rPr>
                <w:rFonts w:ascii="Times New Roman"/>
                <w:b/>
                <w:bCs/>
                <w:color w:val="auto"/>
                <w:sz w:val="24"/>
                <w:szCs w:val="24"/>
              </w:rPr>
            </w:pPr>
            <w:r>
              <w:rPr>
                <w:rFonts w:ascii="Times New Roman"/>
                <w:b/>
                <w:bCs/>
                <w:color w:val="auto"/>
                <w:sz w:val="24"/>
                <w:szCs w:val="24"/>
              </w:rPr>
              <w:t>表4-</w:t>
            </w:r>
            <w:r>
              <w:rPr>
                <w:rFonts w:hint="eastAsia" w:ascii="Times New Roman"/>
                <w:b/>
                <w:bCs/>
                <w:color w:val="auto"/>
                <w:sz w:val="24"/>
                <w:szCs w:val="24"/>
                <w:lang w:val="en-US" w:eastAsia="zh-CN"/>
              </w:rPr>
              <w:t>11</w:t>
            </w:r>
            <w:r>
              <w:rPr>
                <w:rFonts w:ascii="Times New Roman"/>
                <w:b/>
                <w:bCs/>
                <w:color w:val="auto"/>
                <w:sz w:val="24"/>
                <w:szCs w:val="24"/>
              </w:rPr>
              <w:t xml:space="preserve">  运营期有组织废气监测方案</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072"/>
              <w:gridCol w:w="1381"/>
              <w:gridCol w:w="1461"/>
              <w:gridCol w:w="1191"/>
              <w:gridCol w:w="3222"/>
            </w:tblGrid>
            <w:tr w14:paraId="71DE3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8" w:hRule="atLeast"/>
                <w:jc w:val="center"/>
              </w:trPr>
              <w:tc>
                <w:tcPr>
                  <w:tcW w:w="644" w:type="pct"/>
                  <w:tcBorders>
                    <w:top w:val="single" w:color="auto" w:sz="4" w:space="0"/>
                    <w:left w:val="single" w:color="auto" w:sz="4" w:space="0"/>
                    <w:bottom w:val="single" w:color="auto" w:sz="4" w:space="0"/>
                    <w:right w:val="single" w:color="auto" w:sz="4" w:space="0"/>
                  </w:tcBorders>
                  <w:noWrap w:val="0"/>
                  <w:vAlign w:val="center"/>
                </w:tcPr>
                <w:p w14:paraId="4589A504">
                  <w:pPr>
                    <w:pStyle w:val="39"/>
                    <w:spacing w:before="24" w:after="24" w:line="240" w:lineRule="auto"/>
                    <w:jc w:val="center"/>
                    <w:rPr>
                      <w:rFonts w:ascii="Times New Roman" w:hAnsi="Times New Roman"/>
                      <w:b w:val="0"/>
                      <w:bCs/>
                      <w:color w:val="auto"/>
                      <w:sz w:val="21"/>
                      <w:szCs w:val="21"/>
                    </w:rPr>
                  </w:pPr>
                  <w:r>
                    <w:rPr>
                      <w:rFonts w:ascii="Times New Roman" w:hAnsi="Times New Roman"/>
                      <w:b w:val="0"/>
                      <w:bCs/>
                      <w:color w:val="auto"/>
                      <w:sz w:val="21"/>
                      <w:szCs w:val="21"/>
                    </w:rPr>
                    <w:t>监测点位</w:t>
                  </w:r>
                </w:p>
              </w:tc>
              <w:tc>
                <w:tcPr>
                  <w:tcW w:w="829" w:type="pct"/>
                  <w:tcBorders>
                    <w:top w:val="single" w:color="auto" w:sz="4" w:space="0"/>
                    <w:left w:val="nil"/>
                    <w:bottom w:val="single" w:color="auto" w:sz="4" w:space="0"/>
                    <w:right w:val="single" w:color="auto" w:sz="4" w:space="0"/>
                  </w:tcBorders>
                  <w:noWrap w:val="0"/>
                  <w:vAlign w:val="center"/>
                </w:tcPr>
                <w:p w14:paraId="207A776A">
                  <w:pPr>
                    <w:pStyle w:val="39"/>
                    <w:spacing w:before="24" w:after="24" w:line="240" w:lineRule="auto"/>
                    <w:jc w:val="center"/>
                    <w:rPr>
                      <w:rFonts w:ascii="Times New Roman" w:hAnsi="Times New Roman"/>
                      <w:b w:val="0"/>
                      <w:bCs/>
                      <w:color w:val="auto"/>
                      <w:sz w:val="21"/>
                      <w:szCs w:val="21"/>
                    </w:rPr>
                  </w:pPr>
                  <w:r>
                    <w:rPr>
                      <w:rFonts w:ascii="Times New Roman" w:hAnsi="Times New Roman"/>
                      <w:b w:val="0"/>
                      <w:bCs/>
                      <w:color w:val="auto"/>
                      <w:sz w:val="21"/>
                      <w:szCs w:val="21"/>
                    </w:rPr>
                    <w:t>产污工序</w:t>
                  </w:r>
                </w:p>
              </w:tc>
              <w:tc>
                <w:tcPr>
                  <w:tcW w:w="877" w:type="pct"/>
                  <w:tcBorders>
                    <w:top w:val="single" w:color="auto" w:sz="4" w:space="0"/>
                    <w:left w:val="nil"/>
                    <w:bottom w:val="single" w:color="auto" w:sz="4" w:space="0"/>
                    <w:right w:val="single" w:color="auto" w:sz="4" w:space="0"/>
                  </w:tcBorders>
                  <w:noWrap w:val="0"/>
                  <w:vAlign w:val="center"/>
                </w:tcPr>
                <w:p w14:paraId="65E7B1B2">
                  <w:pPr>
                    <w:pStyle w:val="39"/>
                    <w:spacing w:before="24" w:after="24" w:line="240" w:lineRule="auto"/>
                    <w:jc w:val="center"/>
                    <w:rPr>
                      <w:rFonts w:ascii="Times New Roman" w:hAnsi="Times New Roman"/>
                      <w:b w:val="0"/>
                      <w:bCs/>
                      <w:color w:val="auto"/>
                      <w:sz w:val="21"/>
                      <w:szCs w:val="21"/>
                    </w:rPr>
                  </w:pPr>
                  <w:r>
                    <w:rPr>
                      <w:rFonts w:ascii="Times New Roman" w:hAnsi="Times New Roman"/>
                      <w:b w:val="0"/>
                      <w:bCs/>
                      <w:color w:val="auto"/>
                      <w:sz w:val="21"/>
                      <w:szCs w:val="21"/>
                    </w:rPr>
                    <w:t>监测指标</w:t>
                  </w:r>
                </w:p>
              </w:tc>
              <w:tc>
                <w:tcPr>
                  <w:tcW w:w="715" w:type="pct"/>
                  <w:tcBorders>
                    <w:top w:val="single" w:color="auto" w:sz="4" w:space="0"/>
                    <w:left w:val="nil"/>
                    <w:bottom w:val="single" w:color="auto" w:sz="4" w:space="0"/>
                    <w:right w:val="single" w:color="auto" w:sz="4" w:space="0"/>
                  </w:tcBorders>
                  <w:noWrap w:val="0"/>
                  <w:vAlign w:val="center"/>
                </w:tcPr>
                <w:p w14:paraId="4DE8D3CF">
                  <w:pPr>
                    <w:pStyle w:val="39"/>
                    <w:spacing w:before="24" w:after="24" w:line="240" w:lineRule="auto"/>
                    <w:jc w:val="center"/>
                    <w:rPr>
                      <w:rFonts w:ascii="Times New Roman" w:hAnsi="Times New Roman"/>
                      <w:b w:val="0"/>
                      <w:bCs/>
                      <w:color w:val="auto"/>
                      <w:sz w:val="21"/>
                      <w:szCs w:val="21"/>
                    </w:rPr>
                  </w:pPr>
                  <w:r>
                    <w:rPr>
                      <w:rFonts w:ascii="Times New Roman" w:hAnsi="Times New Roman"/>
                      <w:b w:val="0"/>
                      <w:bCs/>
                      <w:color w:val="auto"/>
                      <w:sz w:val="21"/>
                      <w:szCs w:val="21"/>
                    </w:rPr>
                    <w:t>监测频次</w:t>
                  </w:r>
                </w:p>
              </w:tc>
              <w:tc>
                <w:tcPr>
                  <w:tcW w:w="1934" w:type="pct"/>
                  <w:tcBorders>
                    <w:top w:val="single" w:color="auto" w:sz="4" w:space="0"/>
                    <w:left w:val="nil"/>
                    <w:bottom w:val="single" w:color="auto" w:sz="4" w:space="0"/>
                    <w:right w:val="single" w:color="auto" w:sz="4" w:space="0"/>
                  </w:tcBorders>
                  <w:noWrap w:val="0"/>
                  <w:vAlign w:val="center"/>
                </w:tcPr>
                <w:p w14:paraId="40046D9F">
                  <w:pPr>
                    <w:pStyle w:val="39"/>
                    <w:spacing w:before="24" w:after="24" w:line="240" w:lineRule="auto"/>
                    <w:jc w:val="center"/>
                    <w:rPr>
                      <w:rFonts w:ascii="Times New Roman" w:hAnsi="Times New Roman"/>
                      <w:b w:val="0"/>
                      <w:bCs/>
                      <w:color w:val="auto"/>
                      <w:sz w:val="21"/>
                      <w:szCs w:val="21"/>
                    </w:rPr>
                  </w:pPr>
                  <w:r>
                    <w:rPr>
                      <w:rFonts w:ascii="Times New Roman" w:hAnsi="Times New Roman"/>
                      <w:b w:val="0"/>
                      <w:bCs/>
                      <w:color w:val="auto"/>
                      <w:sz w:val="21"/>
                      <w:szCs w:val="21"/>
                    </w:rPr>
                    <w:t>执行排放标准</w:t>
                  </w:r>
                </w:p>
              </w:tc>
            </w:tr>
            <w:tr w14:paraId="05630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34" w:hRule="atLeast"/>
                <w:jc w:val="center"/>
              </w:trPr>
              <w:tc>
                <w:tcPr>
                  <w:tcW w:w="644" w:type="pct"/>
                  <w:tcBorders>
                    <w:top w:val="single" w:color="auto" w:sz="4" w:space="0"/>
                    <w:left w:val="single" w:color="auto" w:sz="4" w:space="0"/>
                    <w:bottom w:val="single" w:color="auto" w:sz="4" w:space="0"/>
                    <w:right w:val="single" w:color="auto" w:sz="4" w:space="0"/>
                  </w:tcBorders>
                  <w:noWrap w:val="0"/>
                  <w:vAlign w:val="center"/>
                </w:tcPr>
                <w:p w14:paraId="7120E057">
                  <w:pPr>
                    <w:adjustRightInd w:val="0"/>
                    <w:spacing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rPr>
                    <w:t>DA001</w:t>
                  </w:r>
                </w:p>
              </w:tc>
              <w:tc>
                <w:tcPr>
                  <w:tcW w:w="829" w:type="pct"/>
                  <w:tcBorders>
                    <w:top w:val="single" w:color="auto" w:sz="4" w:space="0"/>
                    <w:left w:val="nil"/>
                    <w:bottom w:val="single" w:color="auto" w:sz="4" w:space="0"/>
                    <w:right w:val="single" w:color="auto" w:sz="4" w:space="0"/>
                  </w:tcBorders>
                  <w:noWrap w:val="0"/>
                  <w:vAlign w:val="center"/>
                </w:tcPr>
                <w:p w14:paraId="26BF7AF2">
                  <w:pPr>
                    <w:adjustRightInd w:val="0"/>
                    <w:spacing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eastAsia="zh-CN"/>
                    </w:rPr>
                    <w:t>挤塑、</w:t>
                  </w:r>
                  <w:r>
                    <w:rPr>
                      <w:rFonts w:hint="eastAsia" w:cs="Times New Roman"/>
                      <w:b w:val="0"/>
                      <w:bCs/>
                      <w:color w:val="auto"/>
                      <w:sz w:val="21"/>
                      <w:szCs w:val="21"/>
                      <w:lang w:val="en-US" w:eastAsia="zh-CN"/>
                    </w:rPr>
                    <w:t>注塑、热熔焊接</w:t>
                  </w:r>
                </w:p>
              </w:tc>
              <w:tc>
                <w:tcPr>
                  <w:tcW w:w="877" w:type="pct"/>
                  <w:tcBorders>
                    <w:top w:val="single" w:color="auto" w:sz="4" w:space="0"/>
                    <w:left w:val="single" w:color="auto" w:sz="4" w:space="0"/>
                    <w:bottom w:val="single" w:color="auto" w:sz="4" w:space="0"/>
                    <w:right w:val="single" w:color="auto" w:sz="4" w:space="0"/>
                  </w:tcBorders>
                  <w:noWrap w:val="0"/>
                  <w:vAlign w:val="center"/>
                </w:tcPr>
                <w:p w14:paraId="7A150976">
                  <w:pPr>
                    <w:adjustRightInd w:val="0"/>
                    <w:spacing w:line="240" w:lineRule="auto"/>
                    <w:jc w:val="center"/>
                    <w:rPr>
                      <w:rFonts w:hint="eastAsia" w:ascii="Times New Roman" w:hAnsi="Times New Roman" w:eastAsia="宋体" w:cs="Times New Roman"/>
                      <w:b w:val="0"/>
                      <w:bCs/>
                      <w:color w:val="auto"/>
                      <w:sz w:val="21"/>
                      <w:szCs w:val="21"/>
                      <w:lang w:eastAsia="zh-CN"/>
                    </w:rPr>
                  </w:pPr>
                  <w:r>
                    <w:rPr>
                      <w:rFonts w:hint="eastAsia" w:ascii="Times New Roman" w:hAnsi="Times New Roman" w:eastAsia="宋体" w:cs="Times New Roman"/>
                      <w:b w:val="0"/>
                      <w:bCs/>
                      <w:color w:val="auto"/>
                      <w:sz w:val="21"/>
                      <w:szCs w:val="21"/>
                    </w:rPr>
                    <w:t>非甲烷总烃</w:t>
                  </w:r>
                </w:p>
              </w:tc>
              <w:tc>
                <w:tcPr>
                  <w:tcW w:w="715" w:type="pct"/>
                  <w:tcBorders>
                    <w:top w:val="single" w:color="auto" w:sz="4" w:space="0"/>
                    <w:left w:val="nil"/>
                    <w:bottom w:val="single" w:color="auto" w:sz="4" w:space="0"/>
                    <w:right w:val="single" w:color="auto" w:sz="4" w:space="0"/>
                  </w:tcBorders>
                  <w:noWrap w:val="0"/>
                  <w:vAlign w:val="center"/>
                </w:tcPr>
                <w:p w14:paraId="78504658">
                  <w:pPr>
                    <w:adjustRightInd w:val="0"/>
                    <w:spacing w:line="240" w:lineRule="auto"/>
                    <w:jc w:val="center"/>
                    <w:rPr>
                      <w:rFonts w:hint="eastAsia" w:ascii="Times New Roman" w:hAnsi="Times New Roman" w:eastAsia="宋体" w:cs="Times New Roman"/>
                      <w:b w:val="0"/>
                      <w:bCs/>
                      <w:color w:val="auto"/>
                      <w:sz w:val="21"/>
                      <w:szCs w:val="21"/>
                    </w:rPr>
                  </w:pPr>
                  <w:r>
                    <w:rPr>
                      <w:rFonts w:hint="eastAsia" w:ascii="Times New Roman" w:hAnsi="Times New Roman" w:eastAsia="宋体" w:cs="Times New Roman"/>
                      <w:b w:val="0"/>
                      <w:bCs/>
                      <w:color w:val="auto"/>
                      <w:sz w:val="21"/>
                      <w:szCs w:val="21"/>
                    </w:rPr>
                    <w:t>1次/年</w:t>
                  </w:r>
                </w:p>
              </w:tc>
              <w:tc>
                <w:tcPr>
                  <w:tcW w:w="1934" w:type="pct"/>
                  <w:tcBorders>
                    <w:top w:val="single" w:color="auto" w:sz="4" w:space="0"/>
                    <w:left w:val="single" w:color="auto" w:sz="4" w:space="0"/>
                    <w:bottom w:val="single" w:color="auto" w:sz="4" w:space="0"/>
                    <w:right w:val="single" w:color="auto" w:sz="4" w:space="0"/>
                  </w:tcBorders>
                  <w:noWrap w:val="0"/>
                  <w:vAlign w:val="center"/>
                </w:tcPr>
                <w:p w14:paraId="64077FF8">
                  <w:pPr>
                    <w:adjustRightInd w:val="0"/>
                    <w:spacing w:line="240" w:lineRule="auto"/>
                    <w:jc w:val="center"/>
                    <w:rPr>
                      <w:rFonts w:hint="eastAsia" w:ascii="Times New Roman" w:hAnsi="Times New Roman" w:eastAsia="宋体" w:cs="Times New Roman"/>
                      <w:b w:val="0"/>
                      <w:bCs/>
                      <w:color w:val="auto"/>
                      <w:sz w:val="21"/>
                      <w:szCs w:val="21"/>
                      <w:lang w:eastAsia="zh-CN"/>
                    </w:rPr>
                  </w:pPr>
                  <w:r>
                    <w:rPr>
                      <w:rFonts w:hint="eastAsia" w:ascii="Times New Roman" w:hAnsi="Times New Roman" w:eastAsia="宋体" w:cs="Times New Roman"/>
                      <w:b w:val="0"/>
                      <w:bCs/>
                      <w:color w:val="auto"/>
                      <w:sz w:val="21"/>
                      <w:szCs w:val="21"/>
                      <w:lang w:val="en-US" w:eastAsia="zh-CN"/>
                    </w:rPr>
                    <w:t>《固定源挥发性有机物综合排放标准第6部分：其他行业》（DB34/4812.6-2024）和</w:t>
                  </w:r>
                  <w:r>
                    <w:rPr>
                      <w:rFonts w:hint="eastAsia" w:ascii="Times New Roman" w:hAnsi="Times New Roman" w:eastAsia="宋体" w:cs="Times New Roman"/>
                      <w:b w:val="0"/>
                      <w:bCs/>
                      <w:color w:val="auto"/>
                      <w:sz w:val="21"/>
                      <w:szCs w:val="21"/>
                      <w:lang w:eastAsia="zh-CN"/>
                    </w:rPr>
                    <w:t>《合成树脂工业污染物排放标准》（GB31572-2015）及其修改单（公告2024年第17号）</w:t>
                  </w:r>
                  <w:r>
                    <w:rPr>
                      <w:rFonts w:hint="eastAsia" w:ascii="Times New Roman" w:hAnsi="Times New Roman" w:eastAsia="宋体" w:cs="Times New Roman"/>
                      <w:b w:val="0"/>
                      <w:bCs/>
                      <w:color w:val="auto"/>
                      <w:sz w:val="21"/>
                      <w:szCs w:val="21"/>
                      <w:lang w:val="en-US" w:eastAsia="zh-CN"/>
                    </w:rPr>
                    <w:t>中的较严值</w:t>
                  </w:r>
                </w:p>
              </w:tc>
            </w:tr>
          </w:tbl>
          <w:p w14:paraId="28094441">
            <w:pPr>
              <w:pStyle w:val="32"/>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jc w:val="center"/>
              <w:textAlignment w:val="auto"/>
              <w:rPr>
                <w:rFonts w:ascii="Times New Roman"/>
                <w:color w:val="auto"/>
                <w:sz w:val="24"/>
                <w:szCs w:val="24"/>
              </w:rPr>
            </w:pPr>
            <w:r>
              <w:rPr>
                <w:rFonts w:ascii="Times New Roman" w:hAnsi="宋体" w:eastAsia="宋体" w:cs="Times New Roman"/>
                <w:b/>
                <w:bCs/>
                <w:color w:val="auto"/>
                <w:sz w:val="24"/>
                <w:szCs w:val="24"/>
              </w:rPr>
              <w:t>表4-</w:t>
            </w:r>
            <w:r>
              <w:rPr>
                <w:rFonts w:hint="eastAsia" w:ascii="Times New Roman" w:cs="Times New Roman"/>
                <w:b/>
                <w:bCs/>
                <w:color w:val="auto"/>
                <w:sz w:val="24"/>
                <w:szCs w:val="24"/>
                <w:lang w:val="en-US" w:eastAsia="zh-CN"/>
              </w:rPr>
              <w:t>12</w:t>
            </w:r>
            <w:r>
              <w:rPr>
                <w:rFonts w:ascii="Times New Roman" w:hAnsi="宋体" w:eastAsia="宋体" w:cs="Times New Roman"/>
                <w:b/>
                <w:bCs/>
                <w:color w:val="auto"/>
                <w:sz w:val="24"/>
                <w:szCs w:val="24"/>
              </w:rPr>
              <w:t xml:space="preserve">  运营期无组织废气监测方案</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071"/>
              <w:gridCol w:w="1291"/>
              <w:gridCol w:w="1181"/>
              <w:gridCol w:w="4784"/>
            </w:tblGrid>
            <w:tr w14:paraId="35F1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643" w:type="pct"/>
                  <w:tcBorders>
                    <w:top w:val="single" w:color="auto" w:sz="4" w:space="0"/>
                    <w:left w:val="single" w:color="auto" w:sz="4" w:space="0"/>
                    <w:bottom w:val="single" w:color="auto" w:sz="4" w:space="0"/>
                    <w:right w:val="single" w:color="auto" w:sz="4" w:space="0"/>
                  </w:tcBorders>
                  <w:noWrap w:val="0"/>
                  <w:vAlign w:val="center"/>
                </w:tcPr>
                <w:p w14:paraId="1ED81648">
                  <w:pPr>
                    <w:pStyle w:val="39"/>
                    <w:spacing w:before="24" w:after="24" w:line="240" w:lineRule="auto"/>
                    <w:jc w:val="center"/>
                    <w:rPr>
                      <w:rFonts w:ascii="Times New Roman" w:hAnsi="Times New Roman"/>
                      <w:b w:val="0"/>
                      <w:bCs/>
                      <w:color w:val="auto"/>
                      <w:sz w:val="21"/>
                      <w:szCs w:val="21"/>
                    </w:rPr>
                  </w:pPr>
                  <w:r>
                    <w:rPr>
                      <w:rFonts w:ascii="Times New Roman" w:hAnsi="Times New Roman"/>
                      <w:b w:val="0"/>
                      <w:bCs/>
                      <w:color w:val="auto"/>
                      <w:sz w:val="21"/>
                      <w:szCs w:val="21"/>
                    </w:rPr>
                    <w:t>监测点位</w:t>
                  </w:r>
                </w:p>
              </w:tc>
              <w:tc>
                <w:tcPr>
                  <w:tcW w:w="775" w:type="pct"/>
                  <w:tcBorders>
                    <w:top w:val="single" w:color="auto" w:sz="4" w:space="0"/>
                    <w:left w:val="nil"/>
                    <w:bottom w:val="single" w:color="auto" w:sz="4" w:space="0"/>
                    <w:right w:val="single" w:color="auto" w:sz="4" w:space="0"/>
                  </w:tcBorders>
                  <w:noWrap w:val="0"/>
                  <w:vAlign w:val="center"/>
                </w:tcPr>
                <w:p w14:paraId="31200427">
                  <w:pPr>
                    <w:pStyle w:val="39"/>
                    <w:spacing w:before="24" w:after="24" w:line="240" w:lineRule="auto"/>
                    <w:jc w:val="center"/>
                    <w:rPr>
                      <w:rFonts w:ascii="Times New Roman" w:hAnsi="Times New Roman"/>
                      <w:b w:val="0"/>
                      <w:bCs/>
                      <w:color w:val="auto"/>
                      <w:sz w:val="21"/>
                      <w:szCs w:val="21"/>
                    </w:rPr>
                  </w:pPr>
                  <w:r>
                    <w:rPr>
                      <w:rFonts w:ascii="Times New Roman" w:hAnsi="Times New Roman"/>
                      <w:b w:val="0"/>
                      <w:bCs/>
                      <w:color w:val="auto"/>
                      <w:sz w:val="21"/>
                      <w:szCs w:val="21"/>
                    </w:rPr>
                    <w:t>监测指标</w:t>
                  </w:r>
                </w:p>
              </w:tc>
              <w:tc>
                <w:tcPr>
                  <w:tcW w:w="709" w:type="pct"/>
                  <w:tcBorders>
                    <w:top w:val="single" w:color="auto" w:sz="4" w:space="0"/>
                    <w:left w:val="nil"/>
                    <w:bottom w:val="single" w:color="auto" w:sz="4" w:space="0"/>
                    <w:right w:val="single" w:color="auto" w:sz="4" w:space="0"/>
                  </w:tcBorders>
                  <w:noWrap w:val="0"/>
                  <w:vAlign w:val="center"/>
                </w:tcPr>
                <w:p w14:paraId="5A17FE7C">
                  <w:pPr>
                    <w:pStyle w:val="39"/>
                    <w:spacing w:before="24" w:after="24" w:line="240" w:lineRule="auto"/>
                    <w:jc w:val="center"/>
                    <w:rPr>
                      <w:rFonts w:ascii="Times New Roman" w:hAnsi="Times New Roman"/>
                      <w:b w:val="0"/>
                      <w:bCs/>
                      <w:color w:val="auto"/>
                      <w:sz w:val="21"/>
                      <w:szCs w:val="21"/>
                    </w:rPr>
                  </w:pPr>
                  <w:r>
                    <w:rPr>
                      <w:rFonts w:ascii="Times New Roman" w:hAnsi="Times New Roman"/>
                      <w:b w:val="0"/>
                      <w:bCs/>
                      <w:color w:val="auto"/>
                      <w:sz w:val="21"/>
                      <w:szCs w:val="21"/>
                    </w:rPr>
                    <w:t>监测频次</w:t>
                  </w:r>
                </w:p>
              </w:tc>
              <w:tc>
                <w:tcPr>
                  <w:tcW w:w="2872" w:type="pct"/>
                  <w:tcBorders>
                    <w:top w:val="single" w:color="auto" w:sz="4" w:space="0"/>
                    <w:left w:val="nil"/>
                    <w:bottom w:val="single" w:color="auto" w:sz="4" w:space="0"/>
                    <w:right w:val="single" w:color="auto" w:sz="4" w:space="0"/>
                  </w:tcBorders>
                  <w:noWrap w:val="0"/>
                  <w:vAlign w:val="center"/>
                </w:tcPr>
                <w:p w14:paraId="662B6EA2">
                  <w:pPr>
                    <w:pStyle w:val="39"/>
                    <w:spacing w:before="24" w:after="24" w:line="240" w:lineRule="auto"/>
                    <w:jc w:val="center"/>
                    <w:rPr>
                      <w:rFonts w:ascii="Times New Roman" w:hAnsi="Times New Roman"/>
                      <w:b w:val="0"/>
                      <w:bCs/>
                      <w:color w:val="auto"/>
                      <w:sz w:val="21"/>
                      <w:szCs w:val="21"/>
                    </w:rPr>
                  </w:pPr>
                  <w:r>
                    <w:rPr>
                      <w:rFonts w:ascii="Times New Roman" w:hAnsi="Times New Roman"/>
                      <w:b w:val="0"/>
                      <w:bCs/>
                      <w:color w:val="auto"/>
                      <w:sz w:val="21"/>
                      <w:szCs w:val="21"/>
                    </w:rPr>
                    <w:t>执行排放标准</w:t>
                  </w:r>
                </w:p>
              </w:tc>
            </w:tr>
            <w:tr w14:paraId="2F40C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98" w:hRule="atLeast"/>
                <w:jc w:val="center"/>
              </w:trPr>
              <w:tc>
                <w:tcPr>
                  <w:tcW w:w="643" w:type="pct"/>
                  <w:vMerge w:val="restart"/>
                  <w:tcBorders>
                    <w:top w:val="single" w:color="auto" w:sz="4" w:space="0"/>
                    <w:left w:val="single" w:color="auto" w:sz="4" w:space="0"/>
                    <w:right w:val="single" w:color="auto" w:sz="4" w:space="0"/>
                  </w:tcBorders>
                  <w:noWrap w:val="0"/>
                  <w:vAlign w:val="center"/>
                </w:tcPr>
                <w:p w14:paraId="5E2E0DE0">
                  <w:pPr>
                    <w:adjustRightInd w:val="0"/>
                    <w:spacing w:line="240" w:lineRule="auto"/>
                    <w:jc w:val="center"/>
                    <w:rPr>
                      <w:rFonts w:hint="eastAsia" w:ascii="Times New Roman" w:hAnsi="Times New Roman" w:eastAsia="宋体" w:cs="Times New Roman"/>
                      <w:b w:val="0"/>
                      <w:bCs/>
                      <w:color w:val="auto"/>
                      <w:sz w:val="21"/>
                      <w:szCs w:val="21"/>
                    </w:rPr>
                  </w:pPr>
                  <w:r>
                    <w:rPr>
                      <w:rFonts w:hint="eastAsia" w:ascii="Times New Roman" w:hAnsi="Times New Roman" w:eastAsia="宋体" w:cs="Times New Roman"/>
                      <w:b w:val="0"/>
                      <w:bCs/>
                      <w:color w:val="auto"/>
                      <w:sz w:val="21"/>
                      <w:szCs w:val="21"/>
                    </w:rPr>
                    <w:t>项目厂界</w:t>
                  </w:r>
                </w:p>
              </w:tc>
              <w:tc>
                <w:tcPr>
                  <w:tcW w:w="775" w:type="pct"/>
                  <w:tcBorders>
                    <w:top w:val="single" w:color="auto" w:sz="4" w:space="0"/>
                    <w:left w:val="nil"/>
                    <w:bottom w:val="single" w:color="auto" w:sz="4" w:space="0"/>
                    <w:right w:val="single" w:color="auto" w:sz="4" w:space="0"/>
                  </w:tcBorders>
                  <w:noWrap w:val="0"/>
                  <w:vAlign w:val="center"/>
                </w:tcPr>
                <w:p w14:paraId="20F1DF0C">
                  <w:pPr>
                    <w:adjustRightInd w:val="0"/>
                    <w:spacing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rPr>
                    <w:t>非甲烷总烃</w:t>
                  </w:r>
                </w:p>
              </w:tc>
              <w:tc>
                <w:tcPr>
                  <w:tcW w:w="709" w:type="pct"/>
                  <w:tcBorders>
                    <w:top w:val="single" w:color="auto" w:sz="4" w:space="0"/>
                    <w:left w:val="nil"/>
                    <w:right w:val="single" w:color="auto" w:sz="4" w:space="0"/>
                  </w:tcBorders>
                  <w:noWrap w:val="0"/>
                  <w:vAlign w:val="center"/>
                </w:tcPr>
                <w:p w14:paraId="026C1F76">
                  <w:pPr>
                    <w:adjustRightInd w:val="0"/>
                    <w:spacing w:line="240" w:lineRule="auto"/>
                    <w:jc w:val="center"/>
                    <w:rPr>
                      <w:rFonts w:hint="eastAsia" w:ascii="Times New Roman" w:hAnsi="Times New Roman" w:eastAsia="宋体" w:cs="Times New Roman"/>
                      <w:b w:val="0"/>
                      <w:bCs/>
                      <w:color w:val="auto"/>
                      <w:sz w:val="21"/>
                      <w:szCs w:val="21"/>
                    </w:rPr>
                  </w:pPr>
                  <w:r>
                    <w:rPr>
                      <w:rFonts w:hint="eastAsia" w:ascii="Times New Roman" w:hAnsi="Times New Roman" w:eastAsia="宋体" w:cs="Times New Roman"/>
                      <w:b w:val="0"/>
                      <w:bCs/>
                      <w:color w:val="auto"/>
                      <w:sz w:val="21"/>
                      <w:szCs w:val="21"/>
                    </w:rPr>
                    <w:t>1次/年</w:t>
                  </w:r>
                </w:p>
              </w:tc>
              <w:tc>
                <w:tcPr>
                  <w:tcW w:w="2872" w:type="pct"/>
                  <w:tcBorders>
                    <w:top w:val="single" w:color="auto" w:sz="4" w:space="0"/>
                    <w:left w:val="nil"/>
                    <w:right w:val="single" w:color="auto" w:sz="4" w:space="0"/>
                  </w:tcBorders>
                  <w:noWrap w:val="0"/>
                  <w:vAlign w:val="center"/>
                </w:tcPr>
                <w:p w14:paraId="62E318E2">
                  <w:pPr>
                    <w:adjustRightInd w:val="0"/>
                    <w:spacing w:line="240" w:lineRule="auto"/>
                    <w:jc w:val="center"/>
                    <w:rPr>
                      <w:rFonts w:hint="eastAsia" w:ascii="Times New Roman" w:hAnsi="Times New Roman" w:eastAsia="宋体" w:cs="Times New Roman"/>
                      <w:b w:val="0"/>
                      <w:bCs/>
                      <w:color w:val="auto"/>
                      <w:sz w:val="21"/>
                      <w:szCs w:val="21"/>
                    </w:rPr>
                  </w:pPr>
                  <w:r>
                    <w:rPr>
                      <w:rFonts w:hint="default" w:ascii="Times New Roman" w:hAnsi="Times New Roman" w:eastAsia="宋体" w:cs="Times New Roman"/>
                      <w:color w:val="auto"/>
                      <w:kern w:val="2"/>
                      <w:sz w:val="21"/>
                      <w:szCs w:val="21"/>
                      <w:lang w:val="en-US" w:eastAsia="zh-CN" w:bidi="ar"/>
                    </w:rPr>
                    <w:t>《固定源挥发性有机物综合排放标准第6部分：其他行业》（DB34/4812.6-2024）</w:t>
                  </w:r>
                </w:p>
              </w:tc>
            </w:tr>
            <w:tr w14:paraId="7C496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9" w:hRule="atLeast"/>
                <w:jc w:val="center"/>
              </w:trPr>
              <w:tc>
                <w:tcPr>
                  <w:tcW w:w="643" w:type="pct"/>
                  <w:vMerge w:val="continue"/>
                  <w:tcBorders>
                    <w:left w:val="single" w:color="auto" w:sz="4" w:space="0"/>
                    <w:right w:val="single" w:color="auto" w:sz="4" w:space="0"/>
                  </w:tcBorders>
                  <w:noWrap w:val="0"/>
                  <w:vAlign w:val="center"/>
                </w:tcPr>
                <w:p w14:paraId="2C758A37">
                  <w:pPr>
                    <w:adjustRightInd w:val="0"/>
                    <w:spacing w:line="240" w:lineRule="auto"/>
                    <w:jc w:val="center"/>
                    <w:rPr>
                      <w:rFonts w:hint="eastAsia" w:ascii="Times New Roman" w:hAnsi="Times New Roman" w:eastAsia="宋体" w:cs="Times New Roman"/>
                      <w:b w:val="0"/>
                      <w:bCs/>
                      <w:color w:val="auto"/>
                      <w:sz w:val="21"/>
                      <w:szCs w:val="21"/>
                    </w:rPr>
                  </w:pPr>
                </w:p>
              </w:tc>
              <w:tc>
                <w:tcPr>
                  <w:tcW w:w="775" w:type="pct"/>
                  <w:tcBorders>
                    <w:top w:val="single" w:color="auto" w:sz="4" w:space="0"/>
                    <w:left w:val="nil"/>
                    <w:bottom w:val="single" w:color="auto" w:sz="4" w:space="0"/>
                    <w:right w:val="single" w:color="auto" w:sz="4" w:space="0"/>
                  </w:tcBorders>
                  <w:noWrap w:val="0"/>
                  <w:vAlign w:val="center"/>
                </w:tcPr>
                <w:p w14:paraId="037D7E0C">
                  <w:pPr>
                    <w:adjustRightInd w:val="0"/>
                    <w:spacing w:line="240" w:lineRule="auto"/>
                    <w:jc w:val="center"/>
                    <w:rPr>
                      <w:rFonts w:hint="eastAsia" w:ascii="Times New Roman" w:hAnsi="Times New Roman" w:eastAsia="宋体" w:cs="Times New Roman"/>
                      <w:b w:val="0"/>
                      <w:bCs/>
                      <w:color w:val="auto"/>
                      <w:sz w:val="21"/>
                      <w:szCs w:val="21"/>
                      <w:lang w:eastAsia="zh-CN"/>
                    </w:rPr>
                  </w:pPr>
                  <w:r>
                    <w:rPr>
                      <w:rFonts w:hint="eastAsia" w:cs="Times New Roman"/>
                      <w:b w:val="0"/>
                      <w:bCs/>
                      <w:color w:val="auto"/>
                      <w:sz w:val="21"/>
                      <w:szCs w:val="21"/>
                      <w:lang w:val="en-US" w:eastAsia="zh-CN"/>
                    </w:rPr>
                    <w:t>颗粒物</w:t>
                  </w:r>
                </w:p>
              </w:tc>
              <w:tc>
                <w:tcPr>
                  <w:tcW w:w="709" w:type="pct"/>
                  <w:tcBorders>
                    <w:left w:val="nil"/>
                    <w:right w:val="single" w:color="auto" w:sz="4" w:space="0"/>
                  </w:tcBorders>
                  <w:noWrap w:val="0"/>
                  <w:vAlign w:val="center"/>
                </w:tcPr>
                <w:p w14:paraId="4D0DBA4D">
                  <w:pPr>
                    <w:adjustRightInd w:val="0"/>
                    <w:spacing w:line="240" w:lineRule="auto"/>
                    <w:jc w:val="center"/>
                    <w:rPr>
                      <w:rFonts w:hint="eastAsia" w:ascii="Times New Roman" w:hAnsi="Times New Roman" w:eastAsia="宋体" w:cs="Times New Roman"/>
                      <w:b w:val="0"/>
                      <w:bCs/>
                      <w:color w:val="auto"/>
                      <w:sz w:val="21"/>
                      <w:szCs w:val="21"/>
                    </w:rPr>
                  </w:pPr>
                  <w:r>
                    <w:rPr>
                      <w:rFonts w:hint="eastAsia" w:ascii="Times New Roman" w:hAnsi="Times New Roman" w:eastAsia="宋体" w:cs="Times New Roman"/>
                      <w:b w:val="0"/>
                      <w:bCs/>
                      <w:color w:val="auto"/>
                      <w:sz w:val="21"/>
                      <w:szCs w:val="21"/>
                    </w:rPr>
                    <w:t>1次/年</w:t>
                  </w:r>
                </w:p>
              </w:tc>
              <w:tc>
                <w:tcPr>
                  <w:tcW w:w="2872" w:type="pct"/>
                  <w:tcBorders>
                    <w:left w:val="nil"/>
                    <w:right w:val="single" w:color="auto" w:sz="4" w:space="0"/>
                  </w:tcBorders>
                  <w:noWrap w:val="0"/>
                  <w:vAlign w:val="center"/>
                </w:tcPr>
                <w:p w14:paraId="1096EBF1">
                  <w:pPr>
                    <w:adjustRightInd w:val="0"/>
                    <w:spacing w:line="240" w:lineRule="auto"/>
                    <w:jc w:val="center"/>
                    <w:rPr>
                      <w:rFonts w:hint="eastAsia" w:ascii="Times New Roman" w:hAnsi="Times New Roman" w:eastAsia="宋体" w:cs="Times New Roman"/>
                      <w:b w:val="0"/>
                      <w:bCs/>
                      <w:color w:val="auto"/>
                      <w:sz w:val="21"/>
                      <w:szCs w:val="21"/>
                    </w:rPr>
                  </w:pPr>
                  <w:r>
                    <w:rPr>
                      <w:rFonts w:hint="eastAsia" w:ascii="Times New Roman" w:hAnsi="Times New Roman" w:eastAsia="宋体" w:cs="Times New Roman"/>
                      <w:b w:val="0"/>
                      <w:bCs/>
                      <w:color w:val="auto"/>
                      <w:sz w:val="21"/>
                      <w:szCs w:val="21"/>
                    </w:rPr>
                    <w:t>《合成树脂工业污染物排放标准》</w:t>
                  </w:r>
                  <w:r>
                    <w:rPr>
                      <w:rFonts w:hint="eastAsia" w:cs="Times New Roman"/>
                      <w:b w:val="0"/>
                      <w:bCs/>
                      <w:color w:val="auto"/>
                      <w:sz w:val="21"/>
                      <w:szCs w:val="21"/>
                      <w:lang w:eastAsia="zh-CN"/>
                    </w:rPr>
                    <w:t>（</w:t>
                  </w:r>
                  <w:r>
                    <w:rPr>
                      <w:rFonts w:hint="eastAsia" w:ascii="Times New Roman" w:hAnsi="Times New Roman" w:eastAsia="宋体" w:cs="Times New Roman"/>
                      <w:b w:val="0"/>
                      <w:bCs/>
                      <w:color w:val="auto"/>
                      <w:sz w:val="21"/>
                      <w:szCs w:val="21"/>
                    </w:rPr>
                    <w:t>GB31572-2015</w:t>
                  </w:r>
                  <w:r>
                    <w:rPr>
                      <w:rFonts w:hint="eastAsia" w:cs="Times New Roman"/>
                      <w:b w:val="0"/>
                      <w:bCs/>
                      <w:color w:val="auto"/>
                      <w:sz w:val="21"/>
                      <w:szCs w:val="21"/>
                      <w:lang w:eastAsia="zh-CN"/>
                    </w:rPr>
                    <w:t>）（</w:t>
                  </w:r>
                  <w:r>
                    <w:rPr>
                      <w:rFonts w:hint="eastAsia" w:cs="Times New Roman"/>
                      <w:b w:val="0"/>
                      <w:bCs/>
                      <w:color w:val="auto"/>
                      <w:sz w:val="21"/>
                      <w:szCs w:val="21"/>
                      <w:lang w:val="en-US" w:eastAsia="zh-CN"/>
                    </w:rPr>
                    <w:t>含2024年修改单</w:t>
                  </w:r>
                  <w:r>
                    <w:rPr>
                      <w:rFonts w:hint="eastAsia" w:cs="Times New Roman"/>
                      <w:b w:val="0"/>
                      <w:bCs/>
                      <w:color w:val="auto"/>
                      <w:sz w:val="21"/>
                      <w:szCs w:val="21"/>
                      <w:lang w:eastAsia="zh-CN"/>
                    </w:rPr>
                    <w:t>）</w:t>
                  </w:r>
                </w:p>
              </w:tc>
            </w:tr>
            <w:tr w14:paraId="3AF39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9" w:hRule="atLeast"/>
                <w:jc w:val="center"/>
              </w:trPr>
              <w:tc>
                <w:tcPr>
                  <w:tcW w:w="643" w:type="pct"/>
                  <w:tcBorders>
                    <w:left w:val="single" w:color="auto" w:sz="4" w:space="0"/>
                    <w:right w:val="single" w:color="auto" w:sz="4" w:space="0"/>
                  </w:tcBorders>
                  <w:noWrap w:val="0"/>
                  <w:vAlign w:val="center"/>
                </w:tcPr>
                <w:p w14:paraId="566278A0">
                  <w:pPr>
                    <w:adjustRightInd w:val="0"/>
                    <w:spacing w:line="240" w:lineRule="auto"/>
                    <w:jc w:val="center"/>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项目厂房外</w:t>
                  </w:r>
                </w:p>
              </w:tc>
              <w:tc>
                <w:tcPr>
                  <w:tcW w:w="775" w:type="pct"/>
                  <w:tcBorders>
                    <w:top w:val="single" w:color="auto" w:sz="4" w:space="0"/>
                    <w:left w:val="nil"/>
                    <w:bottom w:val="single" w:color="auto" w:sz="4" w:space="0"/>
                    <w:right w:val="single" w:color="auto" w:sz="4" w:space="0"/>
                  </w:tcBorders>
                  <w:shd w:val="clear" w:color="auto" w:fill="auto"/>
                  <w:noWrap w:val="0"/>
                  <w:vAlign w:val="center"/>
                </w:tcPr>
                <w:p w14:paraId="0C148EF0">
                  <w:pPr>
                    <w:adjustRightInd w:val="0"/>
                    <w:spacing w:line="240" w:lineRule="auto"/>
                    <w:jc w:val="center"/>
                    <w:rPr>
                      <w:rFonts w:hint="eastAsia" w:ascii="Times New Roman" w:hAnsi="Times New Roman" w:eastAsia="宋体" w:cs="Times New Roman"/>
                      <w:b w:val="0"/>
                      <w:bCs/>
                      <w:color w:val="auto"/>
                      <w:sz w:val="21"/>
                      <w:szCs w:val="21"/>
                      <w:lang w:val="en-US" w:eastAsia="zh-CN" w:bidi="ar-SA"/>
                    </w:rPr>
                  </w:pPr>
                  <w:r>
                    <w:rPr>
                      <w:rFonts w:hint="eastAsia" w:ascii="Times New Roman" w:hAnsi="Times New Roman" w:eastAsia="宋体" w:cs="Times New Roman"/>
                      <w:b w:val="0"/>
                      <w:bCs/>
                      <w:color w:val="auto"/>
                      <w:sz w:val="21"/>
                      <w:szCs w:val="21"/>
                    </w:rPr>
                    <w:t>非甲烷总烃</w:t>
                  </w:r>
                </w:p>
              </w:tc>
              <w:tc>
                <w:tcPr>
                  <w:tcW w:w="709" w:type="pct"/>
                  <w:tcBorders>
                    <w:left w:val="nil"/>
                    <w:right w:val="single" w:color="auto" w:sz="4" w:space="0"/>
                  </w:tcBorders>
                  <w:shd w:val="clear" w:color="auto" w:fill="auto"/>
                  <w:noWrap w:val="0"/>
                  <w:vAlign w:val="center"/>
                </w:tcPr>
                <w:p w14:paraId="7DE8C5D5">
                  <w:pPr>
                    <w:adjustRightInd w:val="0"/>
                    <w:spacing w:line="240" w:lineRule="auto"/>
                    <w:jc w:val="center"/>
                    <w:rPr>
                      <w:rFonts w:hint="eastAsia" w:ascii="Times New Roman" w:hAnsi="Times New Roman" w:eastAsia="宋体" w:cs="Times New Roman"/>
                      <w:b w:val="0"/>
                      <w:bCs/>
                      <w:color w:val="auto"/>
                      <w:sz w:val="21"/>
                      <w:szCs w:val="21"/>
                      <w:lang w:val="en-US" w:eastAsia="en-US" w:bidi="ar-SA"/>
                    </w:rPr>
                  </w:pPr>
                  <w:r>
                    <w:rPr>
                      <w:rFonts w:hint="eastAsia" w:ascii="Times New Roman" w:hAnsi="Times New Roman" w:eastAsia="宋体" w:cs="Times New Roman"/>
                      <w:b w:val="0"/>
                      <w:bCs/>
                      <w:color w:val="auto"/>
                      <w:sz w:val="21"/>
                      <w:szCs w:val="21"/>
                    </w:rPr>
                    <w:t>1次/年</w:t>
                  </w:r>
                </w:p>
              </w:tc>
              <w:tc>
                <w:tcPr>
                  <w:tcW w:w="2872" w:type="pct"/>
                  <w:tcBorders>
                    <w:left w:val="nil"/>
                    <w:right w:val="single" w:color="auto" w:sz="4" w:space="0"/>
                  </w:tcBorders>
                  <w:shd w:val="clear" w:color="auto" w:fill="auto"/>
                  <w:noWrap w:val="0"/>
                  <w:vAlign w:val="center"/>
                </w:tcPr>
                <w:p w14:paraId="35255A1C">
                  <w:pPr>
                    <w:adjustRightInd w:val="0"/>
                    <w:spacing w:line="240" w:lineRule="auto"/>
                    <w:jc w:val="center"/>
                    <w:rPr>
                      <w:rFonts w:hint="eastAsia" w:ascii="Times New Roman" w:hAnsi="Times New Roman" w:eastAsia="宋体" w:cs="Times New Roman"/>
                      <w:b w:val="0"/>
                      <w:bCs/>
                      <w:color w:val="auto"/>
                      <w:sz w:val="21"/>
                      <w:szCs w:val="21"/>
                      <w:lang w:val="en-US" w:eastAsia="en-US" w:bidi="ar-SA"/>
                    </w:rPr>
                  </w:pPr>
                  <w:r>
                    <w:rPr>
                      <w:rFonts w:hint="default" w:ascii="Times New Roman" w:hAnsi="Times New Roman" w:eastAsia="宋体" w:cs="Times New Roman"/>
                      <w:color w:val="auto"/>
                      <w:kern w:val="2"/>
                      <w:sz w:val="21"/>
                      <w:szCs w:val="21"/>
                      <w:lang w:val="en-US" w:eastAsia="zh-CN" w:bidi="ar"/>
                    </w:rPr>
                    <w:t>《固定源挥发性有机物综合排放标准第6部分：其他行业》（DB34/4812.6-2024）</w:t>
                  </w:r>
                </w:p>
              </w:tc>
            </w:tr>
          </w:tbl>
          <w:p w14:paraId="71E0F305">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leftChars="0" w:right="0" w:rightChars="0" w:firstLine="480" w:firstLineChars="200"/>
              <w:jc w:val="both"/>
              <w:textAlignment w:val="auto"/>
              <w:rPr>
                <w:rFonts w:hint="default" w:ascii="Times New Roman" w:hAnsi="Times New Roman" w:eastAsia="宋体" w:cs="Times New Roman"/>
                <w:b w:val="0"/>
                <w:bCs w:val="0"/>
                <w:color w:val="auto"/>
                <w:kern w:val="2"/>
                <w:sz w:val="24"/>
                <w:szCs w:val="24"/>
                <w:lang w:val="en-US" w:eastAsia="zh-CN" w:bidi="ar"/>
              </w:rPr>
            </w:pPr>
            <w:r>
              <w:rPr>
                <w:rFonts w:hint="eastAsia" w:ascii="Times New Roman" w:hAnsi="Times New Roman" w:eastAsia="宋体" w:cs="Times New Roman"/>
                <w:b w:val="0"/>
                <w:bCs w:val="0"/>
                <w:color w:val="auto"/>
                <w:kern w:val="2"/>
                <w:sz w:val="24"/>
                <w:szCs w:val="24"/>
                <w:lang w:val="en-US" w:eastAsia="zh-CN" w:bidi="ar"/>
              </w:rPr>
              <w:t>（5）</w:t>
            </w:r>
            <w:r>
              <w:rPr>
                <w:rFonts w:hint="default" w:ascii="Times New Roman" w:hAnsi="Times New Roman" w:eastAsia="宋体" w:cs="Times New Roman"/>
                <w:b w:val="0"/>
                <w:bCs w:val="0"/>
                <w:color w:val="auto"/>
                <w:kern w:val="2"/>
                <w:sz w:val="24"/>
                <w:szCs w:val="24"/>
                <w:lang w:val="en-US" w:eastAsia="zh-CN" w:bidi="ar"/>
              </w:rPr>
              <w:t>环境影响分析</w:t>
            </w:r>
          </w:p>
          <w:p w14:paraId="509852DE">
            <w:pPr>
              <w:keepNext w:val="0"/>
              <w:keepLines w:val="0"/>
              <w:pageBreakBefore w:val="0"/>
              <w:widowControl w:val="0"/>
              <w:kinsoku/>
              <w:wordWrap/>
              <w:overflowPunct/>
              <w:topLinePunct w:val="0"/>
              <w:autoSpaceDE w:val="0"/>
              <w:autoSpaceDN/>
              <w:bidi w:val="0"/>
              <w:adjustRightInd/>
              <w:snapToGrid/>
              <w:spacing w:line="440" w:lineRule="exact"/>
              <w:ind w:firstLine="480" w:firstLineChars="200"/>
              <w:jc w:val="both"/>
              <w:textAlignment w:val="auto"/>
              <w:rPr>
                <w:rFonts w:hint="eastAsia"/>
                <w:color w:val="auto"/>
                <w:sz w:val="24"/>
                <w:lang w:val="en-US" w:eastAsia="zh-CN"/>
              </w:rPr>
            </w:pPr>
            <w:r>
              <w:rPr>
                <w:rFonts w:hint="eastAsia"/>
                <w:color w:val="auto"/>
                <w:sz w:val="24"/>
                <w:lang w:val="en-US" w:eastAsia="zh-CN"/>
              </w:rPr>
              <w:t xml:space="preserve">根据现场调查，项目位于霍山县诸佛庵镇狮山村穆家畈组，项目周围主要为工业企业，项目最近敏感点为北侧狮山村穆家畈组居民。项目运营期产生的污染物种类主要为非甲烷总烃，污染物产生量不大，项目针对运营期产生的废气采取了可行的污染防治技术，废气经处理后均能达标排放。综上分析，项目运营后对区域环境空气及周围敏感点影响较小。 </w:t>
            </w:r>
          </w:p>
          <w:p w14:paraId="61043D5C">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hint="default" w:ascii="Times New Roman" w:hAnsi="Times New Roman" w:cs="Times New Roman"/>
                <w:color w:val="auto"/>
                <w:sz w:val="24"/>
                <w:szCs w:val="24"/>
                <w:lang w:val="en-US" w:eastAsia="zh-CN"/>
              </w:rPr>
            </w:pPr>
            <w:r>
              <w:rPr>
                <w:rFonts w:hint="eastAsia" w:cs="Times New Roman"/>
                <w:b/>
                <w:bCs/>
                <w:color w:val="auto"/>
                <w:sz w:val="24"/>
                <w:szCs w:val="22"/>
                <w:vertAlign w:val="baseline"/>
                <w:lang w:val="en-US" w:eastAsia="zh-CN"/>
              </w:rPr>
              <w:t>2</w:t>
            </w:r>
            <w:r>
              <w:rPr>
                <w:rFonts w:hint="default" w:ascii="Times New Roman" w:hAnsi="Times New Roman" w:cs="Times New Roman"/>
                <w:b/>
                <w:bCs/>
                <w:color w:val="auto"/>
                <w:sz w:val="24"/>
                <w:szCs w:val="24"/>
                <w:lang w:val="en-US" w:eastAsia="zh-CN"/>
              </w:rPr>
              <w:t>、</w:t>
            </w:r>
            <w:r>
              <w:rPr>
                <w:rFonts w:hint="default" w:ascii="Times New Roman" w:hAnsi="Times New Roman" w:eastAsia="宋体" w:cs="Times New Roman"/>
                <w:b/>
                <w:bCs/>
                <w:color w:val="auto"/>
                <w:sz w:val="24"/>
                <w:szCs w:val="24"/>
                <w:vertAlign w:val="baseline"/>
              </w:rPr>
              <w:t>废水</w:t>
            </w:r>
            <w:r>
              <w:rPr>
                <w:rFonts w:hint="default" w:ascii="Times New Roman" w:hAnsi="Times New Roman" w:cs="Times New Roman"/>
                <w:b/>
                <w:bCs/>
                <w:color w:val="auto"/>
                <w:sz w:val="24"/>
                <w:szCs w:val="24"/>
              </w:rPr>
              <w:t>环境影响和保护措施</w:t>
            </w:r>
          </w:p>
          <w:p w14:paraId="6B5DA0E3">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both"/>
              <w:textAlignment w:val="auto"/>
              <w:rPr>
                <w:rFonts w:hint="eastAsia" w:hAnsi="宋体"/>
                <w:b/>
                <w:color w:val="auto"/>
                <w:sz w:val="24"/>
              </w:rPr>
            </w:pPr>
            <w:r>
              <w:rPr>
                <w:rFonts w:hint="eastAsia"/>
                <w:color w:val="auto"/>
                <w:sz w:val="24"/>
              </w:rPr>
              <w:t>（1）废水</w:t>
            </w:r>
            <w:r>
              <w:rPr>
                <w:color w:val="auto"/>
                <w:sz w:val="24"/>
              </w:rPr>
              <w:t>污染物源强核算</w:t>
            </w:r>
          </w:p>
          <w:p w14:paraId="10BB55A1">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cs="Times New Roman"/>
                <w:color w:val="auto"/>
                <w:spacing w:val="0"/>
                <w:sz w:val="24"/>
                <w:szCs w:val="24"/>
                <w:lang w:eastAsia="zh-CN"/>
              </w:rPr>
            </w:pPr>
            <w:r>
              <w:rPr>
                <w:rFonts w:hint="default" w:ascii="Times New Roman" w:hAnsi="Times New Roman" w:cs="Times New Roman"/>
                <w:color w:val="auto"/>
                <w:spacing w:val="0"/>
                <w:sz w:val="24"/>
                <w:szCs w:val="24"/>
                <w:lang w:eastAsia="zh-CN"/>
              </w:rPr>
              <w:t>本项目营运期外排废水主要为生活污水</w:t>
            </w:r>
            <w:r>
              <w:rPr>
                <w:rFonts w:hint="eastAsia" w:cs="Times New Roman"/>
                <w:color w:val="auto"/>
                <w:spacing w:val="0"/>
                <w:sz w:val="24"/>
                <w:szCs w:val="24"/>
                <w:lang w:val="en-US" w:eastAsia="zh-CN"/>
              </w:rPr>
              <w:t>和</w:t>
            </w:r>
            <w:r>
              <w:rPr>
                <w:rFonts w:hint="default" w:eastAsia="宋体" w:cs="Times New Roman"/>
                <w:b w:val="0"/>
                <w:bCs w:val="0"/>
                <w:color w:val="auto"/>
                <w:sz w:val="24"/>
                <w:lang w:val="en-US" w:eastAsia="zh-CN"/>
              </w:rPr>
              <w:t>循环冷却</w:t>
            </w:r>
            <w:r>
              <w:rPr>
                <w:rFonts w:hint="eastAsia" w:eastAsia="宋体" w:cs="Times New Roman"/>
                <w:b w:val="0"/>
                <w:bCs w:val="0"/>
                <w:color w:val="auto"/>
                <w:sz w:val="24"/>
                <w:lang w:val="en-US" w:eastAsia="zh-CN"/>
              </w:rPr>
              <w:t>水</w:t>
            </w:r>
            <w:r>
              <w:rPr>
                <w:rFonts w:hint="eastAsia" w:ascii="Times New Roman" w:hAnsi="Times New Roman" w:cs="Times New Roman"/>
                <w:color w:val="auto"/>
                <w:spacing w:val="0"/>
                <w:sz w:val="24"/>
                <w:szCs w:val="24"/>
                <w:lang w:eastAsia="zh-CN"/>
              </w:rPr>
              <w:t>。</w:t>
            </w:r>
          </w:p>
          <w:p w14:paraId="4BDFDB47">
            <w:pPr>
              <w:keepNext w:val="0"/>
              <w:keepLines w:val="0"/>
              <w:pageBreakBefore w:val="0"/>
              <w:widowControl w:val="0"/>
              <w:kinsoku/>
              <w:wordWrap/>
              <w:overflowPunct/>
              <w:topLinePunct w:val="0"/>
              <w:autoSpaceDE/>
              <w:autoSpaceDN/>
              <w:bidi w:val="0"/>
              <w:snapToGrid/>
              <w:spacing w:line="440" w:lineRule="exact"/>
              <w:ind w:firstLine="480" w:firstLineChars="200"/>
              <w:jc w:val="both"/>
              <w:textAlignment w:val="auto"/>
              <w:rPr>
                <w:color w:val="auto"/>
                <w:sz w:val="24"/>
              </w:rPr>
            </w:pPr>
            <w:r>
              <w:rPr>
                <w:color w:val="auto"/>
                <w:sz w:val="24"/>
              </w:rPr>
              <w:t>①生活用水</w:t>
            </w:r>
          </w:p>
          <w:p w14:paraId="55598C14">
            <w:pPr>
              <w:keepNext w:val="0"/>
              <w:keepLines w:val="0"/>
              <w:pageBreakBefore w:val="0"/>
              <w:widowControl w:val="0"/>
              <w:kinsoku/>
              <w:wordWrap/>
              <w:overflowPunct/>
              <w:topLinePunct w:val="0"/>
              <w:autoSpaceDE/>
              <w:autoSpaceDN/>
              <w:bidi w:val="0"/>
              <w:snapToGrid/>
              <w:spacing w:line="440" w:lineRule="exact"/>
              <w:ind w:firstLine="480" w:firstLineChars="200"/>
              <w:jc w:val="both"/>
              <w:textAlignment w:val="auto"/>
              <w:rPr>
                <w:rFonts w:hint="default" w:ascii="Times New Roman" w:hAnsi="Times New Roman" w:cs="Times New Roman"/>
                <w:bCs/>
                <w:color w:val="auto"/>
                <w:spacing w:val="0"/>
                <w:sz w:val="24"/>
                <w:szCs w:val="24"/>
                <w:lang w:val="en-US" w:eastAsia="zh-CN"/>
              </w:rPr>
            </w:pPr>
            <w:r>
              <w:rPr>
                <w:rFonts w:hint="default" w:ascii="Times New Roman" w:hAnsi="Times New Roman" w:cs="Times New Roman"/>
                <w:color w:val="auto"/>
                <w:spacing w:val="0"/>
                <w:sz w:val="24"/>
                <w:szCs w:val="24"/>
                <w:lang w:eastAsia="zh-CN"/>
              </w:rPr>
              <w:t>根据</w:t>
            </w:r>
            <w:r>
              <w:rPr>
                <w:rFonts w:hint="eastAsia" w:ascii="Times New Roman" w:hAnsi="Times New Roman" w:cs="Times New Roman"/>
                <w:color w:val="auto"/>
                <w:spacing w:val="0"/>
                <w:sz w:val="24"/>
                <w:szCs w:val="24"/>
                <w:lang w:eastAsia="zh-CN"/>
              </w:rPr>
              <w:t>项目水平衡，运营期</w:t>
            </w:r>
            <w:r>
              <w:rPr>
                <w:color w:val="auto"/>
                <w:sz w:val="24"/>
              </w:rPr>
              <w:t>生活污水产生量为</w:t>
            </w:r>
            <w:r>
              <w:rPr>
                <w:rFonts w:hint="eastAsia"/>
                <w:color w:val="auto"/>
                <w:sz w:val="24"/>
                <w:lang w:val="en-US" w:eastAsia="zh-CN"/>
              </w:rPr>
              <w:t>0.8</w:t>
            </w:r>
            <w:r>
              <w:rPr>
                <w:rFonts w:hint="eastAsia" w:ascii="Times New Roman" w:hAnsi="Times New Roman" w:eastAsia="宋体" w:cs="Times New Roman"/>
                <w:sz w:val="24"/>
                <w:szCs w:val="24"/>
                <w:lang w:val="en-US" w:eastAsia="zh-CN"/>
              </w:rPr>
              <w:t>m</w:t>
            </w:r>
            <w:r>
              <w:rPr>
                <w:rFonts w:hint="eastAsia" w:ascii="Times New Roman" w:hAnsi="Times New Roman" w:eastAsia="宋体" w:cs="Times New Roman"/>
                <w:color w:val="auto"/>
                <w:sz w:val="24"/>
                <w:szCs w:val="24"/>
                <w:vertAlign w:val="superscript"/>
                <w:lang w:val="en-US" w:eastAsia="zh-CN"/>
              </w:rPr>
              <w:t>3</w:t>
            </w:r>
            <w:r>
              <w:rPr>
                <w:color w:val="auto"/>
                <w:sz w:val="24"/>
              </w:rPr>
              <w:t>/d</w:t>
            </w:r>
            <w:r>
              <w:rPr>
                <w:rFonts w:hint="eastAsia"/>
                <w:color w:val="auto"/>
                <w:sz w:val="24"/>
                <w:lang w:eastAsia="zh-CN"/>
              </w:rPr>
              <w:t>（</w:t>
            </w:r>
            <w:r>
              <w:rPr>
                <w:rFonts w:hint="eastAsia"/>
                <w:color w:val="auto"/>
                <w:sz w:val="24"/>
                <w:lang w:val="en-US" w:eastAsia="zh-CN"/>
              </w:rPr>
              <w:t>240</w:t>
            </w:r>
            <w:r>
              <w:rPr>
                <w:rFonts w:hint="eastAsia" w:ascii="Times New Roman" w:hAnsi="Times New Roman" w:eastAsia="宋体" w:cs="Times New Roman"/>
                <w:sz w:val="24"/>
                <w:szCs w:val="24"/>
                <w:lang w:val="en-US" w:eastAsia="zh-CN"/>
              </w:rPr>
              <w:t>m</w:t>
            </w:r>
            <w:r>
              <w:rPr>
                <w:rFonts w:hint="eastAsia" w:ascii="Times New Roman" w:hAnsi="Times New Roman" w:eastAsia="宋体" w:cs="Times New Roman"/>
                <w:color w:val="auto"/>
                <w:sz w:val="24"/>
                <w:szCs w:val="24"/>
                <w:vertAlign w:val="superscript"/>
                <w:lang w:val="en-US" w:eastAsia="zh-CN"/>
              </w:rPr>
              <w:t>3</w:t>
            </w:r>
            <w:r>
              <w:rPr>
                <w:color w:val="auto"/>
                <w:sz w:val="24"/>
              </w:rPr>
              <w:t>/a</w:t>
            </w:r>
            <w:r>
              <w:rPr>
                <w:rFonts w:hint="eastAsia"/>
                <w:color w:val="auto"/>
                <w:sz w:val="24"/>
                <w:lang w:eastAsia="zh-CN"/>
              </w:rPr>
              <w:t>）</w:t>
            </w:r>
            <w:r>
              <w:rPr>
                <w:rFonts w:hint="eastAsia" w:ascii="Times New Roman" w:hAnsi="Times New Roman" w:cs="Times New Roman"/>
                <w:bCs/>
                <w:color w:val="auto"/>
                <w:spacing w:val="0"/>
                <w:sz w:val="24"/>
                <w:szCs w:val="24"/>
                <w:lang w:eastAsia="zh-CN"/>
              </w:rPr>
              <w:t>，</w:t>
            </w:r>
            <w:r>
              <w:rPr>
                <w:rFonts w:hint="default" w:ascii="Times New Roman" w:hAnsi="Times New Roman" w:eastAsia="宋体" w:cs="Times New Roman"/>
                <w:bCs w:val="0"/>
                <w:color w:val="auto"/>
                <w:spacing w:val="0"/>
                <w:sz w:val="24"/>
                <w:szCs w:val="24"/>
                <w:lang w:eastAsia="zh-CN"/>
              </w:rPr>
              <w:t>生活污水中各污染物浓度参考《给排水设计手册》</w:t>
            </w:r>
            <w:r>
              <w:rPr>
                <w:rFonts w:hint="eastAsia" w:ascii="Times New Roman" w:hAnsi="Times New Roman" w:eastAsia="宋体" w:cs="Times New Roman"/>
                <w:bCs w:val="0"/>
                <w:color w:val="auto"/>
                <w:spacing w:val="0"/>
                <w:sz w:val="24"/>
                <w:szCs w:val="24"/>
                <w:lang w:eastAsia="zh-CN"/>
              </w:rPr>
              <w:t>（</w:t>
            </w:r>
            <w:r>
              <w:rPr>
                <w:rFonts w:hint="default" w:ascii="Times New Roman" w:hAnsi="Times New Roman" w:eastAsia="宋体" w:cs="Times New Roman"/>
                <w:bCs w:val="0"/>
                <w:color w:val="auto"/>
                <w:spacing w:val="0"/>
                <w:sz w:val="24"/>
                <w:szCs w:val="24"/>
                <w:lang w:eastAsia="zh-CN"/>
              </w:rPr>
              <w:t>第五册城镇排水</w:t>
            </w:r>
            <w:r>
              <w:rPr>
                <w:rFonts w:hint="eastAsia" w:ascii="Times New Roman" w:hAnsi="Times New Roman" w:eastAsia="宋体" w:cs="Times New Roman"/>
                <w:bCs w:val="0"/>
                <w:color w:val="auto"/>
                <w:spacing w:val="0"/>
                <w:sz w:val="24"/>
                <w:szCs w:val="24"/>
                <w:lang w:eastAsia="zh-CN"/>
              </w:rPr>
              <w:t>）</w:t>
            </w:r>
            <w:r>
              <w:rPr>
                <w:rFonts w:hint="default" w:ascii="Times New Roman" w:hAnsi="Times New Roman" w:eastAsia="宋体" w:cs="Times New Roman"/>
                <w:bCs w:val="0"/>
                <w:color w:val="auto"/>
                <w:spacing w:val="0"/>
                <w:sz w:val="24"/>
                <w:szCs w:val="24"/>
                <w:lang w:eastAsia="zh-CN"/>
              </w:rPr>
              <w:t>典型的生活污水水质，主要污染物浓度选取</w:t>
            </w:r>
            <w:r>
              <w:rPr>
                <w:rFonts w:hint="eastAsia" w:ascii="Times New Roman" w:hAnsi="Times New Roman" w:eastAsia="宋体" w:cs="Times New Roman"/>
                <w:bCs w:val="0"/>
                <w:color w:val="auto"/>
                <w:spacing w:val="0"/>
                <w:sz w:val="24"/>
                <w:szCs w:val="24"/>
                <w:lang w:eastAsia="zh-CN"/>
              </w:rPr>
              <w:t>：</w:t>
            </w:r>
            <w:r>
              <w:rPr>
                <w:rFonts w:hint="default" w:ascii="Times New Roman" w:hAnsi="Times New Roman" w:eastAsia="宋体" w:cs="Times New Roman"/>
                <w:bCs w:val="0"/>
                <w:color w:val="auto"/>
                <w:spacing w:val="0"/>
                <w:sz w:val="24"/>
                <w:szCs w:val="24"/>
                <w:lang w:eastAsia="zh-CN"/>
              </w:rPr>
              <w:t>COD</w:t>
            </w:r>
            <w:r>
              <w:rPr>
                <w:rFonts w:hint="eastAsia" w:ascii="Times New Roman" w:hAnsi="Times New Roman" w:eastAsia="宋体" w:cs="Times New Roman"/>
                <w:bCs w:val="0"/>
                <w:color w:val="auto"/>
                <w:spacing w:val="0"/>
                <w:sz w:val="24"/>
                <w:szCs w:val="24"/>
                <w:lang w:eastAsia="zh-CN"/>
              </w:rPr>
              <w:t>：</w:t>
            </w:r>
            <w:r>
              <w:rPr>
                <w:rFonts w:hint="default" w:ascii="Times New Roman" w:hAnsi="Times New Roman" w:eastAsia="宋体" w:cs="Times New Roman"/>
                <w:bCs w:val="0"/>
                <w:color w:val="auto"/>
                <w:spacing w:val="0"/>
                <w:sz w:val="24"/>
                <w:szCs w:val="24"/>
                <w:lang w:eastAsia="zh-CN"/>
              </w:rPr>
              <w:t>250mg</w:t>
            </w:r>
            <w:r>
              <w:rPr>
                <w:rFonts w:hint="eastAsia" w:ascii="Times New Roman" w:hAnsi="Times New Roman" w:eastAsia="宋体" w:cs="Times New Roman"/>
                <w:bCs w:val="0"/>
                <w:color w:val="auto"/>
                <w:spacing w:val="0"/>
                <w:sz w:val="24"/>
                <w:szCs w:val="24"/>
                <w:lang w:val="en-US" w:eastAsia="zh-CN"/>
              </w:rPr>
              <w:t>/L</w:t>
            </w:r>
            <w:r>
              <w:rPr>
                <w:rFonts w:hint="default" w:ascii="Times New Roman" w:hAnsi="Times New Roman" w:eastAsia="宋体" w:cs="Times New Roman"/>
                <w:bCs w:val="0"/>
                <w:color w:val="auto"/>
                <w:spacing w:val="0"/>
                <w:sz w:val="24"/>
                <w:szCs w:val="24"/>
                <w:lang w:eastAsia="zh-CN"/>
              </w:rPr>
              <w:t>、BOD</w:t>
            </w:r>
            <w:r>
              <w:rPr>
                <w:rFonts w:hint="eastAsia" w:ascii="Times New Roman" w:hAnsi="Times New Roman" w:eastAsia="宋体" w:cs="Times New Roman"/>
                <w:bCs w:val="0"/>
                <w:color w:val="auto"/>
                <w:spacing w:val="0"/>
                <w:sz w:val="24"/>
                <w:szCs w:val="24"/>
                <w:vertAlign w:val="subscript"/>
                <w:lang w:val="en-US" w:eastAsia="zh-CN"/>
              </w:rPr>
              <w:t>5</w:t>
            </w:r>
            <w:r>
              <w:rPr>
                <w:rFonts w:hint="eastAsia" w:ascii="Times New Roman" w:hAnsi="Times New Roman" w:eastAsia="宋体" w:cs="Times New Roman"/>
                <w:bCs w:val="0"/>
                <w:color w:val="auto"/>
                <w:spacing w:val="0"/>
                <w:sz w:val="24"/>
                <w:szCs w:val="24"/>
                <w:lang w:val="en-US" w:eastAsia="zh-CN"/>
              </w:rPr>
              <w:t>：</w:t>
            </w:r>
            <w:r>
              <w:rPr>
                <w:rFonts w:hint="default" w:ascii="Times New Roman" w:hAnsi="Times New Roman" w:eastAsia="宋体" w:cs="Times New Roman"/>
                <w:bCs w:val="0"/>
                <w:color w:val="auto"/>
                <w:spacing w:val="0"/>
                <w:sz w:val="24"/>
                <w:szCs w:val="24"/>
                <w:lang w:eastAsia="zh-CN"/>
              </w:rPr>
              <w:t>110mg</w:t>
            </w:r>
            <w:r>
              <w:rPr>
                <w:rFonts w:hint="eastAsia" w:ascii="Times New Roman" w:hAnsi="Times New Roman" w:eastAsia="宋体" w:cs="Times New Roman"/>
                <w:bCs w:val="0"/>
                <w:color w:val="auto"/>
                <w:spacing w:val="0"/>
                <w:sz w:val="24"/>
                <w:szCs w:val="24"/>
                <w:lang w:val="en-US" w:eastAsia="zh-CN"/>
              </w:rPr>
              <w:t>/L</w:t>
            </w:r>
            <w:r>
              <w:rPr>
                <w:rFonts w:hint="default" w:ascii="Times New Roman" w:hAnsi="Times New Roman" w:eastAsia="宋体" w:cs="Times New Roman"/>
                <w:bCs w:val="0"/>
                <w:color w:val="auto"/>
                <w:spacing w:val="0"/>
                <w:sz w:val="24"/>
                <w:szCs w:val="24"/>
                <w:lang w:eastAsia="zh-CN"/>
              </w:rPr>
              <w:t>、SS</w:t>
            </w:r>
            <w:r>
              <w:rPr>
                <w:rFonts w:hint="eastAsia" w:ascii="Times New Roman" w:hAnsi="Times New Roman" w:eastAsia="宋体" w:cs="Times New Roman"/>
                <w:bCs w:val="0"/>
                <w:color w:val="auto"/>
                <w:spacing w:val="0"/>
                <w:sz w:val="24"/>
                <w:szCs w:val="24"/>
                <w:lang w:eastAsia="zh-CN"/>
              </w:rPr>
              <w:t>：</w:t>
            </w:r>
            <w:r>
              <w:rPr>
                <w:rFonts w:hint="default" w:ascii="Times New Roman" w:hAnsi="Times New Roman" w:eastAsia="宋体" w:cs="Times New Roman"/>
                <w:bCs w:val="0"/>
                <w:color w:val="auto"/>
                <w:spacing w:val="0"/>
                <w:sz w:val="24"/>
                <w:szCs w:val="24"/>
                <w:lang w:eastAsia="zh-CN"/>
              </w:rPr>
              <w:t>100mg</w:t>
            </w:r>
            <w:r>
              <w:rPr>
                <w:rFonts w:hint="eastAsia" w:ascii="Times New Roman" w:hAnsi="Times New Roman" w:eastAsia="宋体" w:cs="Times New Roman"/>
                <w:bCs w:val="0"/>
                <w:color w:val="auto"/>
                <w:spacing w:val="0"/>
                <w:sz w:val="24"/>
                <w:szCs w:val="24"/>
                <w:lang w:val="en-US" w:eastAsia="zh-CN"/>
              </w:rPr>
              <w:t>/L、</w:t>
            </w:r>
            <w:r>
              <w:rPr>
                <w:rFonts w:hint="default" w:ascii="Times New Roman" w:hAnsi="Times New Roman" w:eastAsia="宋体" w:cs="Times New Roman"/>
                <w:bCs w:val="0"/>
                <w:color w:val="auto"/>
                <w:spacing w:val="0"/>
                <w:sz w:val="24"/>
                <w:szCs w:val="24"/>
                <w:lang w:eastAsia="zh-CN"/>
              </w:rPr>
              <w:t>NH</w:t>
            </w:r>
            <w:r>
              <w:rPr>
                <w:rFonts w:hint="default" w:ascii="Times New Roman" w:hAnsi="Times New Roman" w:eastAsia="宋体" w:cs="Times New Roman"/>
                <w:bCs w:val="0"/>
                <w:color w:val="auto"/>
                <w:spacing w:val="0"/>
                <w:sz w:val="24"/>
                <w:szCs w:val="24"/>
                <w:vertAlign w:val="subscript"/>
                <w:lang w:eastAsia="zh-CN"/>
              </w:rPr>
              <w:t>3</w:t>
            </w:r>
            <w:r>
              <w:rPr>
                <w:rFonts w:hint="default" w:ascii="Times New Roman" w:hAnsi="Times New Roman" w:eastAsia="宋体" w:cs="Times New Roman"/>
                <w:bCs w:val="0"/>
                <w:color w:val="auto"/>
                <w:spacing w:val="0"/>
                <w:sz w:val="24"/>
                <w:szCs w:val="24"/>
                <w:lang w:eastAsia="zh-CN"/>
              </w:rPr>
              <w:t>-N</w:t>
            </w:r>
            <w:r>
              <w:rPr>
                <w:rFonts w:hint="eastAsia" w:ascii="Times New Roman" w:hAnsi="Times New Roman" w:eastAsia="宋体" w:cs="Times New Roman"/>
                <w:bCs w:val="0"/>
                <w:color w:val="auto"/>
                <w:spacing w:val="0"/>
                <w:sz w:val="24"/>
                <w:szCs w:val="24"/>
                <w:lang w:eastAsia="zh-CN"/>
              </w:rPr>
              <w:t>：</w:t>
            </w:r>
            <w:r>
              <w:rPr>
                <w:rFonts w:hint="default" w:ascii="Times New Roman" w:hAnsi="Times New Roman" w:eastAsia="宋体" w:cs="Times New Roman"/>
                <w:bCs w:val="0"/>
                <w:color w:val="auto"/>
                <w:spacing w:val="0"/>
                <w:sz w:val="24"/>
                <w:szCs w:val="24"/>
                <w:lang w:eastAsia="zh-CN"/>
              </w:rPr>
              <w:t>12mg</w:t>
            </w:r>
            <w:r>
              <w:rPr>
                <w:rFonts w:hint="eastAsia" w:ascii="Times New Roman" w:hAnsi="Times New Roman" w:eastAsia="宋体" w:cs="Times New Roman"/>
                <w:bCs w:val="0"/>
                <w:color w:val="auto"/>
                <w:spacing w:val="0"/>
                <w:sz w:val="24"/>
                <w:szCs w:val="24"/>
                <w:lang w:val="en-US" w:eastAsia="zh-CN"/>
              </w:rPr>
              <w:t>/L。</w:t>
            </w:r>
            <w:r>
              <w:rPr>
                <w:rFonts w:hint="eastAsia" w:cs="Times New Roman"/>
                <w:bCs w:val="0"/>
                <w:color w:val="auto"/>
                <w:spacing w:val="0"/>
                <w:sz w:val="24"/>
                <w:szCs w:val="24"/>
                <w:lang w:val="en-US" w:eastAsia="zh-CN"/>
              </w:rPr>
              <w:t>生活污水经隔油池、化粪池处理后定期清掏肥田，不外排。</w:t>
            </w:r>
          </w:p>
          <w:p w14:paraId="132A3BC0">
            <w:pPr>
              <w:keepNext w:val="0"/>
              <w:keepLines w:val="0"/>
              <w:pageBreakBefore w:val="0"/>
              <w:widowControl w:val="0"/>
              <w:kinsoku/>
              <w:wordWrap/>
              <w:overflowPunct/>
              <w:topLinePunct w:val="0"/>
              <w:autoSpaceDE/>
              <w:autoSpaceDN/>
              <w:bidi w:val="0"/>
              <w:snapToGrid/>
              <w:spacing w:line="440" w:lineRule="exact"/>
              <w:ind w:firstLine="480" w:firstLineChars="200"/>
              <w:jc w:val="both"/>
              <w:textAlignment w:val="auto"/>
              <w:rPr>
                <w:color w:val="auto"/>
                <w:sz w:val="24"/>
              </w:rPr>
            </w:pPr>
            <w:r>
              <w:rPr>
                <w:color w:val="auto"/>
                <w:sz w:val="24"/>
              </w:rPr>
              <w:t>②</w:t>
            </w:r>
            <w:r>
              <w:rPr>
                <w:rFonts w:hint="default" w:eastAsia="宋体" w:cs="Times New Roman"/>
                <w:b w:val="0"/>
                <w:bCs w:val="0"/>
                <w:color w:val="auto"/>
                <w:sz w:val="24"/>
                <w:lang w:val="en-US" w:eastAsia="zh-CN"/>
              </w:rPr>
              <w:t>循环冷却</w:t>
            </w:r>
            <w:r>
              <w:rPr>
                <w:rFonts w:hint="eastAsia" w:eastAsia="宋体" w:cs="Times New Roman"/>
                <w:b w:val="0"/>
                <w:bCs w:val="0"/>
                <w:color w:val="auto"/>
                <w:sz w:val="24"/>
                <w:lang w:val="en-US" w:eastAsia="zh-CN"/>
              </w:rPr>
              <w:t>水</w:t>
            </w:r>
          </w:p>
          <w:p w14:paraId="137FF5BB">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pacing w:val="0"/>
                <w:sz w:val="24"/>
                <w:szCs w:val="24"/>
                <w:lang w:eastAsia="zh-CN"/>
              </w:rPr>
              <w:t>根据</w:t>
            </w:r>
            <w:r>
              <w:rPr>
                <w:rFonts w:hint="eastAsia" w:ascii="Times New Roman" w:hAnsi="Times New Roman" w:cs="Times New Roman"/>
                <w:color w:val="auto"/>
                <w:spacing w:val="0"/>
                <w:sz w:val="24"/>
                <w:szCs w:val="24"/>
                <w:lang w:eastAsia="zh-CN"/>
              </w:rPr>
              <w:t>项目水平衡，</w:t>
            </w:r>
            <w:r>
              <w:rPr>
                <w:rFonts w:hint="eastAsia" w:cs="Times New Roman"/>
                <w:color w:val="auto"/>
                <w:spacing w:val="0"/>
                <w:sz w:val="24"/>
                <w:szCs w:val="24"/>
                <w:lang w:val="en-US" w:eastAsia="zh-CN"/>
              </w:rPr>
              <w:t>本项目采取间接冷却方式，循环利用过程中水量会有一定的蒸发损耗，定期补充水量，</w:t>
            </w:r>
            <w:r>
              <w:rPr>
                <w:rFonts w:hint="eastAsia" w:ascii="Times New Roman" w:hAnsi="Times New Roman" w:eastAsia="宋体" w:cs="Times New Roman"/>
                <w:color w:val="auto"/>
                <w:sz w:val="24"/>
                <w:szCs w:val="24"/>
                <w:lang w:eastAsia="zh-CN"/>
              </w:rPr>
              <w:t>循环冷却水</w:t>
            </w:r>
            <w:r>
              <w:rPr>
                <w:rFonts w:hint="eastAsia" w:cs="Times New Roman"/>
                <w:color w:val="auto"/>
                <w:sz w:val="24"/>
                <w:szCs w:val="24"/>
                <w:lang w:val="en-US" w:eastAsia="zh-CN"/>
              </w:rPr>
              <w:t>循环使用不外排</w:t>
            </w:r>
            <w:r>
              <w:rPr>
                <w:rFonts w:hint="eastAsia" w:ascii="Times New Roman" w:hAnsi="Times New Roman" w:cs="Times New Roman"/>
                <w:bCs/>
                <w:color w:val="auto"/>
                <w:spacing w:val="0"/>
                <w:sz w:val="24"/>
                <w:szCs w:val="24"/>
                <w:lang w:eastAsia="zh-CN"/>
              </w:rPr>
              <w:t>。</w:t>
            </w:r>
          </w:p>
          <w:p w14:paraId="00DA4419">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cs="Times New Roman"/>
                <w:b w:val="0"/>
                <w:bCs w:val="0"/>
                <w:color w:val="auto"/>
                <w:sz w:val="24"/>
                <w:szCs w:val="24"/>
                <w:vertAlign w:val="baseline"/>
                <w:lang w:val="en-US" w:eastAsia="zh-CN"/>
              </w:rPr>
            </w:pPr>
            <w:r>
              <w:rPr>
                <w:rFonts w:hint="default" w:ascii="Times New Roman" w:hAnsi="Times New Roman" w:cs="Times New Roman"/>
                <w:color w:val="auto"/>
                <w:spacing w:val="0"/>
                <w:sz w:val="24"/>
                <w:szCs w:val="24"/>
              </w:rPr>
              <w:t>项目运营期污水产生情况详见下表：</w:t>
            </w:r>
          </w:p>
        </w:tc>
      </w:tr>
    </w:tbl>
    <w:p w14:paraId="6F7612DC">
      <w:pPr>
        <w:jc w:val="both"/>
        <w:rPr>
          <w:rFonts w:hint="default" w:ascii="Times New Roman" w:hAnsi="Times New Roman" w:cs="Times New Roman"/>
          <w:color w:val="0000FF"/>
          <w:sz w:val="24"/>
          <w:szCs w:val="22"/>
        </w:rPr>
        <w:sectPr>
          <w:pgSz w:w="11906" w:h="16838"/>
          <w:pgMar w:top="1417" w:right="1417" w:bottom="1417" w:left="1417" w:header="851" w:footer="992" w:gutter="0"/>
          <w:pgNumType w:fmt="decimal"/>
          <w:cols w:space="720" w:num="1"/>
          <w:rtlGutter w:val="0"/>
          <w:docGrid w:type="lines" w:linePitch="312" w:charSpace="0"/>
        </w:sectPr>
      </w:pP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6"/>
        <w:gridCol w:w="13484"/>
      </w:tblGrid>
      <w:tr w14:paraId="5B489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4" w:type="dxa"/>
            <w:noWrap w:val="0"/>
            <w:vAlign w:val="center"/>
          </w:tcPr>
          <w:p w14:paraId="6A78C327">
            <w:pPr>
              <w:jc w:val="center"/>
              <w:rPr>
                <w:rFonts w:hint="default" w:ascii="Times New Roman" w:hAnsi="Times New Roman" w:cs="Times New Roman"/>
                <w:color w:val="0000FF"/>
                <w:sz w:val="24"/>
                <w:szCs w:val="22"/>
                <w:vertAlign w:val="baseline"/>
              </w:rPr>
            </w:pPr>
            <w:r>
              <w:rPr>
                <w:rFonts w:hint="default" w:ascii="Times New Roman" w:hAnsi="Times New Roman" w:cs="Times New Roman"/>
                <w:color w:val="auto"/>
                <w:sz w:val="24"/>
                <w:szCs w:val="22"/>
                <w:vertAlign w:val="baseline"/>
              </w:rPr>
              <w:t>运营期环境影响和保护措施</w:t>
            </w:r>
          </w:p>
        </w:tc>
        <w:tc>
          <w:tcPr>
            <w:tcW w:w="13440" w:type="dxa"/>
            <w:noWrap w:val="0"/>
            <w:vAlign w:val="top"/>
          </w:tcPr>
          <w:p w14:paraId="7A86BDE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b/>
                <w:bCs/>
                <w:color w:val="auto"/>
                <w:sz w:val="24"/>
                <w:szCs w:val="24"/>
              </w:rPr>
            </w:pPr>
            <w:r>
              <w:rPr>
                <w:b/>
                <w:bCs/>
                <w:color w:val="auto"/>
                <w:sz w:val="24"/>
                <w:szCs w:val="24"/>
              </w:rPr>
              <w:t>表</w:t>
            </w:r>
            <w:r>
              <w:rPr>
                <w:rFonts w:hint="eastAsia"/>
                <w:b/>
                <w:bCs/>
                <w:color w:val="auto"/>
                <w:sz w:val="24"/>
                <w:szCs w:val="24"/>
                <w:lang w:val="en-US" w:eastAsia="zh-CN"/>
              </w:rPr>
              <w:t>4</w:t>
            </w:r>
            <w:r>
              <w:rPr>
                <w:rFonts w:hint="eastAsia"/>
                <w:b/>
                <w:bCs/>
                <w:color w:val="auto"/>
                <w:sz w:val="24"/>
                <w:szCs w:val="24"/>
              </w:rPr>
              <w:t>-</w:t>
            </w:r>
            <w:r>
              <w:rPr>
                <w:rFonts w:hint="eastAsia"/>
                <w:b/>
                <w:bCs/>
                <w:color w:val="auto"/>
                <w:sz w:val="24"/>
                <w:szCs w:val="24"/>
                <w:lang w:val="en-US" w:eastAsia="zh-CN"/>
              </w:rPr>
              <w:t xml:space="preserve">13  </w:t>
            </w:r>
            <w:r>
              <w:rPr>
                <w:rFonts w:hint="eastAsia"/>
                <w:b/>
                <w:bCs/>
                <w:color w:val="auto"/>
                <w:sz w:val="24"/>
                <w:szCs w:val="24"/>
                <w:lang w:eastAsia="zh-CN"/>
              </w:rPr>
              <w:t>本项目</w:t>
            </w:r>
            <w:r>
              <w:rPr>
                <w:rFonts w:hint="eastAsia"/>
                <w:b/>
                <w:bCs/>
                <w:color w:val="auto"/>
                <w:sz w:val="24"/>
                <w:szCs w:val="24"/>
              </w:rPr>
              <w:t>废水</w:t>
            </w:r>
            <w:r>
              <w:rPr>
                <w:b/>
                <w:bCs/>
                <w:color w:val="auto"/>
                <w:sz w:val="24"/>
                <w:szCs w:val="24"/>
              </w:rPr>
              <w:t>产排情况一览表</w:t>
            </w:r>
          </w:p>
          <w:tbl>
            <w:tblPr>
              <w:tblStyle w:val="26"/>
              <w:tblW w:w="49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7"/>
              <w:gridCol w:w="809"/>
              <w:gridCol w:w="812"/>
              <w:gridCol w:w="797"/>
              <w:gridCol w:w="699"/>
              <w:gridCol w:w="736"/>
              <w:gridCol w:w="628"/>
              <w:gridCol w:w="638"/>
              <w:gridCol w:w="612"/>
              <w:gridCol w:w="811"/>
              <w:gridCol w:w="795"/>
              <w:gridCol w:w="781"/>
              <w:gridCol w:w="580"/>
              <w:gridCol w:w="585"/>
              <w:gridCol w:w="1134"/>
              <w:gridCol w:w="511"/>
              <w:gridCol w:w="567"/>
              <w:gridCol w:w="702"/>
              <w:gridCol w:w="540"/>
            </w:tblGrid>
            <w:tr w14:paraId="765CF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88" w:type="pct"/>
                  <w:vMerge w:val="restart"/>
                  <w:noWrap w:val="0"/>
                  <w:vAlign w:val="center"/>
                </w:tcPr>
                <w:p w14:paraId="12A32BB1">
                  <w:pPr>
                    <w:keepNext w:val="0"/>
                    <w:keepLines w:val="0"/>
                    <w:pageBreakBefore w:val="0"/>
                    <w:kinsoku/>
                    <w:wordWrap/>
                    <w:overflowPunct/>
                    <w:topLinePunct w:val="0"/>
                    <w:autoSpaceDE/>
                    <w:autoSpaceDN/>
                    <w:bidi w:val="0"/>
                    <w:adjustRightInd/>
                    <w:snapToGrid/>
                    <w:ind w:left="-48" w:leftChars="-20" w:right="-48" w:rightChars="-20"/>
                    <w:jc w:val="center"/>
                    <w:rPr>
                      <w:rFonts w:hint="default" w:ascii="Times New Roman" w:hAnsi="Times New Roman" w:eastAsia="宋体"/>
                      <w:b w:val="0"/>
                      <w:bCs w:val="0"/>
                      <w:color w:val="auto"/>
                      <w:sz w:val="21"/>
                      <w:szCs w:val="21"/>
                      <w:lang w:val="en-US" w:eastAsia="zh-CN"/>
                    </w:rPr>
                  </w:pPr>
                  <w:r>
                    <w:rPr>
                      <w:rFonts w:hint="eastAsia" w:ascii="Times New Roman" w:hAnsi="Times New Roman"/>
                      <w:b w:val="0"/>
                      <w:bCs w:val="0"/>
                      <w:color w:val="auto"/>
                      <w:sz w:val="21"/>
                      <w:szCs w:val="21"/>
                      <w:lang w:val="en-US" w:eastAsia="zh-CN"/>
                    </w:rPr>
                    <w:t>产污环节</w:t>
                  </w:r>
                </w:p>
              </w:tc>
              <w:tc>
                <w:tcPr>
                  <w:tcW w:w="304" w:type="pct"/>
                  <w:vMerge w:val="restart"/>
                  <w:noWrap w:val="0"/>
                  <w:vAlign w:val="center"/>
                </w:tcPr>
                <w:p w14:paraId="3197B3E2">
                  <w:pPr>
                    <w:keepNext w:val="0"/>
                    <w:keepLines w:val="0"/>
                    <w:pageBreakBefore w:val="0"/>
                    <w:kinsoku/>
                    <w:wordWrap/>
                    <w:overflowPunct/>
                    <w:topLinePunct w:val="0"/>
                    <w:autoSpaceDE/>
                    <w:autoSpaceDN/>
                    <w:bidi w:val="0"/>
                    <w:adjustRightInd/>
                    <w:snapToGrid/>
                    <w:ind w:left="-48" w:leftChars="-20" w:right="-48" w:rightChars="-20"/>
                    <w:jc w:val="center"/>
                    <w:rPr>
                      <w:rFonts w:hint="eastAsia" w:ascii="Times New Roman" w:hAnsi="Times New Roman"/>
                      <w:b w:val="0"/>
                      <w:bCs w:val="0"/>
                      <w:color w:val="auto"/>
                      <w:sz w:val="21"/>
                      <w:szCs w:val="21"/>
                    </w:rPr>
                  </w:pPr>
                  <w:r>
                    <w:rPr>
                      <w:rFonts w:hint="eastAsia" w:ascii="Times New Roman" w:hAnsi="Times New Roman"/>
                      <w:b w:val="0"/>
                      <w:bCs w:val="0"/>
                      <w:color w:val="auto"/>
                      <w:sz w:val="21"/>
                      <w:szCs w:val="21"/>
                    </w:rPr>
                    <w:t>污染物种类</w:t>
                  </w:r>
                </w:p>
              </w:tc>
              <w:tc>
                <w:tcPr>
                  <w:tcW w:w="608" w:type="pct"/>
                  <w:gridSpan w:val="2"/>
                  <w:noWrap w:val="0"/>
                  <w:vAlign w:val="center"/>
                </w:tcPr>
                <w:p w14:paraId="05E06897">
                  <w:pPr>
                    <w:keepNext w:val="0"/>
                    <w:keepLines w:val="0"/>
                    <w:pageBreakBefore w:val="0"/>
                    <w:kinsoku/>
                    <w:wordWrap/>
                    <w:overflowPunct/>
                    <w:topLinePunct w:val="0"/>
                    <w:autoSpaceDE/>
                    <w:autoSpaceDN/>
                    <w:bidi w:val="0"/>
                    <w:adjustRightInd/>
                    <w:snapToGrid/>
                    <w:ind w:left="-48" w:leftChars="-20" w:right="-48" w:rightChars="-20"/>
                    <w:jc w:val="center"/>
                    <w:rPr>
                      <w:rFonts w:hint="eastAsia" w:ascii="Times New Roman" w:hAnsi="Times New Roman"/>
                      <w:b w:val="0"/>
                      <w:bCs w:val="0"/>
                      <w:color w:val="auto"/>
                      <w:sz w:val="21"/>
                      <w:szCs w:val="21"/>
                    </w:rPr>
                  </w:pPr>
                  <w:r>
                    <w:rPr>
                      <w:rFonts w:hint="eastAsia" w:ascii="Times New Roman" w:hAnsi="Times New Roman"/>
                      <w:b w:val="0"/>
                      <w:bCs w:val="0"/>
                      <w:color w:val="auto"/>
                      <w:sz w:val="21"/>
                      <w:szCs w:val="21"/>
                    </w:rPr>
                    <w:t>产生情况</w:t>
                  </w:r>
                </w:p>
              </w:tc>
              <w:tc>
                <w:tcPr>
                  <w:tcW w:w="1251" w:type="pct"/>
                  <w:gridSpan w:val="5"/>
                  <w:noWrap w:val="0"/>
                  <w:vAlign w:val="center"/>
                </w:tcPr>
                <w:p w14:paraId="5371F8A0">
                  <w:pPr>
                    <w:keepNext w:val="0"/>
                    <w:keepLines w:val="0"/>
                    <w:pageBreakBefore w:val="0"/>
                    <w:kinsoku/>
                    <w:wordWrap/>
                    <w:overflowPunct/>
                    <w:topLinePunct w:val="0"/>
                    <w:autoSpaceDE/>
                    <w:autoSpaceDN/>
                    <w:bidi w:val="0"/>
                    <w:adjustRightInd/>
                    <w:snapToGrid/>
                    <w:ind w:left="-48" w:leftChars="-20" w:right="-48" w:rightChars="-20"/>
                    <w:jc w:val="center"/>
                    <w:rPr>
                      <w:rFonts w:hint="eastAsia" w:ascii="Times New Roman" w:hAnsi="Times New Roman"/>
                      <w:b w:val="0"/>
                      <w:bCs w:val="0"/>
                      <w:color w:val="auto"/>
                      <w:sz w:val="21"/>
                      <w:szCs w:val="21"/>
                    </w:rPr>
                  </w:pPr>
                  <w:r>
                    <w:rPr>
                      <w:rFonts w:hint="eastAsia" w:ascii="Times New Roman" w:hAnsi="Times New Roman"/>
                      <w:b w:val="0"/>
                      <w:bCs w:val="0"/>
                      <w:color w:val="auto"/>
                      <w:sz w:val="21"/>
                      <w:szCs w:val="21"/>
                    </w:rPr>
                    <w:t>治理措施</w:t>
                  </w:r>
                </w:p>
              </w:tc>
              <w:tc>
                <w:tcPr>
                  <w:tcW w:w="606" w:type="pct"/>
                  <w:gridSpan w:val="2"/>
                  <w:noWrap w:val="0"/>
                  <w:vAlign w:val="center"/>
                </w:tcPr>
                <w:p w14:paraId="41871EF0">
                  <w:pPr>
                    <w:keepNext w:val="0"/>
                    <w:keepLines w:val="0"/>
                    <w:pageBreakBefore w:val="0"/>
                    <w:kinsoku/>
                    <w:wordWrap/>
                    <w:overflowPunct/>
                    <w:topLinePunct w:val="0"/>
                    <w:autoSpaceDE/>
                    <w:autoSpaceDN/>
                    <w:bidi w:val="0"/>
                    <w:adjustRightInd/>
                    <w:snapToGrid/>
                    <w:ind w:left="-48" w:leftChars="-20" w:right="-48" w:rightChars="-20"/>
                    <w:jc w:val="center"/>
                    <w:rPr>
                      <w:rFonts w:hint="eastAsia" w:ascii="Times New Roman" w:hAnsi="Times New Roman"/>
                      <w:b w:val="0"/>
                      <w:bCs w:val="0"/>
                      <w:color w:val="auto"/>
                      <w:sz w:val="21"/>
                      <w:szCs w:val="21"/>
                    </w:rPr>
                  </w:pPr>
                  <w:r>
                    <w:rPr>
                      <w:rFonts w:hint="eastAsia" w:ascii="Times New Roman" w:hAnsi="Times New Roman"/>
                      <w:b w:val="0"/>
                      <w:bCs w:val="0"/>
                      <w:color w:val="auto"/>
                      <w:sz w:val="21"/>
                      <w:szCs w:val="21"/>
                    </w:rPr>
                    <w:t>排放情况</w:t>
                  </w:r>
                </w:p>
              </w:tc>
              <w:tc>
                <w:tcPr>
                  <w:tcW w:w="1163" w:type="pct"/>
                  <w:gridSpan w:val="4"/>
                  <w:noWrap w:val="0"/>
                  <w:vAlign w:val="center"/>
                </w:tcPr>
                <w:p w14:paraId="68A65BDE">
                  <w:pPr>
                    <w:keepNext w:val="0"/>
                    <w:keepLines w:val="0"/>
                    <w:pageBreakBefore w:val="0"/>
                    <w:kinsoku/>
                    <w:wordWrap/>
                    <w:overflowPunct/>
                    <w:topLinePunct w:val="0"/>
                    <w:autoSpaceDE/>
                    <w:autoSpaceDN/>
                    <w:bidi w:val="0"/>
                    <w:adjustRightInd/>
                    <w:snapToGrid/>
                    <w:ind w:left="-48" w:leftChars="-20" w:right="-48" w:rightChars="-20"/>
                    <w:jc w:val="center"/>
                    <w:rPr>
                      <w:rFonts w:hint="eastAsia" w:ascii="Times New Roman" w:hAnsi="Times New Roman"/>
                      <w:b w:val="0"/>
                      <w:bCs w:val="0"/>
                      <w:color w:val="auto"/>
                      <w:sz w:val="21"/>
                      <w:szCs w:val="21"/>
                    </w:rPr>
                  </w:pPr>
                  <w:r>
                    <w:rPr>
                      <w:rFonts w:hint="eastAsia" w:ascii="Times New Roman" w:hAnsi="Times New Roman"/>
                      <w:b w:val="0"/>
                      <w:bCs w:val="0"/>
                      <w:color w:val="auto"/>
                      <w:sz w:val="21"/>
                      <w:szCs w:val="21"/>
                    </w:rPr>
                    <w:t>排放口基本情况</w:t>
                  </w:r>
                </w:p>
              </w:tc>
              <w:tc>
                <w:tcPr>
                  <w:tcW w:w="193" w:type="pct"/>
                  <w:vMerge w:val="restart"/>
                  <w:noWrap w:val="0"/>
                  <w:vAlign w:val="center"/>
                </w:tcPr>
                <w:p w14:paraId="4021E19F">
                  <w:pPr>
                    <w:keepNext w:val="0"/>
                    <w:keepLines w:val="0"/>
                    <w:pageBreakBefore w:val="0"/>
                    <w:kinsoku/>
                    <w:wordWrap/>
                    <w:overflowPunct/>
                    <w:topLinePunct w:val="0"/>
                    <w:autoSpaceDE/>
                    <w:autoSpaceDN/>
                    <w:bidi w:val="0"/>
                    <w:adjustRightInd/>
                    <w:snapToGrid/>
                    <w:ind w:left="-48" w:leftChars="-20" w:right="-48" w:rightChars="-20"/>
                    <w:jc w:val="center"/>
                    <w:rPr>
                      <w:rFonts w:hint="eastAsia" w:ascii="Times New Roman" w:hAnsi="Times New Roman"/>
                      <w:b w:val="0"/>
                      <w:bCs w:val="0"/>
                      <w:color w:val="auto"/>
                      <w:sz w:val="21"/>
                      <w:szCs w:val="21"/>
                    </w:rPr>
                  </w:pPr>
                  <w:r>
                    <w:rPr>
                      <w:rFonts w:hint="eastAsia" w:ascii="Times New Roman" w:hAnsi="Times New Roman"/>
                      <w:b w:val="0"/>
                      <w:bCs w:val="0"/>
                      <w:color w:val="auto"/>
                      <w:sz w:val="21"/>
                      <w:szCs w:val="21"/>
                    </w:rPr>
                    <w:t>排放方式</w:t>
                  </w:r>
                </w:p>
              </w:tc>
              <w:tc>
                <w:tcPr>
                  <w:tcW w:w="214" w:type="pct"/>
                  <w:vMerge w:val="restart"/>
                  <w:noWrap w:val="0"/>
                  <w:vAlign w:val="center"/>
                </w:tcPr>
                <w:p w14:paraId="5FDD8A53">
                  <w:pPr>
                    <w:keepNext w:val="0"/>
                    <w:keepLines w:val="0"/>
                    <w:pageBreakBefore w:val="0"/>
                    <w:kinsoku/>
                    <w:wordWrap/>
                    <w:overflowPunct/>
                    <w:topLinePunct w:val="0"/>
                    <w:autoSpaceDE/>
                    <w:autoSpaceDN/>
                    <w:bidi w:val="0"/>
                    <w:adjustRightInd/>
                    <w:snapToGrid/>
                    <w:ind w:left="-48" w:leftChars="-20" w:right="-48" w:rightChars="-20"/>
                    <w:jc w:val="center"/>
                    <w:rPr>
                      <w:rFonts w:hint="eastAsia" w:ascii="Times New Roman" w:hAnsi="Times New Roman"/>
                      <w:b w:val="0"/>
                      <w:bCs w:val="0"/>
                      <w:color w:val="auto"/>
                      <w:sz w:val="21"/>
                      <w:szCs w:val="21"/>
                    </w:rPr>
                  </w:pPr>
                  <w:r>
                    <w:rPr>
                      <w:rFonts w:hint="eastAsia" w:ascii="Times New Roman" w:hAnsi="Times New Roman"/>
                      <w:b w:val="0"/>
                      <w:bCs w:val="0"/>
                      <w:color w:val="auto"/>
                      <w:sz w:val="21"/>
                      <w:szCs w:val="21"/>
                    </w:rPr>
                    <w:t>排放</w:t>
                  </w:r>
                </w:p>
                <w:p w14:paraId="6AD038C7">
                  <w:pPr>
                    <w:keepNext w:val="0"/>
                    <w:keepLines w:val="0"/>
                    <w:pageBreakBefore w:val="0"/>
                    <w:kinsoku/>
                    <w:wordWrap/>
                    <w:overflowPunct/>
                    <w:topLinePunct w:val="0"/>
                    <w:autoSpaceDE/>
                    <w:autoSpaceDN/>
                    <w:bidi w:val="0"/>
                    <w:adjustRightInd/>
                    <w:snapToGrid/>
                    <w:ind w:left="-48" w:leftChars="-20" w:right="-48" w:rightChars="-20"/>
                    <w:jc w:val="center"/>
                    <w:rPr>
                      <w:rFonts w:hint="eastAsia" w:ascii="Times New Roman" w:hAnsi="Times New Roman"/>
                      <w:b w:val="0"/>
                      <w:bCs w:val="0"/>
                      <w:color w:val="auto"/>
                      <w:sz w:val="21"/>
                      <w:szCs w:val="21"/>
                    </w:rPr>
                  </w:pPr>
                  <w:r>
                    <w:rPr>
                      <w:rFonts w:hint="eastAsia" w:ascii="Times New Roman" w:hAnsi="Times New Roman"/>
                      <w:b w:val="0"/>
                      <w:bCs w:val="0"/>
                      <w:color w:val="auto"/>
                      <w:sz w:val="21"/>
                      <w:szCs w:val="21"/>
                    </w:rPr>
                    <w:t>去向</w:t>
                  </w:r>
                </w:p>
              </w:tc>
              <w:tc>
                <w:tcPr>
                  <w:tcW w:w="265" w:type="pct"/>
                  <w:vMerge w:val="restart"/>
                  <w:noWrap w:val="0"/>
                  <w:vAlign w:val="center"/>
                </w:tcPr>
                <w:p w14:paraId="6C4E13D0">
                  <w:pPr>
                    <w:keepNext w:val="0"/>
                    <w:keepLines w:val="0"/>
                    <w:pageBreakBefore w:val="0"/>
                    <w:kinsoku/>
                    <w:wordWrap/>
                    <w:overflowPunct/>
                    <w:topLinePunct w:val="0"/>
                    <w:autoSpaceDE/>
                    <w:autoSpaceDN/>
                    <w:bidi w:val="0"/>
                    <w:adjustRightInd/>
                    <w:snapToGrid/>
                    <w:ind w:left="-48" w:leftChars="-20" w:right="-48" w:rightChars="-20"/>
                    <w:jc w:val="center"/>
                    <w:rPr>
                      <w:rFonts w:hint="eastAsia" w:ascii="Times New Roman" w:hAnsi="Times New Roman"/>
                      <w:b w:val="0"/>
                      <w:bCs w:val="0"/>
                      <w:color w:val="auto"/>
                      <w:sz w:val="21"/>
                      <w:szCs w:val="21"/>
                    </w:rPr>
                  </w:pPr>
                  <w:r>
                    <w:rPr>
                      <w:rFonts w:hint="eastAsia" w:ascii="Times New Roman" w:hAnsi="Times New Roman"/>
                      <w:b w:val="0"/>
                      <w:bCs w:val="0"/>
                      <w:color w:val="auto"/>
                      <w:sz w:val="21"/>
                      <w:szCs w:val="21"/>
                    </w:rPr>
                    <w:t>排放</w:t>
                  </w:r>
                </w:p>
                <w:p w14:paraId="2CA4C7B5">
                  <w:pPr>
                    <w:keepNext w:val="0"/>
                    <w:keepLines w:val="0"/>
                    <w:pageBreakBefore w:val="0"/>
                    <w:kinsoku/>
                    <w:wordWrap/>
                    <w:overflowPunct/>
                    <w:topLinePunct w:val="0"/>
                    <w:autoSpaceDE/>
                    <w:autoSpaceDN/>
                    <w:bidi w:val="0"/>
                    <w:adjustRightInd/>
                    <w:snapToGrid/>
                    <w:ind w:left="-48" w:leftChars="-20" w:right="-48" w:rightChars="-20"/>
                    <w:jc w:val="center"/>
                    <w:rPr>
                      <w:rFonts w:hint="eastAsia" w:ascii="Times New Roman" w:hAnsi="Times New Roman"/>
                      <w:b w:val="0"/>
                      <w:bCs w:val="0"/>
                      <w:color w:val="auto"/>
                      <w:sz w:val="21"/>
                      <w:szCs w:val="21"/>
                    </w:rPr>
                  </w:pPr>
                  <w:r>
                    <w:rPr>
                      <w:rFonts w:hint="eastAsia" w:ascii="Times New Roman" w:hAnsi="Times New Roman"/>
                      <w:b w:val="0"/>
                      <w:bCs w:val="0"/>
                      <w:color w:val="auto"/>
                      <w:sz w:val="21"/>
                      <w:szCs w:val="21"/>
                    </w:rPr>
                    <w:t>规律</w:t>
                  </w:r>
                </w:p>
              </w:tc>
              <w:tc>
                <w:tcPr>
                  <w:tcW w:w="204" w:type="pct"/>
                  <w:vMerge w:val="restart"/>
                  <w:noWrap w:val="0"/>
                  <w:vAlign w:val="center"/>
                </w:tcPr>
                <w:p w14:paraId="7ABAEDAA">
                  <w:pPr>
                    <w:keepNext w:val="0"/>
                    <w:keepLines w:val="0"/>
                    <w:pageBreakBefore w:val="0"/>
                    <w:kinsoku/>
                    <w:wordWrap/>
                    <w:overflowPunct/>
                    <w:topLinePunct w:val="0"/>
                    <w:autoSpaceDE/>
                    <w:autoSpaceDN/>
                    <w:bidi w:val="0"/>
                    <w:adjustRightInd/>
                    <w:snapToGrid/>
                    <w:ind w:left="-48" w:leftChars="-20" w:right="-48" w:rightChars="-20"/>
                    <w:jc w:val="center"/>
                    <w:rPr>
                      <w:rFonts w:hint="eastAsia" w:ascii="Times New Roman" w:hAnsi="Times New Roman"/>
                      <w:b w:val="0"/>
                      <w:bCs w:val="0"/>
                      <w:color w:val="auto"/>
                      <w:sz w:val="21"/>
                      <w:szCs w:val="21"/>
                    </w:rPr>
                  </w:pPr>
                  <w:r>
                    <w:rPr>
                      <w:rFonts w:hint="eastAsia" w:ascii="Times New Roman" w:hAnsi="Times New Roman"/>
                      <w:b w:val="0"/>
                      <w:bCs w:val="0"/>
                      <w:color w:val="auto"/>
                      <w:sz w:val="21"/>
                      <w:szCs w:val="21"/>
                    </w:rPr>
                    <w:t>排放标准</w:t>
                  </w:r>
                </w:p>
              </w:tc>
            </w:tr>
            <w:tr w14:paraId="73CEE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0" w:hRule="atLeast"/>
                <w:jc w:val="center"/>
              </w:trPr>
              <w:tc>
                <w:tcPr>
                  <w:tcW w:w="188" w:type="pct"/>
                  <w:vMerge w:val="continue"/>
                  <w:noWrap w:val="0"/>
                  <w:vAlign w:val="center"/>
                </w:tcPr>
                <w:p w14:paraId="56537D94">
                  <w:pPr>
                    <w:keepNext w:val="0"/>
                    <w:keepLines w:val="0"/>
                    <w:pageBreakBefore w:val="0"/>
                    <w:kinsoku/>
                    <w:wordWrap/>
                    <w:overflowPunct/>
                    <w:topLinePunct w:val="0"/>
                    <w:autoSpaceDE/>
                    <w:autoSpaceDN/>
                    <w:bidi w:val="0"/>
                    <w:adjustRightInd/>
                    <w:snapToGrid/>
                    <w:ind w:left="-48" w:leftChars="-20" w:right="-48" w:rightChars="-20"/>
                    <w:jc w:val="center"/>
                    <w:rPr>
                      <w:rFonts w:ascii="Times New Roman" w:hAnsi="Times New Roman"/>
                      <w:b w:val="0"/>
                      <w:bCs w:val="0"/>
                      <w:color w:val="auto"/>
                      <w:sz w:val="21"/>
                      <w:szCs w:val="21"/>
                    </w:rPr>
                  </w:pPr>
                </w:p>
              </w:tc>
              <w:tc>
                <w:tcPr>
                  <w:tcW w:w="304" w:type="pct"/>
                  <w:vMerge w:val="continue"/>
                  <w:noWrap w:val="0"/>
                  <w:vAlign w:val="center"/>
                </w:tcPr>
                <w:p w14:paraId="71F838A0">
                  <w:pPr>
                    <w:keepNext w:val="0"/>
                    <w:keepLines w:val="0"/>
                    <w:pageBreakBefore w:val="0"/>
                    <w:kinsoku/>
                    <w:wordWrap/>
                    <w:overflowPunct/>
                    <w:topLinePunct w:val="0"/>
                    <w:autoSpaceDE/>
                    <w:autoSpaceDN/>
                    <w:bidi w:val="0"/>
                    <w:adjustRightInd/>
                    <w:snapToGrid/>
                    <w:ind w:left="-48" w:leftChars="-20" w:right="-48" w:rightChars="-20"/>
                    <w:jc w:val="center"/>
                    <w:rPr>
                      <w:rFonts w:ascii="Times New Roman" w:hAnsi="Times New Roman"/>
                      <w:b w:val="0"/>
                      <w:bCs w:val="0"/>
                      <w:color w:val="auto"/>
                      <w:sz w:val="21"/>
                      <w:szCs w:val="21"/>
                    </w:rPr>
                  </w:pPr>
                </w:p>
              </w:tc>
              <w:tc>
                <w:tcPr>
                  <w:tcW w:w="307" w:type="pct"/>
                  <w:noWrap w:val="0"/>
                  <w:vAlign w:val="center"/>
                </w:tcPr>
                <w:p w14:paraId="757AEB93">
                  <w:pPr>
                    <w:keepNext w:val="0"/>
                    <w:keepLines w:val="0"/>
                    <w:pageBreakBefore w:val="0"/>
                    <w:kinsoku/>
                    <w:wordWrap/>
                    <w:overflowPunct/>
                    <w:topLinePunct w:val="0"/>
                    <w:autoSpaceDE/>
                    <w:autoSpaceDN/>
                    <w:bidi w:val="0"/>
                    <w:adjustRightInd/>
                    <w:snapToGrid/>
                    <w:ind w:left="-48" w:leftChars="-20" w:right="-48" w:rightChars="-20"/>
                    <w:jc w:val="center"/>
                    <w:rPr>
                      <w:rFonts w:hint="eastAsia" w:ascii="Times New Roman" w:hAnsi="Times New Roman"/>
                      <w:b w:val="0"/>
                      <w:bCs w:val="0"/>
                      <w:color w:val="auto"/>
                      <w:sz w:val="21"/>
                      <w:szCs w:val="21"/>
                    </w:rPr>
                  </w:pPr>
                  <w:r>
                    <w:rPr>
                      <w:rFonts w:hint="eastAsia" w:ascii="Times New Roman" w:hAnsi="Times New Roman"/>
                      <w:b w:val="0"/>
                      <w:bCs w:val="0"/>
                      <w:color w:val="auto"/>
                      <w:sz w:val="21"/>
                      <w:szCs w:val="21"/>
                    </w:rPr>
                    <w:t>产生浓度mg/L</w:t>
                  </w:r>
                </w:p>
              </w:tc>
              <w:tc>
                <w:tcPr>
                  <w:tcW w:w="301" w:type="pct"/>
                  <w:noWrap w:val="0"/>
                  <w:vAlign w:val="center"/>
                </w:tcPr>
                <w:p w14:paraId="23520F25">
                  <w:pPr>
                    <w:keepNext w:val="0"/>
                    <w:keepLines w:val="0"/>
                    <w:pageBreakBefore w:val="0"/>
                    <w:kinsoku/>
                    <w:wordWrap/>
                    <w:overflowPunct/>
                    <w:topLinePunct w:val="0"/>
                    <w:autoSpaceDE/>
                    <w:autoSpaceDN/>
                    <w:bidi w:val="0"/>
                    <w:adjustRightInd/>
                    <w:snapToGrid/>
                    <w:ind w:left="-48" w:leftChars="-20" w:right="-48" w:rightChars="-20"/>
                    <w:jc w:val="center"/>
                    <w:rPr>
                      <w:rFonts w:hint="eastAsia" w:ascii="Times New Roman" w:hAnsi="Times New Roman"/>
                      <w:b w:val="0"/>
                      <w:bCs w:val="0"/>
                      <w:color w:val="auto"/>
                      <w:sz w:val="21"/>
                      <w:szCs w:val="21"/>
                    </w:rPr>
                  </w:pPr>
                  <w:r>
                    <w:rPr>
                      <w:rFonts w:hint="eastAsia" w:ascii="Times New Roman" w:hAnsi="Times New Roman"/>
                      <w:b w:val="0"/>
                      <w:bCs w:val="0"/>
                      <w:color w:val="auto"/>
                      <w:sz w:val="21"/>
                      <w:szCs w:val="21"/>
                    </w:rPr>
                    <w:t>产生量t/a</w:t>
                  </w:r>
                </w:p>
              </w:tc>
              <w:tc>
                <w:tcPr>
                  <w:tcW w:w="264" w:type="pct"/>
                  <w:noWrap w:val="0"/>
                  <w:vAlign w:val="center"/>
                </w:tcPr>
                <w:p w14:paraId="3F9DC49B">
                  <w:pPr>
                    <w:keepNext w:val="0"/>
                    <w:keepLines w:val="0"/>
                    <w:pageBreakBefore w:val="0"/>
                    <w:kinsoku/>
                    <w:wordWrap/>
                    <w:overflowPunct/>
                    <w:topLinePunct w:val="0"/>
                    <w:autoSpaceDE/>
                    <w:autoSpaceDN/>
                    <w:bidi w:val="0"/>
                    <w:adjustRightInd/>
                    <w:snapToGrid/>
                    <w:ind w:left="-48" w:leftChars="-20" w:right="-48" w:rightChars="-20"/>
                    <w:jc w:val="center"/>
                    <w:rPr>
                      <w:rFonts w:hint="eastAsia" w:ascii="Times New Roman" w:hAnsi="Times New Roman"/>
                      <w:b w:val="0"/>
                      <w:bCs w:val="0"/>
                      <w:color w:val="auto"/>
                      <w:sz w:val="21"/>
                      <w:szCs w:val="21"/>
                    </w:rPr>
                  </w:pPr>
                  <w:r>
                    <w:rPr>
                      <w:rFonts w:hint="eastAsia" w:ascii="Times New Roman" w:hAnsi="Times New Roman"/>
                      <w:b w:val="0"/>
                      <w:bCs w:val="0"/>
                      <w:color w:val="auto"/>
                      <w:sz w:val="21"/>
                      <w:szCs w:val="21"/>
                    </w:rPr>
                    <w:t>处理</w:t>
                  </w:r>
                </w:p>
                <w:p w14:paraId="3DD6F83E">
                  <w:pPr>
                    <w:keepNext w:val="0"/>
                    <w:keepLines w:val="0"/>
                    <w:pageBreakBefore w:val="0"/>
                    <w:kinsoku/>
                    <w:wordWrap/>
                    <w:overflowPunct/>
                    <w:topLinePunct w:val="0"/>
                    <w:autoSpaceDE/>
                    <w:autoSpaceDN/>
                    <w:bidi w:val="0"/>
                    <w:adjustRightInd/>
                    <w:snapToGrid/>
                    <w:ind w:left="-48" w:leftChars="-20" w:right="-48" w:rightChars="-20"/>
                    <w:jc w:val="center"/>
                    <w:rPr>
                      <w:rFonts w:hint="eastAsia" w:ascii="Times New Roman" w:hAnsi="Times New Roman"/>
                      <w:b w:val="0"/>
                      <w:bCs w:val="0"/>
                      <w:color w:val="auto"/>
                      <w:sz w:val="21"/>
                      <w:szCs w:val="21"/>
                    </w:rPr>
                  </w:pPr>
                  <w:r>
                    <w:rPr>
                      <w:rFonts w:hint="eastAsia" w:ascii="Times New Roman" w:hAnsi="Times New Roman"/>
                      <w:b w:val="0"/>
                      <w:bCs w:val="0"/>
                      <w:color w:val="auto"/>
                      <w:sz w:val="21"/>
                      <w:szCs w:val="21"/>
                    </w:rPr>
                    <w:t>措施</w:t>
                  </w:r>
                </w:p>
              </w:tc>
              <w:tc>
                <w:tcPr>
                  <w:tcW w:w="278" w:type="pct"/>
                  <w:noWrap w:val="0"/>
                  <w:vAlign w:val="center"/>
                </w:tcPr>
                <w:p w14:paraId="3A77A793">
                  <w:pPr>
                    <w:keepNext w:val="0"/>
                    <w:keepLines w:val="0"/>
                    <w:pageBreakBefore w:val="0"/>
                    <w:kinsoku/>
                    <w:wordWrap/>
                    <w:overflowPunct/>
                    <w:topLinePunct w:val="0"/>
                    <w:autoSpaceDE/>
                    <w:autoSpaceDN/>
                    <w:bidi w:val="0"/>
                    <w:adjustRightInd/>
                    <w:snapToGrid/>
                    <w:ind w:left="-48" w:leftChars="-20" w:right="-48" w:rightChars="-20"/>
                    <w:jc w:val="center"/>
                    <w:rPr>
                      <w:rFonts w:ascii="Times New Roman" w:hAnsi="Times New Roman"/>
                      <w:b w:val="0"/>
                      <w:bCs w:val="0"/>
                      <w:color w:val="auto"/>
                      <w:sz w:val="21"/>
                      <w:szCs w:val="21"/>
                    </w:rPr>
                  </w:pPr>
                  <w:r>
                    <w:rPr>
                      <w:rFonts w:hint="eastAsia" w:ascii="Times New Roman" w:hAnsi="Times New Roman"/>
                      <w:b w:val="0"/>
                      <w:bCs w:val="0"/>
                      <w:color w:val="auto"/>
                      <w:sz w:val="21"/>
                      <w:szCs w:val="21"/>
                    </w:rPr>
                    <w:t>处理效率%</w:t>
                  </w:r>
                </w:p>
              </w:tc>
              <w:tc>
                <w:tcPr>
                  <w:tcW w:w="237" w:type="pct"/>
                  <w:noWrap w:val="0"/>
                  <w:vAlign w:val="center"/>
                </w:tcPr>
                <w:p w14:paraId="430C0AEA">
                  <w:pPr>
                    <w:keepNext w:val="0"/>
                    <w:keepLines w:val="0"/>
                    <w:pageBreakBefore w:val="0"/>
                    <w:kinsoku/>
                    <w:wordWrap/>
                    <w:overflowPunct/>
                    <w:topLinePunct w:val="0"/>
                    <w:autoSpaceDE/>
                    <w:autoSpaceDN/>
                    <w:bidi w:val="0"/>
                    <w:adjustRightInd/>
                    <w:snapToGrid/>
                    <w:ind w:left="-48" w:leftChars="-20" w:right="-48" w:rightChars="-20"/>
                    <w:jc w:val="center"/>
                    <w:rPr>
                      <w:rFonts w:hint="eastAsia" w:ascii="Times New Roman" w:hAnsi="Times New Roman"/>
                      <w:b w:val="0"/>
                      <w:bCs w:val="0"/>
                      <w:color w:val="auto"/>
                      <w:sz w:val="21"/>
                      <w:szCs w:val="21"/>
                    </w:rPr>
                  </w:pPr>
                  <w:r>
                    <w:rPr>
                      <w:rFonts w:hint="eastAsia" w:ascii="Times New Roman" w:hAnsi="Times New Roman"/>
                      <w:b w:val="0"/>
                      <w:bCs w:val="0"/>
                      <w:color w:val="auto"/>
                      <w:sz w:val="21"/>
                      <w:szCs w:val="21"/>
                    </w:rPr>
                    <w:t>处理</w:t>
                  </w:r>
                </w:p>
                <w:p w14:paraId="61F9B1AA">
                  <w:pPr>
                    <w:keepNext w:val="0"/>
                    <w:keepLines w:val="0"/>
                    <w:pageBreakBefore w:val="0"/>
                    <w:kinsoku/>
                    <w:wordWrap/>
                    <w:overflowPunct/>
                    <w:topLinePunct w:val="0"/>
                    <w:autoSpaceDE/>
                    <w:autoSpaceDN/>
                    <w:bidi w:val="0"/>
                    <w:adjustRightInd/>
                    <w:snapToGrid/>
                    <w:ind w:left="-48" w:leftChars="-20" w:right="-48" w:rightChars="-20"/>
                    <w:jc w:val="center"/>
                    <w:rPr>
                      <w:rFonts w:hint="eastAsia" w:ascii="Times New Roman" w:hAnsi="Times New Roman"/>
                      <w:b w:val="0"/>
                      <w:bCs w:val="0"/>
                      <w:color w:val="auto"/>
                      <w:sz w:val="21"/>
                      <w:szCs w:val="21"/>
                    </w:rPr>
                  </w:pPr>
                  <w:r>
                    <w:rPr>
                      <w:rFonts w:hint="eastAsia" w:ascii="Times New Roman" w:hAnsi="Times New Roman"/>
                      <w:b w:val="0"/>
                      <w:bCs w:val="0"/>
                      <w:color w:val="auto"/>
                      <w:sz w:val="21"/>
                      <w:szCs w:val="21"/>
                    </w:rPr>
                    <w:t>工艺</w:t>
                  </w:r>
                </w:p>
              </w:tc>
              <w:tc>
                <w:tcPr>
                  <w:tcW w:w="241" w:type="pct"/>
                  <w:noWrap w:val="0"/>
                  <w:vAlign w:val="center"/>
                </w:tcPr>
                <w:p w14:paraId="0864902F">
                  <w:pPr>
                    <w:keepNext w:val="0"/>
                    <w:keepLines w:val="0"/>
                    <w:pageBreakBefore w:val="0"/>
                    <w:kinsoku/>
                    <w:wordWrap/>
                    <w:overflowPunct/>
                    <w:topLinePunct w:val="0"/>
                    <w:autoSpaceDE/>
                    <w:autoSpaceDN/>
                    <w:bidi w:val="0"/>
                    <w:adjustRightInd/>
                    <w:snapToGrid/>
                    <w:ind w:left="-48" w:leftChars="-20" w:right="-48" w:rightChars="-20"/>
                    <w:jc w:val="center"/>
                    <w:rPr>
                      <w:rFonts w:hint="eastAsia" w:ascii="Times New Roman" w:hAnsi="Times New Roman"/>
                      <w:b w:val="0"/>
                      <w:bCs w:val="0"/>
                      <w:color w:val="auto"/>
                      <w:sz w:val="21"/>
                      <w:szCs w:val="21"/>
                    </w:rPr>
                  </w:pPr>
                  <w:r>
                    <w:rPr>
                      <w:rFonts w:hint="eastAsia" w:ascii="Times New Roman" w:hAnsi="Times New Roman"/>
                      <w:b w:val="0"/>
                      <w:bCs w:val="0"/>
                      <w:color w:val="auto"/>
                      <w:sz w:val="21"/>
                      <w:szCs w:val="21"/>
                    </w:rPr>
                    <w:t>处理</w:t>
                  </w:r>
                </w:p>
                <w:p w14:paraId="1FB855C4">
                  <w:pPr>
                    <w:keepNext w:val="0"/>
                    <w:keepLines w:val="0"/>
                    <w:pageBreakBefore w:val="0"/>
                    <w:kinsoku/>
                    <w:wordWrap/>
                    <w:overflowPunct/>
                    <w:topLinePunct w:val="0"/>
                    <w:autoSpaceDE/>
                    <w:autoSpaceDN/>
                    <w:bidi w:val="0"/>
                    <w:adjustRightInd/>
                    <w:snapToGrid/>
                    <w:ind w:left="-48" w:leftChars="-20" w:right="-48" w:rightChars="-20"/>
                    <w:jc w:val="center"/>
                    <w:rPr>
                      <w:rFonts w:hint="eastAsia" w:ascii="Times New Roman" w:hAnsi="Times New Roman"/>
                      <w:b w:val="0"/>
                      <w:bCs w:val="0"/>
                      <w:color w:val="auto"/>
                      <w:sz w:val="21"/>
                      <w:szCs w:val="21"/>
                    </w:rPr>
                  </w:pPr>
                  <w:r>
                    <w:rPr>
                      <w:rFonts w:hint="eastAsia" w:ascii="Times New Roman" w:hAnsi="Times New Roman"/>
                      <w:b w:val="0"/>
                      <w:bCs w:val="0"/>
                      <w:color w:val="auto"/>
                      <w:sz w:val="21"/>
                      <w:szCs w:val="21"/>
                    </w:rPr>
                    <w:t>能力</w:t>
                  </w:r>
                </w:p>
              </w:tc>
              <w:tc>
                <w:tcPr>
                  <w:tcW w:w="231" w:type="pct"/>
                  <w:noWrap w:val="0"/>
                  <w:vAlign w:val="center"/>
                </w:tcPr>
                <w:p w14:paraId="6F8CAFB3">
                  <w:pPr>
                    <w:keepNext w:val="0"/>
                    <w:keepLines w:val="0"/>
                    <w:pageBreakBefore w:val="0"/>
                    <w:kinsoku/>
                    <w:wordWrap/>
                    <w:overflowPunct/>
                    <w:topLinePunct w:val="0"/>
                    <w:autoSpaceDE/>
                    <w:autoSpaceDN/>
                    <w:bidi w:val="0"/>
                    <w:adjustRightInd/>
                    <w:snapToGrid/>
                    <w:ind w:left="-48" w:leftChars="-20" w:right="-48" w:rightChars="-20"/>
                    <w:jc w:val="center"/>
                    <w:rPr>
                      <w:rFonts w:hint="eastAsia" w:ascii="Times New Roman" w:hAnsi="Times New Roman"/>
                      <w:b w:val="0"/>
                      <w:bCs w:val="0"/>
                      <w:color w:val="auto"/>
                      <w:sz w:val="21"/>
                      <w:szCs w:val="21"/>
                    </w:rPr>
                  </w:pPr>
                  <w:r>
                    <w:rPr>
                      <w:rFonts w:hint="eastAsia" w:ascii="Times New Roman" w:hAnsi="Times New Roman"/>
                      <w:b w:val="0"/>
                      <w:bCs w:val="0"/>
                      <w:color w:val="auto"/>
                      <w:sz w:val="21"/>
                      <w:szCs w:val="21"/>
                    </w:rPr>
                    <w:t>是否可行技术</w:t>
                  </w:r>
                </w:p>
              </w:tc>
              <w:tc>
                <w:tcPr>
                  <w:tcW w:w="306" w:type="pct"/>
                  <w:noWrap w:val="0"/>
                  <w:vAlign w:val="center"/>
                </w:tcPr>
                <w:p w14:paraId="6A1EC9AF">
                  <w:pPr>
                    <w:keepNext w:val="0"/>
                    <w:keepLines w:val="0"/>
                    <w:pageBreakBefore w:val="0"/>
                    <w:kinsoku/>
                    <w:wordWrap/>
                    <w:overflowPunct/>
                    <w:topLinePunct w:val="0"/>
                    <w:autoSpaceDE/>
                    <w:autoSpaceDN/>
                    <w:bidi w:val="0"/>
                    <w:adjustRightInd/>
                    <w:snapToGrid/>
                    <w:ind w:left="-48" w:leftChars="-20" w:right="-48" w:rightChars="-20"/>
                    <w:jc w:val="center"/>
                    <w:rPr>
                      <w:rFonts w:hint="eastAsia" w:ascii="Times New Roman" w:hAnsi="Times New Roman"/>
                      <w:b w:val="0"/>
                      <w:bCs w:val="0"/>
                      <w:color w:val="auto"/>
                      <w:sz w:val="21"/>
                      <w:szCs w:val="21"/>
                    </w:rPr>
                  </w:pPr>
                  <w:r>
                    <w:rPr>
                      <w:rFonts w:hint="eastAsia" w:ascii="Times New Roman" w:hAnsi="Times New Roman"/>
                      <w:b w:val="0"/>
                      <w:bCs w:val="0"/>
                      <w:color w:val="auto"/>
                      <w:sz w:val="21"/>
                      <w:szCs w:val="21"/>
                    </w:rPr>
                    <w:t>排放浓度mg/L</w:t>
                  </w:r>
                </w:p>
              </w:tc>
              <w:tc>
                <w:tcPr>
                  <w:tcW w:w="300" w:type="pct"/>
                  <w:noWrap w:val="0"/>
                  <w:vAlign w:val="center"/>
                </w:tcPr>
                <w:p w14:paraId="61ADA88D">
                  <w:pPr>
                    <w:keepNext w:val="0"/>
                    <w:keepLines w:val="0"/>
                    <w:pageBreakBefore w:val="0"/>
                    <w:kinsoku/>
                    <w:wordWrap/>
                    <w:overflowPunct/>
                    <w:topLinePunct w:val="0"/>
                    <w:autoSpaceDE/>
                    <w:autoSpaceDN/>
                    <w:bidi w:val="0"/>
                    <w:adjustRightInd/>
                    <w:snapToGrid/>
                    <w:ind w:left="-48" w:leftChars="-20" w:right="-48" w:rightChars="-20"/>
                    <w:jc w:val="center"/>
                    <w:rPr>
                      <w:rFonts w:hint="eastAsia" w:ascii="Times New Roman" w:hAnsi="Times New Roman"/>
                      <w:b w:val="0"/>
                      <w:bCs w:val="0"/>
                      <w:color w:val="auto"/>
                      <w:sz w:val="21"/>
                      <w:szCs w:val="21"/>
                    </w:rPr>
                  </w:pPr>
                  <w:r>
                    <w:rPr>
                      <w:rFonts w:hint="eastAsia" w:ascii="Times New Roman" w:hAnsi="Times New Roman"/>
                      <w:b w:val="0"/>
                      <w:bCs w:val="0"/>
                      <w:color w:val="auto"/>
                      <w:sz w:val="21"/>
                      <w:szCs w:val="21"/>
                    </w:rPr>
                    <w:t>排放量t/a</w:t>
                  </w:r>
                </w:p>
              </w:tc>
              <w:tc>
                <w:tcPr>
                  <w:tcW w:w="295" w:type="pct"/>
                  <w:noWrap w:val="0"/>
                  <w:vAlign w:val="center"/>
                </w:tcPr>
                <w:p w14:paraId="444EC907">
                  <w:pPr>
                    <w:keepNext w:val="0"/>
                    <w:keepLines w:val="0"/>
                    <w:pageBreakBefore w:val="0"/>
                    <w:kinsoku/>
                    <w:wordWrap/>
                    <w:overflowPunct/>
                    <w:topLinePunct w:val="0"/>
                    <w:autoSpaceDE/>
                    <w:autoSpaceDN/>
                    <w:bidi w:val="0"/>
                    <w:adjustRightInd/>
                    <w:snapToGrid/>
                    <w:ind w:left="-48" w:leftChars="-20" w:right="-48" w:rightChars="-20"/>
                    <w:jc w:val="center"/>
                    <w:rPr>
                      <w:rFonts w:hint="eastAsia" w:ascii="Times New Roman" w:hAnsi="Times New Roman"/>
                      <w:b w:val="0"/>
                      <w:bCs w:val="0"/>
                      <w:color w:val="auto"/>
                      <w:sz w:val="21"/>
                      <w:szCs w:val="21"/>
                    </w:rPr>
                  </w:pPr>
                  <w:r>
                    <w:rPr>
                      <w:rFonts w:hint="eastAsia" w:ascii="Times New Roman" w:hAnsi="Times New Roman"/>
                      <w:b w:val="0"/>
                      <w:bCs w:val="0"/>
                      <w:color w:val="auto"/>
                      <w:sz w:val="21"/>
                      <w:szCs w:val="21"/>
                    </w:rPr>
                    <w:t>编号</w:t>
                  </w:r>
                </w:p>
              </w:tc>
              <w:tc>
                <w:tcPr>
                  <w:tcW w:w="219" w:type="pct"/>
                  <w:noWrap w:val="0"/>
                  <w:vAlign w:val="center"/>
                </w:tcPr>
                <w:p w14:paraId="7CC95A08">
                  <w:pPr>
                    <w:keepNext w:val="0"/>
                    <w:keepLines w:val="0"/>
                    <w:pageBreakBefore w:val="0"/>
                    <w:kinsoku/>
                    <w:wordWrap/>
                    <w:overflowPunct/>
                    <w:topLinePunct w:val="0"/>
                    <w:autoSpaceDE/>
                    <w:autoSpaceDN/>
                    <w:bidi w:val="0"/>
                    <w:adjustRightInd/>
                    <w:snapToGrid/>
                    <w:ind w:left="-48" w:leftChars="-20" w:right="-48" w:rightChars="-20"/>
                    <w:jc w:val="center"/>
                    <w:rPr>
                      <w:rFonts w:hint="eastAsia" w:ascii="Times New Roman" w:hAnsi="Times New Roman"/>
                      <w:b w:val="0"/>
                      <w:bCs w:val="0"/>
                      <w:color w:val="auto"/>
                      <w:sz w:val="21"/>
                      <w:szCs w:val="21"/>
                    </w:rPr>
                  </w:pPr>
                  <w:r>
                    <w:rPr>
                      <w:rFonts w:hint="eastAsia" w:ascii="Times New Roman" w:hAnsi="Times New Roman"/>
                      <w:b w:val="0"/>
                      <w:bCs w:val="0"/>
                      <w:color w:val="auto"/>
                      <w:sz w:val="21"/>
                      <w:szCs w:val="21"/>
                    </w:rPr>
                    <w:t>名称</w:t>
                  </w:r>
                </w:p>
              </w:tc>
              <w:tc>
                <w:tcPr>
                  <w:tcW w:w="221" w:type="pct"/>
                  <w:noWrap w:val="0"/>
                  <w:vAlign w:val="center"/>
                </w:tcPr>
                <w:p w14:paraId="1FB9570C">
                  <w:pPr>
                    <w:keepNext w:val="0"/>
                    <w:keepLines w:val="0"/>
                    <w:pageBreakBefore w:val="0"/>
                    <w:kinsoku/>
                    <w:wordWrap/>
                    <w:overflowPunct/>
                    <w:topLinePunct w:val="0"/>
                    <w:autoSpaceDE/>
                    <w:autoSpaceDN/>
                    <w:bidi w:val="0"/>
                    <w:adjustRightInd/>
                    <w:snapToGrid/>
                    <w:ind w:left="-48" w:leftChars="-20" w:right="-48" w:rightChars="-20"/>
                    <w:jc w:val="center"/>
                    <w:rPr>
                      <w:rFonts w:hint="eastAsia" w:ascii="Times New Roman" w:hAnsi="Times New Roman"/>
                      <w:b w:val="0"/>
                      <w:bCs w:val="0"/>
                      <w:color w:val="auto"/>
                      <w:sz w:val="21"/>
                      <w:szCs w:val="21"/>
                    </w:rPr>
                  </w:pPr>
                  <w:r>
                    <w:rPr>
                      <w:rFonts w:hint="eastAsia" w:ascii="Times New Roman" w:hAnsi="Times New Roman"/>
                      <w:b w:val="0"/>
                      <w:bCs w:val="0"/>
                      <w:color w:val="auto"/>
                      <w:sz w:val="21"/>
                      <w:szCs w:val="21"/>
                    </w:rPr>
                    <w:t>类型</w:t>
                  </w:r>
                </w:p>
              </w:tc>
              <w:tc>
                <w:tcPr>
                  <w:tcW w:w="428" w:type="pct"/>
                  <w:noWrap w:val="0"/>
                  <w:vAlign w:val="center"/>
                </w:tcPr>
                <w:p w14:paraId="5E46D3B0">
                  <w:pPr>
                    <w:keepNext w:val="0"/>
                    <w:keepLines w:val="0"/>
                    <w:pageBreakBefore w:val="0"/>
                    <w:kinsoku/>
                    <w:wordWrap/>
                    <w:overflowPunct/>
                    <w:topLinePunct w:val="0"/>
                    <w:autoSpaceDE/>
                    <w:autoSpaceDN/>
                    <w:bidi w:val="0"/>
                    <w:adjustRightInd/>
                    <w:snapToGrid/>
                    <w:ind w:left="-48" w:leftChars="-20" w:right="-48" w:rightChars="-20"/>
                    <w:jc w:val="center"/>
                    <w:rPr>
                      <w:rFonts w:hint="eastAsia" w:ascii="Times New Roman" w:hAnsi="Times New Roman"/>
                      <w:b w:val="0"/>
                      <w:bCs w:val="0"/>
                      <w:color w:val="auto"/>
                      <w:sz w:val="21"/>
                      <w:szCs w:val="21"/>
                    </w:rPr>
                  </w:pPr>
                  <w:r>
                    <w:rPr>
                      <w:rFonts w:hint="eastAsia" w:ascii="Times New Roman" w:hAnsi="Times New Roman"/>
                      <w:b w:val="0"/>
                      <w:bCs w:val="0"/>
                      <w:color w:val="auto"/>
                      <w:sz w:val="21"/>
                      <w:szCs w:val="21"/>
                    </w:rPr>
                    <w:t>地理坐标</w:t>
                  </w:r>
                </w:p>
              </w:tc>
              <w:tc>
                <w:tcPr>
                  <w:tcW w:w="193" w:type="pct"/>
                  <w:vMerge w:val="continue"/>
                  <w:noWrap w:val="0"/>
                  <w:vAlign w:val="center"/>
                </w:tcPr>
                <w:p w14:paraId="6C8D2096">
                  <w:pPr>
                    <w:keepNext w:val="0"/>
                    <w:keepLines w:val="0"/>
                    <w:pageBreakBefore w:val="0"/>
                    <w:kinsoku/>
                    <w:wordWrap/>
                    <w:overflowPunct/>
                    <w:topLinePunct w:val="0"/>
                    <w:autoSpaceDE/>
                    <w:autoSpaceDN/>
                    <w:bidi w:val="0"/>
                    <w:adjustRightInd/>
                    <w:snapToGrid/>
                    <w:ind w:left="-48" w:leftChars="-20" w:right="-48" w:rightChars="-20"/>
                    <w:jc w:val="center"/>
                    <w:rPr>
                      <w:rFonts w:hint="eastAsia" w:ascii="Times New Roman" w:hAnsi="Times New Roman"/>
                      <w:b w:val="0"/>
                      <w:bCs w:val="0"/>
                      <w:color w:val="auto"/>
                      <w:sz w:val="21"/>
                      <w:szCs w:val="21"/>
                    </w:rPr>
                  </w:pPr>
                </w:p>
              </w:tc>
              <w:tc>
                <w:tcPr>
                  <w:tcW w:w="214" w:type="pct"/>
                  <w:vMerge w:val="continue"/>
                  <w:noWrap w:val="0"/>
                  <w:vAlign w:val="center"/>
                </w:tcPr>
                <w:p w14:paraId="5EE9FA20">
                  <w:pPr>
                    <w:keepNext w:val="0"/>
                    <w:keepLines w:val="0"/>
                    <w:pageBreakBefore w:val="0"/>
                    <w:kinsoku/>
                    <w:wordWrap/>
                    <w:overflowPunct/>
                    <w:topLinePunct w:val="0"/>
                    <w:autoSpaceDE/>
                    <w:autoSpaceDN/>
                    <w:bidi w:val="0"/>
                    <w:adjustRightInd/>
                    <w:snapToGrid/>
                    <w:ind w:left="-48" w:leftChars="-20" w:right="-48" w:rightChars="-20"/>
                    <w:jc w:val="center"/>
                    <w:rPr>
                      <w:rFonts w:hint="eastAsia" w:ascii="Times New Roman" w:hAnsi="Times New Roman"/>
                      <w:b w:val="0"/>
                      <w:bCs w:val="0"/>
                      <w:color w:val="auto"/>
                      <w:sz w:val="21"/>
                      <w:szCs w:val="21"/>
                    </w:rPr>
                  </w:pPr>
                </w:p>
              </w:tc>
              <w:tc>
                <w:tcPr>
                  <w:tcW w:w="265" w:type="pct"/>
                  <w:vMerge w:val="continue"/>
                  <w:noWrap w:val="0"/>
                  <w:vAlign w:val="center"/>
                </w:tcPr>
                <w:p w14:paraId="7C473310">
                  <w:pPr>
                    <w:keepNext w:val="0"/>
                    <w:keepLines w:val="0"/>
                    <w:pageBreakBefore w:val="0"/>
                    <w:kinsoku/>
                    <w:wordWrap/>
                    <w:overflowPunct/>
                    <w:topLinePunct w:val="0"/>
                    <w:autoSpaceDE/>
                    <w:autoSpaceDN/>
                    <w:bidi w:val="0"/>
                    <w:adjustRightInd/>
                    <w:snapToGrid/>
                    <w:ind w:left="-48" w:leftChars="-20" w:right="-48" w:rightChars="-20"/>
                    <w:jc w:val="center"/>
                    <w:rPr>
                      <w:rFonts w:hint="eastAsia" w:ascii="Times New Roman" w:hAnsi="Times New Roman"/>
                      <w:b w:val="0"/>
                      <w:bCs w:val="0"/>
                      <w:color w:val="auto"/>
                      <w:sz w:val="21"/>
                      <w:szCs w:val="21"/>
                    </w:rPr>
                  </w:pPr>
                </w:p>
              </w:tc>
              <w:tc>
                <w:tcPr>
                  <w:tcW w:w="204" w:type="pct"/>
                  <w:vMerge w:val="continue"/>
                  <w:noWrap w:val="0"/>
                  <w:vAlign w:val="center"/>
                </w:tcPr>
                <w:p w14:paraId="4B14718A">
                  <w:pPr>
                    <w:keepNext w:val="0"/>
                    <w:keepLines w:val="0"/>
                    <w:pageBreakBefore w:val="0"/>
                    <w:kinsoku/>
                    <w:wordWrap/>
                    <w:overflowPunct/>
                    <w:topLinePunct w:val="0"/>
                    <w:autoSpaceDE/>
                    <w:autoSpaceDN/>
                    <w:bidi w:val="0"/>
                    <w:adjustRightInd/>
                    <w:snapToGrid/>
                    <w:ind w:left="-48" w:leftChars="-20" w:right="-48" w:rightChars="-20"/>
                    <w:jc w:val="center"/>
                    <w:rPr>
                      <w:rFonts w:hint="eastAsia" w:ascii="Times New Roman" w:hAnsi="Times New Roman"/>
                      <w:b w:val="0"/>
                      <w:bCs w:val="0"/>
                      <w:color w:val="auto"/>
                      <w:sz w:val="21"/>
                      <w:szCs w:val="21"/>
                    </w:rPr>
                  </w:pPr>
                </w:p>
              </w:tc>
            </w:tr>
            <w:tr w14:paraId="1F92D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88" w:type="pct"/>
                  <w:vMerge w:val="restart"/>
                  <w:noWrap w:val="0"/>
                  <w:vAlign w:val="center"/>
                </w:tcPr>
                <w:p w14:paraId="1F3139A7">
                  <w:pPr>
                    <w:keepNext w:val="0"/>
                    <w:keepLines w:val="0"/>
                    <w:pageBreakBefore w:val="0"/>
                    <w:kinsoku/>
                    <w:wordWrap/>
                    <w:overflowPunct/>
                    <w:topLinePunct w:val="0"/>
                    <w:autoSpaceDE/>
                    <w:autoSpaceDN/>
                    <w:bidi w:val="0"/>
                    <w:adjustRightInd/>
                    <w:snapToGrid/>
                    <w:ind w:left="-48" w:leftChars="-20" w:right="-48" w:rightChars="-20"/>
                    <w:jc w:val="center"/>
                    <w:rPr>
                      <w:rFonts w:hint="eastAsia" w:ascii="Times New Roman" w:hAnsi="Times New Roman"/>
                      <w:b w:val="0"/>
                      <w:bCs w:val="0"/>
                      <w:color w:val="auto"/>
                      <w:sz w:val="21"/>
                      <w:szCs w:val="21"/>
                    </w:rPr>
                  </w:pPr>
                  <w:r>
                    <w:rPr>
                      <w:rFonts w:hint="eastAsia" w:ascii="Times New Roman" w:hAnsi="Times New Roman"/>
                      <w:b w:val="0"/>
                      <w:bCs w:val="0"/>
                      <w:color w:val="auto"/>
                      <w:sz w:val="21"/>
                      <w:szCs w:val="21"/>
                    </w:rPr>
                    <w:t>生活污水</w:t>
                  </w:r>
                </w:p>
              </w:tc>
              <w:tc>
                <w:tcPr>
                  <w:tcW w:w="304" w:type="pct"/>
                  <w:noWrap w:val="0"/>
                  <w:vAlign w:val="center"/>
                </w:tcPr>
                <w:p w14:paraId="4A420C32">
                  <w:pPr>
                    <w:keepNext w:val="0"/>
                    <w:keepLines w:val="0"/>
                    <w:pageBreakBefore w:val="0"/>
                    <w:kinsoku/>
                    <w:wordWrap/>
                    <w:overflowPunct/>
                    <w:topLinePunct w:val="0"/>
                    <w:autoSpaceDE/>
                    <w:autoSpaceDN/>
                    <w:bidi w:val="0"/>
                    <w:adjustRightInd/>
                    <w:snapToGrid/>
                    <w:ind w:left="-48" w:leftChars="-20" w:right="-48" w:rightChars="-20"/>
                    <w:jc w:val="center"/>
                    <w:rPr>
                      <w:rFonts w:hint="eastAsia" w:ascii="Times New Roman" w:hAnsi="Times New Roman"/>
                      <w:b w:val="0"/>
                      <w:bCs w:val="0"/>
                      <w:color w:val="auto"/>
                      <w:sz w:val="21"/>
                      <w:szCs w:val="21"/>
                    </w:rPr>
                  </w:pPr>
                  <w:r>
                    <w:rPr>
                      <w:rFonts w:hint="eastAsia" w:ascii="Times New Roman" w:hAnsi="Times New Roman"/>
                      <w:b w:val="0"/>
                      <w:bCs w:val="0"/>
                      <w:color w:val="auto"/>
                      <w:sz w:val="21"/>
                      <w:szCs w:val="21"/>
                    </w:rPr>
                    <w:t>水量</w:t>
                  </w:r>
                </w:p>
              </w:tc>
              <w:tc>
                <w:tcPr>
                  <w:tcW w:w="307" w:type="pct"/>
                  <w:noWrap w:val="0"/>
                  <w:vAlign w:val="center"/>
                </w:tcPr>
                <w:p w14:paraId="60BFD7F6">
                  <w:pPr>
                    <w:keepNext w:val="0"/>
                    <w:keepLines w:val="0"/>
                    <w:widowControl/>
                    <w:suppressLineNumbers w:val="0"/>
                    <w:jc w:val="center"/>
                    <w:textAlignment w:val="center"/>
                    <w:rPr>
                      <w:rFonts w:ascii="Times New Roman" w:hAnsi="Times New Roman"/>
                      <w:b w:val="0"/>
                      <w:bCs w:val="0"/>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w:t>
                  </w:r>
                </w:p>
              </w:tc>
              <w:tc>
                <w:tcPr>
                  <w:tcW w:w="301" w:type="pct"/>
                  <w:noWrap w:val="0"/>
                  <w:vAlign w:val="center"/>
                </w:tcPr>
                <w:p w14:paraId="7E4972F0">
                  <w:pPr>
                    <w:keepNext w:val="0"/>
                    <w:keepLines w:val="0"/>
                    <w:widowControl/>
                    <w:suppressLineNumbers w:val="0"/>
                    <w:jc w:val="center"/>
                    <w:textAlignment w:val="center"/>
                    <w:rPr>
                      <w:rFonts w:hint="default" w:ascii="Times New Roman" w:hAnsi="Times New Roman" w:eastAsia="宋体"/>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240</w:t>
                  </w:r>
                </w:p>
              </w:tc>
              <w:tc>
                <w:tcPr>
                  <w:tcW w:w="264" w:type="pct"/>
                  <w:vMerge w:val="restart"/>
                  <w:noWrap w:val="0"/>
                  <w:vAlign w:val="center"/>
                </w:tcPr>
                <w:p w14:paraId="7038DBF6">
                  <w:pPr>
                    <w:keepNext w:val="0"/>
                    <w:keepLines w:val="0"/>
                    <w:pageBreakBefore w:val="0"/>
                    <w:kinsoku/>
                    <w:wordWrap/>
                    <w:overflowPunct/>
                    <w:topLinePunct w:val="0"/>
                    <w:autoSpaceDE/>
                    <w:autoSpaceDN/>
                    <w:bidi w:val="0"/>
                    <w:adjustRightInd/>
                    <w:snapToGrid/>
                    <w:ind w:left="-48" w:leftChars="-20" w:right="-48" w:rightChars="-20"/>
                    <w:jc w:val="center"/>
                    <w:rPr>
                      <w:rFonts w:hint="eastAsia"/>
                      <w:b w:val="0"/>
                      <w:bCs w:val="0"/>
                      <w:color w:val="auto"/>
                      <w:sz w:val="21"/>
                      <w:szCs w:val="21"/>
                      <w:lang w:val="en-US" w:eastAsia="zh-CN"/>
                    </w:rPr>
                  </w:pPr>
                  <w:r>
                    <w:rPr>
                      <w:rFonts w:hint="eastAsia"/>
                      <w:b w:val="0"/>
                      <w:bCs w:val="0"/>
                      <w:color w:val="auto"/>
                      <w:sz w:val="21"/>
                      <w:szCs w:val="21"/>
                      <w:lang w:val="en-US" w:eastAsia="zh-CN"/>
                    </w:rPr>
                    <w:t>隔油池</w:t>
                  </w:r>
                </w:p>
                <w:p w14:paraId="77CA95F4">
                  <w:pPr>
                    <w:keepNext w:val="0"/>
                    <w:keepLines w:val="0"/>
                    <w:pageBreakBefore w:val="0"/>
                    <w:kinsoku/>
                    <w:wordWrap/>
                    <w:overflowPunct/>
                    <w:topLinePunct w:val="0"/>
                    <w:autoSpaceDE/>
                    <w:autoSpaceDN/>
                    <w:bidi w:val="0"/>
                    <w:adjustRightInd/>
                    <w:snapToGrid/>
                    <w:ind w:left="-48" w:leftChars="-20" w:right="-48" w:rightChars="-20"/>
                    <w:jc w:val="center"/>
                    <w:rPr>
                      <w:rFonts w:hint="eastAsia" w:ascii="Times New Roman" w:hAnsi="Times New Roman" w:eastAsia="宋体"/>
                      <w:b w:val="0"/>
                      <w:bCs w:val="0"/>
                      <w:color w:val="auto"/>
                      <w:sz w:val="21"/>
                      <w:szCs w:val="21"/>
                      <w:lang w:eastAsia="zh-CN"/>
                    </w:rPr>
                  </w:pPr>
                  <w:r>
                    <w:rPr>
                      <w:rFonts w:hint="eastAsia" w:ascii="Times New Roman" w:hAnsi="Times New Roman"/>
                      <w:b w:val="0"/>
                      <w:bCs w:val="0"/>
                      <w:color w:val="auto"/>
                      <w:sz w:val="21"/>
                      <w:szCs w:val="21"/>
                    </w:rPr>
                    <w:t>化粪池</w:t>
                  </w:r>
                </w:p>
              </w:tc>
              <w:tc>
                <w:tcPr>
                  <w:tcW w:w="278" w:type="pct"/>
                  <w:noWrap w:val="0"/>
                  <w:vAlign w:val="center"/>
                </w:tcPr>
                <w:p w14:paraId="55E34952">
                  <w:pPr>
                    <w:keepNext w:val="0"/>
                    <w:keepLines w:val="0"/>
                    <w:pageBreakBefore w:val="0"/>
                    <w:kinsoku/>
                    <w:wordWrap/>
                    <w:overflowPunct/>
                    <w:topLinePunct w:val="0"/>
                    <w:autoSpaceDE/>
                    <w:autoSpaceDN/>
                    <w:bidi w:val="0"/>
                    <w:adjustRightInd/>
                    <w:snapToGrid/>
                    <w:ind w:left="-48" w:leftChars="-20" w:right="-48" w:rightChars="-20"/>
                    <w:jc w:val="center"/>
                    <w:rPr>
                      <w:rFonts w:hint="eastAsia" w:ascii="Times New Roman" w:hAnsi="Times New Roman"/>
                      <w:b w:val="0"/>
                      <w:bCs w:val="0"/>
                      <w:color w:val="auto"/>
                      <w:sz w:val="21"/>
                      <w:szCs w:val="21"/>
                    </w:rPr>
                  </w:pPr>
                  <w:r>
                    <w:rPr>
                      <w:rFonts w:hint="eastAsia" w:ascii="Times New Roman" w:hAnsi="Times New Roman"/>
                      <w:b w:val="0"/>
                      <w:bCs w:val="0"/>
                      <w:color w:val="auto"/>
                      <w:sz w:val="21"/>
                      <w:szCs w:val="21"/>
                    </w:rPr>
                    <w:t>/</w:t>
                  </w:r>
                </w:p>
              </w:tc>
              <w:tc>
                <w:tcPr>
                  <w:tcW w:w="237" w:type="pct"/>
                  <w:vMerge w:val="restart"/>
                  <w:noWrap w:val="0"/>
                  <w:vAlign w:val="center"/>
                </w:tcPr>
                <w:p w14:paraId="67D9642A">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jc w:val="center"/>
                    <w:textAlignment w:val="auto"/>
                    <w:rPr>
                      <w:rFonts w:hint="eastAsia" w:ascii="Times New Roman" w:hAnsi="Times New Roman"/>
                      <w:b w:val="0"/>
                      <w:bCs w:val="0"/>
                      <w:color w:val="auto"/>
                      <w:sz w:val="21"/>
                      <w:szCs w:val="21"/>
                    </w:rPr>
                  </w:pPr>
                  <w:r>
                    <w:rPr>
                      <w:rFonts w:hint="eastAsia"/>
                      <w:b w:val="0"/>
                      <w:bCs w:val="0"/>
                      <w:color w:val="auto"/>
                      <w:sz w:val="21"/>
                      <w:szCs w:val="21"/>
                      <w:vertAlign w:val="baseline"/>
                      <w:lang w:val="en-US" w:eastAsia="zh-CN"/>
                    </w:rPr>
                    <w:t>/</w:t>
                  </w:r>
                </w:p>
              </w:tc>
              <w:tc>
                <w:tcPr>
                  <w:tcW w:w="241" w:type="pct"/>
                  <w:vMerge w:val="restart"/>
                  <w:noWrap w:val="0"/>
                  <w:vAlign w:val="center"/>
                </w:tcPr>
                <w:p w14:paraId="0AD47A39">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jc w:val="center"/>
                    <w:textAlignment w:val="auto"/>
                    <w:rPr>
                      <w:rFonts w:ascii="Times New Roman" w:hAnsi="Times New Roman"/>
                      <w:b w:val="0"/>
                      <w:bCs w:val="0"/>
                      <w:color w:val="auto"/>
                      <w:sz w:val="21"/>
                      <w:szCs w:val="21"/>
                    </w:rPr>
                  </w:pPr>
                  <w:r>
                    <w:rPr>
                      <w:rFonts w:hint="eastAsia"/>
                      <w:b w:val="0"/>
                      <w:bCs w:val="0"/>
                      <w:color w:val="auto"/>
                      <w:sz w:val="21"/>
                      <w:szCs w:val="21"/>
                      <w:vertAlign w:val="baseline"/>
                      <w:lang w:val="en-US" w:eastAsia="zh-CN"/>
                    </w:rPr>
                    <w:t>5</w:t>
                  </w:r>
                  <w:r>
                    <w:rPr>
                      <w:rFonts w:hint="eastAsia" w:ascii="Times New Roman" w:hAnsi="Times New Roman" w:eastAsia="宋体"/>
                      <w:b w:val="0"/>
                      <w:bCs w:val="0"/>
                      <w:color w:val="auto"/>
                      <w:sz w:val="21"/>
                      <w:szCs w:val="21"/>
                      <w:vertAlign w:val="baseline"/>
                      <w:lang w:val="en-US" w:eastAsia="zh-CN"/>
                    </w:rPr>
                    <w:t>m</w:t>
                  </w:r>
                  <w:r>
                    <w:rPr>
                      <w:rFonts w:hint="eastAsia" w:ascii="Times New Roman" w:hAnsi="Times New Roman" w:eastAsia="宋体"/>
                      <w:b w:val="0"/>
                      <w:bCs w:val="0"/>
                      <w:color w:val="auto"/>
                      <w:sz w:val="21"/>
                      <w:szCs w:val="21"/>
                      <w:vertAlign w:val="superscript"/>
                      <w:lang w:val="en-US" w:eastAsia="zh-CN"/>
                    </w:rPr>
                    <w:t>3</w:t>
                  </w:r>
                  <w:r>
                    <w:rPr>
                      <w:rFonts w:hint="eastAsia" w:ascii="Times New Roman" w:hAnsi="Times New Roman" w:eastAsia="宋体"/>
                      <w:b w:val="0"/>
                      <w:bCs w:val="0"/>
                      <w:color w:val="auto"/>
                      <w:sz w:val="21"/>
                      <w:szCs w:val="21"/>
                      <w:vertAlign w:val="baseline"/>
                      <w:lang w:val="en-US" w:eastAsia="zh-CN"/>
                    </w:rPr>
                    <w:t>/d</w:t>
                  </w:r>
                </w:p>
              </w:tc>
              <w:tc>
                <w:tcPr>
                  <w:tcW w:w="231" w:type="pct"/>
                  <w:vMerge w:val="restart"/>
                  <w:noWrap w:val="0"/>
                  <w:vAlign w:val="center"/>
                </w:tcPr>
                <w:p w14:paraId="2297D290">
                  <w:pPr>
                    <w:keepNext w:val="0"/>
                    <w:keepLines w:val="0"/>
                    <w:pageBreakBefore w:val="0"/>
                    <w:kinsoku/>
                    <w:wordWrap/>
                    <w:overflowPunct/>
                    <w:topLinePunct w:val="0"/>
                    <w:autoSpaceDE/>
                    <w:autoSpaceDN/>
                    <w:bidi w:val="0"/>
                    <w:adjustRightInd/>
                    <w:snapToGrid/>
                    <w:ind w:left="-48" w:leftChars="-20" w:right="-48" w:rightChars="-20"/>
                    <w:jc w:val="center"/>
                    <w:rPr>
                      <w:rFonts w:hint="eastAsia" w:ascii="Times New Roman" w:hAnsi="Times New Roman" w:eastAsia="宋体"/>
                      <w:b w:val="0"/>
                      <w:bCs w:val="0"/>
                      <w:color w:val="auto"/>
                      <w:sz w:val="21"/>
                      <w:szCs w:val="21"/>
                      <w:lang w:eastAsia="zh-CN"/>
                    </w:rPr>
                  </w:pPr>
                  <w:r>
                    <w:rPr>
                      <w:rFonts w:hint="eastAsia"/>
                      <w:b w:val="0"/>
                      <w:bCs w:val="0"/>
                      <w:color w:val="auto"/>
                      <w:sz w:val="21"/>
                      <w:szCs w:val="21"/>
                      <w:lang w:val="en-US" w:eastAsia="zh-CN"/>
                    </w:rPr>
                    <w:t>/</w:t>
                  </w:r>
                </w:p>
              </w:tc>
              <w:tc>
                <w:tcPr>
                  <w:tcW w:w="306" w:type="pct"/>
                  <w:noWrap w:val="0"/>
                  <w:vAlign w:val="center"/>
                </w:tcPr>
                <w:p w14:paraId="66901E97">
                  <w:pPr>
                    <w:keepNext w:val="0"/>
                    <w:keepLines w:val="0"/>
                    <w:widowControl/>
                    <w:suppressLineNumbers w:val="0"/>
                    <w:jc w:val="center"/>
                    <w:textAlignment w:val="center"/>
                    <w:rPr>
                      <w:rFonts w:hint="eastAsia" w:ascii="Times New Roman" w:hAnsi="Times New Roman"/>
                      <w:b w:val="0"/>
                      <w:bCs w:val="0"/>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w:t>
                  </w:r>
                </w:p>
              </w:tc>
              <w:tc>
                <w:tcPr>
                  <w:tcW w:w="300" w:type="pct"/>
                  <w:noWrap w:val="0"/>
                  <w:vAlign w:val="center"/>
                </w:tcPr>
                <w:p w14:paraId="5732BE1D">
                  <w:pPr>
                    <w:keepNext w:val="0"/>
                    <w:keepLines w:val="0"/>
                    <w:widowControl/>
                    <w:suppressLineNumbers w:val="0"/>
                    <w:jc w:val="center"/>
                    <w:textAlignment w:val="center"/>
                    <w:rPr>
                      <w:rFonts w:hint="default" w:ascii="Times New Roman" w:hAnsi="Times New Roman"/>
                      <w:b w:val="0"/>
                      <w:bCs w:val="0"/>
                      <w:color w:val="auto"/>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240</w:t>
                  </w:r>
                </w:p>
              </w:tc>
              <w:tc>
                <w:tcPr>
                  <w:tcW w:w="295" w:type="pct"/>
                  <w:vMerge w:val="restart"/>
                  <w:noWrap w:val="0"/>
                  <w:vAlign w:val="center"/>
                </w:tcPr>
                <w:p w14:paraId="643D0DF0">
                  <w:pPr>
                    <w:keepNext w:val="0"/>
                    <w:keepLines w:val="0"/>
                    <w:pageBreakBefore w:val="0"/>
                    <w:kinsoku/>
                    <w:wordWrap/>
                    <w:overflowPunct/>
                    <w:topLinePunct w:val="0"/>
                    <w:autoSpaceDE/>
                    <w:autoSpaceDN/>
                    <w:bidi w:val="0"/>
                    <w:adjustRightInd/>
                    <w:snapToGrid/>
                    <w:ind w:left="-48" w:leftChars="-20" w:right="-48" w:rightChars="-20"/>
                    <w:jc w:val="center"/>
                    <w:rPr>
                      <w:rFonts w:hint="eastAsia" w:ascii="Times New Roman" w:hAnsi="Times New Roman"/>
                      <w:b w:val="0"/>
                      <w:bCs w:val="0"/>
                      <w:color w:val="auto"/>
                      <w:kern w:val="2"/>
                      <w:sz w:val="21"/>
                      <w:szCs w:val="21"/>
                      <w:lang w:val="en-US" w:eastAsia="zh-CN" w:bidi="ar-SA"/>
                    </w:rPr>
                  </w:pPr>
                  <w:r>
                    <w:rPr>
                      <w:rFonts w:hint="eastAsia" w:ascii="Times New Roman" w:hAnsi="Times New Roman"/>
                      <w:b w:val="0"/>
                      <w:bCs w:val="0"/>
                      <w:color w:val="auto"/>
                      <w:sz w:val="21"/>
                      <w:szCs w:val="21"/>
                    </w:rPr>
                    <w:t>/</w:t>
                  </w:r>
                </w:p>
              </w:tc>
              <w:tc>
                <w:tcPr>
                  <w:tcW w:w="219" w:type="pct"/>
                  <w:vMerge w:val="restart"/>
                  <w:noWrap w:val="0"/>
                  <w:vAlign w:val="center"/>
                </w:tcPr>
                <w:p w14:paraId="45F28800">
                  <w:pPr>
                    <w:keepNext w:val="0"/>
                    <w:keepLines w:val="0"/>
                    <w:pageBreakBefore w:val="0"/>
                    <w:kinsoku/>
                    <w:wordWrap/>
                    <w:overflowPunct/>
                    <w:topLinePunct w:val="0"/>
                    <w:autoSpaceDE/>
                    <w:autoSpaceDN/>
                    <w:bidi w:val="0"/>
                    <w:adjustRightInd/>
                    <w:snapToGrid/>
                    <w:ind w:left="-48" w:leftChars="-20" w:right="-48" w:rightChars="-20"/>
                    <w:jc w:val="center"/>
                    <w:rPr>
                      <w:rFonts w:hint="eastAsia" w:ascii="Times New Roman" w:hAnsi="Times New Roman"/>
                      <w:b w:val="0"/>
                      <w:bCs w:val="0"/>
                      <w:color w:val="auto"/>
                      <w:kern w:val="2"/>
                      <w:sz w:val="21"/>
                      <w:szCs w:val="21"/>
                      <w:lang w:val="en-US" w:eastAsia="zh-CN" w:bidi="ar-SA"/>
                    </w:rPr>
                  </w:pPr>
                  <w:r>
                    <w:rPr>
                      <w:rFonts w:hint="eastAsia" w:ascii="Times New Roman" w:hAnsi="Times New Roman"/>
                      <w:b w:val="0"/>
                      <w:bCs w:val="0"/>
                      <w:color w:val="auto"/>
                      <w:sz w:val="21"/>
                      <w:szCs w:val="21"/>
                    </w:rPr>
                    <w:t>/</w:t>
                  </w:r>
                </w:p>
              </w:tc>
              <w:tc>
                <w:tcPr>
                  <w:tcW w:w="221" w:type="pct"/>
                  <w:vMerge w:val="restart"/>
                  <w:noWrap w:val="0"/>
                  <w:vAlign w:val="center"/>
                </w:tcPr>
                <w:p w14:paraId="69B25EC7">
                  <w:pPr>
                    <w:keepNext w:val="0"/>
                    <w:keepLines w:val="0"/>
                    <w:pageBreakBefore w:val="0"/>
                    <w:kinsoku/>
                    <w:wordWrap/>
                    <w:overflowPunct/>
                    <w:topLinePunct w:val="0"/>
                    <w:autoSpaceDE/>
                    <w:autoSpaceDN/>
                    <w:bidi w:val="0"/>
                    <w:adjustRightInd/>
                    <w:snapToGrid/>
                    <w:ind w:left="-48" w:leftChars="-20" w:right="-48" w:rightChars="-20"/>
                    <w:jc w:val="center"/>
                    <w:rPr>
                      <w:rFonts w:hint="eastAsia" w:ascii="Times New Roman" w:hAnsi="Times New Roman"/>
                      <w:b w:val="0"/>
                      <w:bCs w:val="0"/>
                      <w:color w:val="auto"/>
                      <w:kern w:val="2"/>
                      <w:sz w:val="21"/>
                      <w:szCs w:val="21"/>
                      <w:lang w:val="en-US" w:eastAsia="zh-CN" w:bidi="ar-SA"/>
                    </w:rPr>
                  </w:pPr>
                  <w:r>
                    <w:rPr>
                      <w:rFonts w:hint="eastAsia" w:ascii="Times New Roman" w:hAnsi="Times New Roman"/>
                      <w:b w:val="0"/>
                      <w:bCs w:val="0"/>
                      <w:color w:val="auto"/>
                      <w:sz w:val="21"/>
                      <w:szCs w:val="21"/>
                    </w:rPr>
                    <w:t>/</w:t>
                  </w:r>
                </w:p>
              </w:tc>
              <w:tc>
                <w:tcPr>
                  <w:tcW w:w="428" w:type="pct"/>
                  <w:vMerge w:val="restart"/>
                  <w:noWrap w:val="0"/>
                  <w:vAlign w:val="center"/>
                </w:tcPr>
                <w:p w14:paraId="0FC2E52B">
                  <w:pPr>
                    <w:keepNext w:val="0"/>
                    <w:keepLines w:val="0"/>
                    <w:pageBreakBefore w:val="0"/>
                    <w:kinsoku/>
                    <w:wordWrap/>
                    <w:overflowPunct/>
                    <w:topLinePunct w:val="0"/>
                    <w:autoSpaceDE/>
                    <w:autoSpaceDN/>
                    <w:bidi w:val="0"/>
                    <w:adjustRightInd/>
                    <w:snapToGrid/>
                    <w:ind w:left="-48" w:leftChars="-20" w:right="-48" w:rightChars="-20"/>
                    <w:jc w:val="center"/>
                    <w:rPr>
                      <w:rFonts w:hint="default" w:ascii="Times New Roman" w:hAnsi="Times New Roman" w:eastAsia="宋体"/>
                      <w:b w:val="0"/>
                      <w:bCs w:val="0"/>
                      <w:color w:val="auto"/>
                      <w:kern w:val="2"/>
                      <w:sz w:val="21"/>
                      <w:szCs w:val="21"/>
                      <w:lang w:val="en-US" w:eastAsia="zh-CN" w:bidi="ar-SA"/>
                    </w:rPr>
                  </w:pPr>
                  <w:r>
                    <w:rPr>
                      <w:rFonts w:hint="eastAsia" w:ascii="Times New Roman" w:hAnsi="Times New Roman"/>
                      <w:b w:val="0"/>
                      <w:bCs w:val="0"/>
                      <w:color w:val="auto"/>
                      <w:sz w:val="21"/>
                      <w:szCs w:val="21"/>
                    </w:rPr>
                    <w:t>/</w:t>
                  </w:r>
                </w:p>
              </w:tc>
              <w:tc>
                <w:tcPr>
                  <w:tcW w:w="193" w:type="pct"/>
                  <w:vMerge w:val="restart"/>
                  <w:noWrap w:val="0"/>
                  <w:vAlign w:val="center"/>
                </w:tcPr>
                <w:p w14:paraId="68836B7D">
                  <w:pPr>
                    <w:keepNext w:val="0"/>
                    <w:keepLines w:val="0"/>
                    <w:pageBreakBefore w:val="0"/>
                    <w:kinsoku/>
                    <w:wordWrap/>
                    <w:overflowPunct/>
                    <w:topLinePunct w:val="0"/>
                    <w:autoSpaceDE/>
                    <w:autoSpaceDN/>
                    <w:bidi w:val="0"/>
                    <w:adjustRightInd/>
                    <w:snapToGrid/>
                    <w:ind w:left="-48" w:leftChars="-20" w:right="-48" w:rightChars="-20"/>
                    <w:jc w:val="center"/>
                    <w:rPr>
                      <w:rFonts w:hint="eastAsia" w:ascii="Times New Roman" w:hAnsi="Times New Roman"/>
                      <w:b w:val="0"/>
                      <w:bCs w:val="0"/>
                      <w:color w:val="auto"/>
                      <w:kern w:val="2"/>
                      <w:sz w:val="21"/>
                      <w:szCs w:val="21"/>
                      <w:lang w:val="en-US" w:eastAsia="zh-CN" w:bidi="ar-SA"/>
                    </w:rPr>
                  </w:pPr>
                  <w:r>
                    <w:rPr>
                      <w:rFonts w:hint="eastAsia" w:ascii="Times New Roman" w:hAnsi="Times New Roman"/>
                      <w:b w:val="0"/>
                      <w:bCs w:val="0"/>
                      <w:color w:val="auto"/>
                      <w:sz w:val="21"/>
                      <w:szCs w:val="21"/>
                    </w:rPr>
                    <w:t>/</w:t>
                  </w:r>
                </w:p>
              </w:tc>
              <w:tc>
                <w:tcPr>
                  <w:tcW w:w="214" w:type="pct"/>
                  <w:vMerge w:val="restart"/>
                  <w:noWrap w:val="0"/>
                  <w:vAlign w:val="center"/>
                </w:tcPr>
                <w:p w14:paraId="1AED4F6A">
                  <w:pPr>
                    <w:keepNext w:val="0"/>
                    <w:keepLines w:val="0"/>
                    <w:pageBreakBefore w:val="0"/>
                    <w:kinsoku/>
                    <w:wordWrap/>
                    <w:overflowPunct/>
                    <w:topLinePunct w:val="0"/>
                    <w:autoSpaceDE/>
                    <w:autoSpaceDN/>
                    <w:bidi w:val="0"/>
                    <w:adjustRightInd/>
                    <w:snapToGrid/>
                    <w:ind w:left="-48" w:leftChars="-20" w:right="-48" w:rightChars="-20"/>
                    <w:jc w:val="center"/>
                    <w:rPr>
                      <w:rFonts w:hint="eastAsia" w:ascii="Times New Roman" w:hAnsi="Times New Roman" w:eastAsia="宋体"/>
                      <w:b w:val="0"/>
                      <w:bCs w:val="0"/>
                      <w:color w:val="auto"/>
                      <w:kern w:val="2"/>
                      <w:sz w:val="21"/>
                      <w:szCs w:val="21"/>
                      <w:lang w:val="en-US" w:eastAsia="zh-CN" w:bidi="ar-SA"/>
                    </w:rPr>
                  </w:pPr>
                  <w:r>
                    <w:rPr>
                      <w:rFonts w:hint="eastAsia" w:ascii="Times New Roman" w:hAnsi="Times New Roman"/>
                      <w:b w:val="0"/>
                      <w:bCs w:val="0"/>
                      <w:color w:val="auto"/>
                      <w:sz w:val="21"/>
                      <w:szCs w:val="21"/>
                    </w:rPr>
                    <w:t>/</w:t>
                  </w:r>
                </w:p>
              </w:tc>
              <w:tc>
                <w:tcPr>
                  <w:tcW w:w="265" w:type="pct"/>
                  <w:vMerge w:val="restart"/>
                  <w:noWrap w:val="0"/>
                  <w:vAlign w:val="center"/>
                </w:tcPr>
                <w:p w14:paraId="7ACFA4F8">
                  <w:pPr>
                    <w:keepNext w:val="0"/>
                    <w:keepLines w:val="0"/>
                    <w:pageBreakBefore w:val="0"/>
                    <w:kinsoku/>
                    <w:wordWrap/>
                    <w:overflowPunct/>
                    <w:topLinePunct w:val="0"/>
                    <w:autoSpaceDE/>
                    <w:autoSpaceDN/>
                    <w:bidi w:val="0"/>
                    <w:adjustRightInd/>
                    <w:snapToGrid/>
                    <w:ind w:left="-48" w:leftChars="-20" w:right="-48" w:rightChars="-20"/>
                    <w:jc w:val="center"/>
                    <w:rPr>
                      <w:rFonts w:hint="eastAsia" w:ascii="Times New Roman" w:hAnsi="Times New Roman"/>
                      <w:b w:val="0"/>
                      <w:bCs w:val="0"/>
                      <w:color w:val="auto"/>
                      <w:kern w:val="2"/>
                      <w:sz w:val="21"/>
                      <w:szCs w:val="21"/>
                      <w:lang w:val="en-US" w:eastAsia="zh-CN" w:bidi="ar-SA"/>
                    </w:rPr>
                  </w:pPr>
                  <w:r>
                    <w:rPr>
                      <w:rFonts w:hint="eastAsia" w:ascii="Times New Roman" w:hAnsi="Times New Roman"/>
                      <w:b w:val="0"/>
                      <w:bCs w:val="0"/>
                      <w:color w:val="auto"/>
                      <w:sz w:val="21"/>
                      <w:szCs w:val="21"/>
                    </w:rPr>
                    <w:t>/</w:t>
                  </w:r>
                </w:p>
              </w:tc>
              <w:tc>
                <w:tcPr>
                  <w:tcW w:w="204" w:type="pct"/>
                  <w:noWrap w:val="0"/>
                  <w:vAlign w:val="center"/>
                </w:tcPr>
                <w:p w14:paraId="589DF321">
                  <w:pPr>
                    <w:keepNext w:val="0"/>
                    <w:keepLines w:val="0"/>
                    <w:pageBreakBefore w:val="0"/>
                    <w:kinsoku/>
                    <w:wordWrap/>
                    <w:overflowPunct/>
                    <w:topLinePunct w:val="0"/>
                    <w:autoSpaceDE/>
                    <w:autoSpaceDN/>
                    <w:bidi w:val="0"/>
                    <w:adjustRightInd/>
                    <w:snapToGrid/>
                    <w:ind w:left="-48" w:leftChars="-20" w:right="-48" w:rightChars="-20"/>
                    <w:jc w:val="center"/>
                    <w:rPr>
                      <w:rFonts w:ascii="Times New Roman" w:hAnsi="Times New Roman"/>
                      <w:b w:val="0"/>
                      <w:bCs w:val="0"/>
                      <w:color w:val="auto"/>
                      <w:sz w:val="21"/>
                      <w:szCs w:val="21"/>
                    </w:rPr>
                  </w:pPr>
                  <w:r>
                    <w:rPr>
                      <w:rFonts w:hint="eastAsia" w:ascii="Times New Roman" w:hAnsi="Times New Roman"/>
                      <w:b w:val="0"/>
                      <w:bCs w:val="0"/>
                      <w:color w:val="auto"/>
                      <w:sz w:val="21"/>
                      <w:szCs w:val="21"/>
                    </w:rPr>
                    <w:t>/</w:t>
                  </w:r>
                </w:p>
              </w:tc>
            </w:tr>
            <w:tr w14:paraId="016AD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88" w:type="pct"/>
                  <w:vMerge w:val="continue"/>
                  <w:noWrap w:val="0"/>
                  <w:vAlign w:val="center"/>
                </w:tcPr>
                <w:p w14:paraId="569EFB1B">
                  <w:pPr>
                    <w:keepNext w:val="0"/>
                    <w:keepLines w:val="0"/>
                    <w:pageBreakBefore w:val="0"/>
                    <w:kinsoku/>
                    <w:wordWrap/>
                    <w:overflowPunct/>
                    <w:topLinePunct w:val="0"/>
                    <w:autoSpaceDE/>
                    <w:autoSpaceDN/>
                    <w:bidi w:val="0"/>
                    <w:adjustRightInd/>
                    <w:snapToGrid/>
                    <w:ind w:left="-48" w:leftChars="-20" w:right="-48" w:rightChars="-20"/>
                    <w:jc w:val="center"/>
                    <w:rPr>
                      <w:rFonts w:hint="eastAsia" w:ascii="Times New Roman" w:hAnsi="Times New Roman"/>
                      <w:b w:val="0"/>
                      <w:bCs w:val="0"/>
                      <w:color w:val="auto"/>
                      <w:sz w:val="21"/>
                      <w:szCs w:val="21"/>
                    </w:rPr>
                  </w:pPr>
                </w:p>
              </w:tc>
              <w:tc>
                <w:tcPr>
                  <w:tcW w:w="304" w:type="pct"/>
                  <w:noWrap w:val="0"/>
                  <w:vAlign w:val="center"/>
                </w:tcPr>
                <w:p w14:paraId="417750DC">
                  <w:pPr>
                    <w:keepNext w:val="0"/>
                    <w:keepLines w:val="0"/>
                    <w:pageBreakBefore w:val="0"/>
                    <w:widowControl/>
                    <w:kinsoku/>
                    <w:wordWrap/>
                    <w:overflowPunct/>
                    <w:topLinePunct w:val="0"/>
                    <w:autoSpaceDE/>
                    <w:autoSpaceDN/>
                    <w:bidi w:val="0"/>
                    <w:adjustRightInd/>
                    <w:snapToGrid/>
                    <w:jc w:val="center"/>
                    <w:rPr>
                      <w:rFonts w:hint="eastAsia" w:ascii="Times New Roman" w:hAnsi="Times New Roman"/>
                      <w:b w:val="0"/>
                      <w:bCs w:val="0"/>
                      <w:color w:val="auto"/>
                      <w:sz w:val="21"/>
                      <w:szCs w:val="21"/>
                    </w:rPr>
                  </w:pPr>
                  <w:r>
                    <w:rPr>
                      <w:rFonts w:ascii="Times New Roman" w:hAnsi="Times New Roman"/>
                      <w:b w:val="0"/>
                      <w:bCs w:val="0"/>
                      <w:color w:val="auto"/>
                      <w:sz w:val="21"/>
                      <w:szCs w:val="21"/>
                    </w:rPr>
                    <w:t>COD</w:t>
                  </w:r>
                </w:p>
              </w:tc>
              <w:tc>
                <w:tcPr>
                  <w:tcW w:w="307" w:type="pct"/>
                  <w:noWrap w:val="0"/>
                  <w:vAlign w:val="center"/>
                </w:tcPr>
                <w:p w14:paraId="5C495A7F">
                  <w:pPr>
                    <w:keepNext w:val="0"/>
                    <w:keepLines w:val="0"/>
                    <w:widowControl/>
                    <w:suppressLineNumbers w:val="0"/>
                    <w:jc w:val="center"/>
                    <w:textAlignment w:val="center"/>
                    <w:rPr>
                      <w:rFonts w:hint="default" w:ascii="Times New Roman" w:hAnsi="Times New Roman" w:eastAsia="宋体"/>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250</w:t>
                  </w:r>
                </w:p>
              </w:tc>
              <w:tc>
                <w:tcPr>
                  <w:tcW w:w="301" w:type="pct"/>
                  <w:noWrap w:val="0"/>
                  <w:vAlign w:val="center"/>
                </w:tcPr>
                <w:p w14:paraId="5AACD2A3">
                  <w:pPr>
                    <w:keepNext w:val="0"/>
                    <w:keepLines w:val="0"/>
                    <w:widowControl/>
                    <w:suppressLineNumbers w:val="0"/>
                    <w:jc w:val="center"/>
                    <w:textAlignment w:val="center"/>
                    <w:rPr>
                      <w:rFonts w:hint="default" w:ascii="Times New Roman" w:hAnsi="Times New Roman" w:eastAsia="宋体"/>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0.06</w:t>
                  </w:r>
                </w:p>
              </w:tc>
              <w:tc>
                <w:tcPr>
                  <w:tcW w:w="264" w:type="pct"/>
                  <w:vMerge w:val="continue"/>
                  <w:noWrap w:val="0"/>
                  <w:vAlign w:val="center"/>
                </w:tcPr>
                <w:p w14:paraId="68B20AE5">
                  <w:pPr>
                    <w:keepNext w:val="0"/>
                    <w:keepLines w:val="0"/>
                    <w:pageBreakBefore w:val="0"/>
                    <w:kinsoku/>
                    <w:wordWrap/>
                    <w:overflowPunct/>
                    <w:topLinePunct w:val="0"/>
                    <w:autoSpaceDE/>
                    <w:autoSpaceDN/>
                    <w:bidi w:val="0"/>
                    <w:adjustRightInd/>
                    <w:snapToGrid/>
                    <w:ind w:left="-48" w:leftChars="-20" w:right="-48" w:rightChars="-20"/>
                    <w:jc w:val="center"/>
                    <w:rPr>
                      <w:rFonts w:hint="eastAsia" w:ascii="Times New Roman" w:hAnsi="Times New Roman"/>
                      <w:b w:val="0"/>
                      <w:bCs w:val="0"/>
                      <w:color w:val="auto"/>
                      <w:sz w:val="21"/>
                      <w:szCs w:val="21"/>
                    </w:rPr>
                  </w:pPr>
                </w:p>
              </w:tc>
              <w:tc>
                <w:tcPr>
                  <w:tcW w:w="278" w:type="pct"/>
                  <w:noWrap w:val="0"/>
                  <w:vAlign w:val="center"/>
                </w:tcPr>
                <w:p w14:paraId="77819361">
                  <w:pPr>
                    <w:keepNext w:val="0"/>
                    <w:keepLines w:val="0"/>
                    <w:pageBreakBefore w:val="0"/>
                    <w:widowControl/>
                    <w:kinsoku/>
                    <w:wordWrap/>
                    <w:overflowPunct/>
                    <w:topLinePunct w:val="0"/>
                    <w:autoSpaceDE/>
                    <w:autoSpaceDN/>
                    <w:bidi w:val="0"/>
                    <w:adjustRightInd/>
                    <w:snapToGrid/>
                    <w:jc w:val="center"/>
                    <w:rPr>
                      <w:rFonts w:hint="eastAsia" w:ascii="Times New Roman" w:hAnsi="Times New Roman" w:eastAsia="宋体"/>
                      <w:b w:val="0"/>
                      <w:bCs w:val="0"/>
                      <w:color w:val="auto"/>
                      <w:sz w:val="21"/>
                      <w:szCs w:val="21"/>
                      <w:lang w:eastAsia="zh-CN"/>
                    </w:rPr>
                  </w:pPr>
                  <w:r>
                    <w:rPr>
                      <w:rFonts w:hint="eastAsia"/>
                      <w:b w:val="0"/>
                      <w:bCs w:val="0"/>
                      <w:color w:val="auto"/>
                      <w:sz w:val="21"/>
                      <w:szCs w:val="21"/>
                      <w:lang w:val="en-US" w:eastAsia="zh-CN"/>
                    </w:rPr>
                    <w:t>/</w:t>
                  </w:r>
                </w:p>
              </w:tc>
              <w:tc>
                <w:tcPr>
                  <w:tcW w:w="237" w:type="pct"/>
                  <w:vMerge w:val="continue"/>
                  <w:noWrap w:val="0"/>
                  <w:vAlign w:val="center"/>
                </w:tcPr>
                <w:p w14:paraId="3AB2DBB7">
                  <w:pPr>
                    <w:keepNext w:val="0"/>
                    <w:keepLines w:val="0"/>
                    <w:pageBreakBefore w:val="0"/>
                    <w:kinsoku/>
                    <w:wordWrap/>
                    <w:overflowPunct/>
                    <w:topLinePunct w:val="0"/>
                    <w:autoSpaceDE/>
                    <w:autoSpaceDN/>
                    <w:bidi w:val="0"/>
                    <w:adjustRightInd/>
                    <w:snapToGrid/>
                    <w:ind w:left="-48" w:leftChars="-20" w:right="-48" w:rightChars="-20"/>
                    <w:jc w:val="center"/>
                    <w:rPr>
                      <w:rFonts w:hint="eastAsia" w:ascii="Times New Roman" w:hAnsi="Times New Roman"/>
                      <w:b w:val="0"/>
                      <w:bCs w:val="0"/>
                      <w:color w:val="auto"/>
                      <w:sz w:val="21"/>
                      <w:szCs w:val="21"/>
                    </w:rPr>
                  </w:pPr>
                </w:p>
              </w:tc>
              <w:tc>
                <w:tcPr>
                  <w:tcW w:w="241" w:type="pct"/>
                  <w:vMerge w:val="continue"/>
                  <w:noWrap w:val="0"/>
                  <w:vAlign w:val="center"/>
                </w:tcPr>
                <w:p w14:paraId="00FC7200">
                  <w:pPr>
                    <w:keepNext w:val="0"/>
                    <w:keepLines w:val="0"/>
                    <w:pageBreakBefore w:val="0"/>
                    <w:kinsoku/>
                    <w:wordWrap/>
                    <w:overflowPunct/>
                    <w:topLinePunct w:val="0"/>
                    <w:autoSpaceDE/>
                    <w:autoSpaceDN/>
                    <w:bidi w:val="0"/>
                    <w:adjustRightInd/>
                    <w:snapToGrid/>
                    <w:ind w:left="-48" w:leftChars="-20" w:right="-48" w:rightChars="-20"/>
                    <w:jc w:val="center"/>
                    <w:rPr>
                      <w:rFonts w:hint="eastAsia" w:ascii="Times New Roman" w:hAnsi="Times New Roman"/>
                      <w:b w:val="0"/>
                      <w:bCs w:val="0"/>
                      <w:color w:val="auto"/>
                      <w:sz w:val="21"/>
                      <w:szCs w:val="21"/>
                    </w:rPr>
                  </w:pPr>
                </w:p>
              </w:tc>
              <w:tc>
                <w:tcPr>
                  <w:tcW w:w="231" w:type="pct"/>
                  <w:vMerge w:val="continue"/>
                  <w:noWrap w:val="0"/>
                  <w:vAlign w:val="center"/>
                </w:tcPr>
                <w:p w14:paraId="116DE3FB">
                  <w:pPr>
                    <w:keepNext w:val="0"/>
                    <w:keepLines w:val="0"/>
                    <w:pageBreakBefore w:val="0"/>
                    <w:kinsoku/>
                    <w:wordWrap/>
                    <w:overflowPunct/>
                    <w:topLinePunct w:val="0"/>
                    <w:autoSpaceDE/>
                    <w:autoSpaceDN/>
                    <w:bidi w:val="0"/>
                    <w:adjustRightInd/>
                    <w:snapToGrid/>
                    <w:ind w:left="-48" w:leftChars="-20" w:right="-48" w:rightChars="-20"/>
                    <w:jc w:val="center"/>
                    <w:rPr>
                      <w:rFonts w:hint="eastAsia" w:ascii="Times New Roman" w:hAnsi="Times New Roman"/>
                      <w:b w:val="0"/>
                      <w:bCs w:val="0"/>
                      <w:color w:val="auto"/>
                      <w:sz w:val="21"/>
                      <w:szCs w:val="21"/>
                    </w:rPr>
                  </w:pPr>
                </w:p>
              </w:tc>
              <w:tc>
                <w:tcPr>
                  <w:tcW w:w="306" w:type="pct"/>
                  <w:noWrap w:val="0"/>
                  <w:vAlign w:val="center"/>
                </w:tcPr>
                <w:p w14:paraId="14151D6B">
                  <w:pPr>
                    <w:keepNext w:val="0"/>
                    <w:keepLines w:val="0"/>
                    <w:widowControl/>
                    <w:suppressLineNumbers w:val="0"/>
                    <w:jc w:val="center"/>
                    <w:textAlignment w:val="center"/>
                    <w:rPr>
                      <w:rFonts w:hint="eastAsia" w:ascii="Times New Roman" w:hAnsi="Times New Roman"/>
                      <w:b w:val="0"/>
                      <w:bCs w:val="0"/>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250</w:t>
                  </w:r>
                </w:p>
              </w:tc>
              <w:tc>
                <w:tcPr>
                  <w:tcW w:w="300" w:type="pct"/>
                  <w:noWrap w:val="0"/>
                  <w:vAlign w:val="center"/>
                </w:tcPr>
                <w:p w14:paraId="0284B4FF">
                  <w:pPr>
                    <w:keepNext w:val="0"/>
                    <w:keepLines w:val="0"/>
                    <w:widowControl/>
                    <w:suppressLineNumbers w:val="0"/>
                    <w:jc w:val="center"/>
                    <w:textAlignment w:val="center"/>
                    <w:rPr>
                      <w:rFonts w:ascii="Times New Roman" w:hAnsi="Times New Roman"/>
                      <w:b w:val="0"/>
                      <w:bCs w:val="0"/>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0.06</w:t>
                  </w:r>
                </w:p>
              </w:tc>
              <w:tc>
                <w:tcPr>
                  <w:tcW w:w="295" w:type="pct"/>
                  <w:vMerge w:val="continue"/>
                  <w:noWrap w:val="0"/>
                  <w:vAlign w:val="center"/>
                </w:tcPr>
                <w:p w14:paraId="25592D47">
                  <w:pPr>
                    <w:keepNext w:val="0"/>
                    <w:keepLines w:val="0"/>
                    <w:pageBreakBefore w:val="0"/>
                    <w:kinsoku/>
                    <w:wordWrap/>
                    <w:overflowPunct/>
                    <w:topLinePunct w:val="0"/>
                    <w:autoSpaceDE/>
                    <w:autoSpaceDN/>
                    <w:bidi w:val="0"/>
                    <w:adjustRightInd/>
                    <w:snapToGrid/>
                    <w:ind w:left="-48" w:leftChars="-20" w:right="-48" w:rightChars="-20"/>
                    <w:jc w:val="center"/>
                    <w:rPr>
                      <w:rFonts w:hint="eastAsia" w:ascii="Times New Roman" w:hAnsi="Times New Roman"/>
                      <w:b w:val="0"/>
                      <w:bCs w:val="0"/>
                      <w:color w:val="auto"/>
                      <w:sz w:val="21"/>
                      <w:szCs w:val="21"/>
                    </w:rPr>
                  </w:pPr>
                </w:p>
              </w:tc>
              <w:tc>
                <w:tcPr>
                  <w:tcW w:w="219" w:type="pct"/>
                  <w:vMerge w:val="continue"/>
                  <w:noWrap w:val="0"/>
                  <w:vAlign w:val="center"/>
                </w:tcPr>
                <w:p w14:paraId="03538D00">
                  <w:pPr>
                    <w:keepNext w:val="0"/>
                    <w:keepLines w:val="0"/>
                    <w:pageBreakBefore w:val="0"/>
                    <w:kinsoku/>
                    <w:wordWrap/>
                    <w:overflowPunct/>
                    <w:topLinePunct w:val="0"/>
                    <w:autoSpaceDE/>
                    <w:autoSpaceDN/>
                    <w:bidi w:val="0"/>
                    <w:adjustRightInd/>
                    <w:snapToGrid/>
                    <w:ind w:left="-48" w:leftChars="-20" w:right="-48" w:rightChars="-20"/>
                    <w:jc w:val="center"/>
                    <w:rPr>
                      <w:rFonts w:hint="eastAsia" w:ascii="Times New Roman" w:hAnsi="Times New Roman"/>
                      <w:b w:val="0"/>
                      <w:bCs w:val="0"/>
                      <w:color w:val="auto"/>
                      <w:sz w:val="21"/>
                      <w:szCs w:val="21"/>
                    </w:rPr>
                  </w:pPr>
                </w:p>
              </w:tc>
              <w:tc>
                <w:tcPr>
                  <w:tcW w:w="221" w:type="pct"/>
                  <w:vMerge w:val="continue"/>
                  <w:noWrap w:val="0"/>
                  <w:vAlign w:val="center"/>
                </w:tcPr>
                <w:p w14:paraId="36780070">
                  <w:pPr>
                    <w:keepNext w:val="0"/>
                    <w:keepLines w:val="0"/>
                    <w:pageBreakBefore w:val="0"/>
                    <w:kinsoku/>
                    <w:wordWrap/>
                    <w:overflowPunct/>
                    <w:topLinePunct w:val="0"/>
                    <w:autoSpaceDE/>
                    <w:autoSpaceDN/>
                    <w:bidi w:val="0"/>
                    <w:adjustRightInd/>
                    <w:snapToGrid/>
                    <w:ind w:left="-48" w:leftChars="-20" w:right="-48" w:rightChars="-20"/>
                    <w:jc w:val="center"/>
                    <w:rPr>
                      <w:rFonts w:hint="eastAsia" w:ascii="Times New Roman" w:hAnsi="Times New Roman"/>
                      <w:b w:val="0"/>
                      <w:bCs w:val="0"/>
                      <w:color w:val="auto"/>
                      <w:sz w:val="21"/>
                      <w:szCs w:val="21"/>
                    </w:rPr>
                  </w:pPr>
                </w:p>
              </w:tc>
              <w:tc>
                <w:tcPr>
                  <w:tcW w:w="428" w:type="pct"/>
                  <w:vMerge w:val="continue"/>
                  <w:noWrap w:val="0"/>
                  <w:vAlign w:val="center"/>
                </w:tcPr>
                <w:p w14:paraId="6F4C47C1">
                  <w:pPr>
                    <w:keepNext w:val="0"/>
                    <w:keepLines w:val="0"/>
                    <w:pageBreakBefore w:val="0"/>
                    <w:kinsoku/>
                    <w:wordWrap/>
                    <w:overflowPunct/>
                    <w:topLinePunct w:val="0"/>
                    <w:autoSpaceDE/>
                    <w:autoSpaceDN/>
                    <w:bidi w:val="0"/>
                    <w:adjustRightInd/>
                    <w:snapToGrid/>
                    <w:ind w:left="-48" w:leftChars="-20" w:right="-48" w:rightChars="-20"/>
                    <w:jc w:val="center"/>
                    <w:rPr>
                      <w:rFonts w:hint="eastAsia" w:ascii="Times New Roman" w:hAnsi="Times New Roman"/>
                      <w:b w:val="0"/>
                      <w:bCs w:val="0"/>
                      <w:color w:val="auto"/>
                      <w:sz w:val="21"/>
                      <w:szCs w:val="21"/>
                    </w:rPr>
                  </w:pPr>
                </w:p>
              </w:tc>
              <w:tc>
                <w:tcPr>
                  <w:tcW w:w="193" w:type="pct"/>
                  <w:vMerge w:val="continue"/>
                  <w:noWrap w:val="0"/>
                  <w:vAlign w:val="center"/>
                </w:tcPr>
                <w:p w14:paraId="130A66CD">
                  <w:pPr>
                    <w:keepNext w:val="0"/>
                    <w:keepLines w:val="0"/>
                    <w:pageBreakBefore w:val="0"/>
                    <w:kinsoku/>
                    <w:wordWrap/>
                    <w:overflowPunct/>
                    <w:topLinePunct w:val="0"/>
                    <w:autoSpaceDE/>
                    <w:autoSpaceDN/>
                    <w:bidi w:val="0"/>
                    <w:adjustRightInd/>
                    <w:snapToGrid/>
                    <w:ind w:left="-48" w:leftChars="-20" w:right="-48" w:rightChars="-20"/>
                    <w:jc w:val="center"/>
                    <w:rPr>
                      <w:rFonts w:hint="eastAsia" w:ascii="Times New Roman" w:hAnsi="Times New Roman"/>
                      <w:b w:val="0"/>
                      <w:bCs w:val="0"/>
                      <w:color w:val="auto"/>
                      <w:sz w:val="21"/>
                      <w:szCs w:val="21"/>
                    </w:rPr>
                  </w:pPr>
                </w:p>
              </w:tc>
              <w:tc>
                <w:tcPr>
                  <w:tcW w:w="214" w:type="pct"/>
                  <w:vMerge w:val="continue"/>
                  <w:noWrap w:val="0"/>
                  <w:vAlign w:val="center"/>
                </w:tcPr>
                <w:p w14:paraId="232BABCC">
                  <w:pPr>
                    <w:keepNext w:val="0"/>
                    <w:keepLines w:val="0"/>
                    <w:pageBreakBefore w:val="0"/>
                    <w:kinsoku/>
                    <w:wordWrap/>
                    <w:overflowPunct/>
                    <w:topLinePunct w:val="0"/>
                    <w:autoSpaceDE/>
                    <w:autoSpaceDN/>
                    <w:bidi w:val="0"/>
                    <w:adjustRightInd/>
                    <w:snapToGrid/>
                    <w:ind w:left="-48" w:leftChars="-20" w:right="-48" w:rightChars="-20"/>
                    <w:jc w:val="center"/>
                    <w:rPr>
                      <w:rFonts w:hint="eastAsia" w:ascii="Times New Roman" w:hAnsi="Times New Roman"/>
                      <w:b w:val="0"/>
                      <w:bCs w:val="0"/>
                      <w:color w:val="auto"/>
                      <w:sz w:val="21"/>
                      <w:szCs w:val="21"/>
                    </w:rPr>
                  </w:pPr>
                </w:p>
              </w:tc>
              <w:tc>
                <w:tcPr>
                  <w:tcW w:w="265" w:type="pct"/>
                  <w:vMerge w:val="continue"/>
                  <w:noWrap w:val="0"/>
                  <w:vAlign w:val="center"/>
                </w:tcPr>
                <w:p w14:paraId="3E1182AA">
                  <w:pPr>
                    <w:keepNext w:val="0"/>
                    <w:keepLines w:val="0"/>
                    <w:pageBreakBefore w:val="0"/>
                    <w:kinsoku/>
                    <w:wordWrap/>
                    <w:overflowPunct/>
                    <w:topLinePunct w:val="0"/>
                    <w:autoSpaceDE/>
                    <w:autoSpaceDN/>
                    <w:bidi w:val="0"/>
                    <w:adjustRightInd/>
                    <w:snapToGrid/>
                    <w:ind w:left="-48" w:leftChars="-20" w:right="-48" w:rightChars="-20"/>
                    <w:jc w:val="center"/>
                    <w:rPr>
                      <w:rFonts w:hint="eastAsia" w:ascii="Times New Roman" w:hAnsi="Times New Roman"/>
                      <w:b w:val="0"/>
                      <w:bCs w:val="0"/>
                      <w:color w:val="auto"/>
                      <w:sz w:val="21"/>
                      <w:szCs w:val="21"/>
                    </w:rPr>
                  </w:pPr>
                </w:p>
              </w:tc>
              <w:tc>
                <w:tcPr>
                  <w:tcW w:w="204" w:type="pct"/>
                  <w:noWrap w:val="0"/>
                  <w:vAlign w:val="center"/>
                </w:tcPr>
                <w:p w14:paraId="55D49281">
                  <w:pPr>
                    <w:keepNext w:val="0"/>
                    <w:keepLines w:val="0"/>
                    <w:pageBreakBefore w:val="0"/>
                    <w:widowControl/>
                    <w:kinsoku/>
                    <w:wordWrap/>
                    <w:overflowPunct/>
                    <w:topLinePunct w:val="0"/>
                    <w:autoSpaceDE/>
                    <w:autoSpaceDN/>
                    <w:bidi w:val="0"/>
                    <w:adjustRightInd/>
                    <w:snapToGrid/>
                    <w:jc w:val="center"/>
                    <w:rPr>
                      <w:rFonts w:hint="eastAsia" w:ascii="Times New Roman" w:hAnsi="Times New Roman" w:eastAsia="宋体"/>
                      <w:b w:val="0"/>
                      <w:bCs w:val="0"/>
                      <w:color w:val="auto"/>
                      <w:kern w:val="2"/>
                      <w:sz w:val="21"/>
                      <w:szCs w:val="21"/>
                      <w:lang w:val="en-US" w:eastAsia="zh-CN" w:bidi="ar-SA"/>
                    </w:rPr>
                  </w:pPr>
                  <w:r>
                    <w:rPr>
                      <w:rFonts w:hint="eastAsia" w:ascii="Times New Roman" w:hAnsi="Times New Roman"/>
                      <w:b w:val="0"/>
                      <w:bCs w:val="0"/>
                      <w:color w:val="auto"/>
                      <w:sz w:val="21"/>
                      <w:szCs w:val="21"/>
                    </w:rPr>
                    <w:t>/</w:t>
                  </w:r>
                </w:p>
              </w:tc>
            </w:tr>
            <w:tr w14:paraId="02781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88" w:type="pct"/>
                  <w:vMerge w:val="continue"/>
                  <w:noWrap w:val="0"/>
                  <w:vAlign w:val="center"/>
                </w:tcPr>
                <w:p w14:paraId="7A66F268">
                  <w:pPr>
                    <w:keepNext w:val="0"/>
                    <w:keepLines w:val="0"/>
                    <w:pageBreakBefore w:val="0"/>
                    <w:kinsoku/>
                    <w:wordWrap/>
                    <w:overflowPunct/>
                    <w:topLinePunct w:val="0"/>
                    <w:autoSpaceDE/>
                    <w:autoSpaceDN/>
                    <w:bidi w:val="0"/>
                    <w:adjustRightInd/>
                    <w:snapToGrid/>
                    <w:ind w:left="-48" w:leftChars="-20" w:right="-48" w:rightChars="-20"/>
                    <w:jc w:val="center"/>
                    <w:rPr>
                      <w:rFonts w:hint="eastAsia" w:ascii="Times New Roman" w:hAnsi="Times New Roman"/>
                      <w:b w:val="0"/>
                      <w:bCs w:val="0"/>
                      <w:color w:val="auto"/>
                      <w:sz w:val="21"/>
                      <w:szCs w:val="21"/>
                    </w:rPr>
                  </w:pPr>
                </w:p>
              </w:tc>
              <w:tc>
                <w:tcPr>
                  <w:tcW w:w="304" w:type="pct"/>
                  <w:noWrap w:val="0"/>
                  <w:vAlign w:val="center"/>
                </w:tcPr>
                <w:p w14:paraId="7D4ECE9B">
                  <w:pPr>
                    <w:keepNext w:val="0"/>
                    <w:keepLines w:val="0"/>
                    <w:pageBreakBefore w:val="0"/>
                    <w:widowControl/>
                    <w:kinsoku/>
                    <w:wordWrap/>
                    <w:overflowPunct/>
                    <w:topLinePunct w:val="0"/>
                    <w:autoSpaceDE/>
                    <w:autoSpaceDN/>
                    <w:bidi w:val="0"/>
                    <w:adjustRightInd/>
                    <w:snapToGrid/>
                    <w:jc w:val="center"/>
                    <w:rPr>
                      <w:rFonts w:hint="eastAsia" w:ascii="Times New Roman" w:hAnsi="Times New Roman"/>
                      <w:b w:val="0"/>
                      <w:bCs w:val="0"/>
                      <w:color w:val="auto"/>
                      <w:sz w:val="21"/>
                      <w:szCs w:val="21"/>
                    </w:rPr>
                  </w:pPr>
                  <w:r>
                    <w:rPr>
                      <w:rFonts w:ascii="Times New Roman" w:hAnsi="Times New Roman"/>
                      <w:b w:val="0"/>
                      <w:bCs w:val="0"/>
                      <w:color w:val="auto"/>
                      <w:sz w:val="21"/>
                      <w:szCs w:val="21"/>
                    </w:rPr>
                    <w:t>BOD</w:t>
                  </w:r>
                  <w:r>
                    <w:rPr>
                      <w:rFonts w:ascii="Times New Roman" w:hAnsi="Times New Roman"/>
                      <w:b w:val="0"/>
                      <w:bCs w:val="0"/>
                      <w:color w:val="auto"/>
                      <w:sz w:val="21"/>
                      <w:szCs w:val="21"/>
                      <w:vertAlign w:val="subscript"/>
                    </w:rPr>
                    <w:t>5</w:t>
                  </w:r>
                </w:p>
              </w:tc>
              <w:tc>
                <w:tcPr>
                  <w:tcW w:w="307" w:type="pct"/>
                  <w:noWrap w:val="0"/>
                  <w:vAlign w:val="center"/>
                </w:tcPr>
                <w:p w14:paraId="5068CE17">
                  <w:pPr>
                    <w:keepNext w:val="0"/>
                    <w:keepLines w:val="0"/>
                    <w:widowControl/>
                    <w:suppressLineNumbers w:val="0"/>
                    <w:jc w:val="center"/>
                    <w:textAlignment w:val="center"/>
                    <w:rPr>
                      <w:rFonts w:hint="default" w:ascii="Times New Roman" w:hAnsi="Times New Roman" w:eastAsia="宋体"/>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110</w:t>
                  </w:r>
                </w:p>
              </w:tc>
              <w:tc>
                <w:tcPr>
                  <w:tcW w:w="301" w:type="pct"/>
                  <w:noWrap w:val="0"/>
                  <w:vAlign w:val="center"/>
                </w:tcPr>
                <w:p w14:paraId="575F3B6A">
                  <w:pPr>
                    <w:keepNext w:val="0"/>
                    <w:keepLines w:val="0"/>
                    <w:widowControl/>
                    <w:suppressLineNumbers w:val="0"/>
                    <w:jc w:val="center"/>
                    <w:textAlignment w:val="center"/>
                    <w:rPr>
                      <w:rFonts w:hint="default" w:ascii="Times New Roman" w:hAnsi="Times New Roman" w:eastAsia="宋体"/>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0.0264</w:t>
                  </w:r>
                </w:p>
              </w:tc>
              <w:tc>
                <w:tcPr>
                  <w:tcW w:w="264" w:type="pct"/>
                  <w:vMerge w:val="continue"/>
                  <w:noWrap w:val="0"/>
                  <w:vAlign w:val="center"/>
                </w:tcPr>
                <w:p w14:paraId="783B625F">
                  <w:pPr>
                    <w:keepNext w:val="0"/>
                    <w:keepLines w:val="0"/>
                    <w:pageBreakBefore w:val="0"/>
                    <w:kinsoku/>
                    <w:wordWrap/>
                    <w:overflowPunct/>
                    <w:topLinePunct w:val="0"/>
                    <w:autoSpaceDE/>
                    <w:autoSpaceDN/>
                    <w:bidi w:val="0"/>
                    <w:adjustRightInd/>
                    <w:snapToGrid/>
                    <w:ind w:left="-48" w:leftChars="-20" w:right="-48" w:rightChars="-20"/>
                    <w:jc w:val="center"/>
                    <w:rPr>
                      <w:rFonts w:hint="eastAsia" w:ascii="Times New Roman" w:hAnsi="Times New Roman"/>
                      <w:b w:val="0"/>
                      <w:bCs w:val="0"/>
                      <w:color w:val="auto"/>
                      <w:sz w:val="21"/>
                      <w:szCs w:val="21"/>
                    </w:rPr>
                  </w:pPr>
                </w:p>
              </w:tc>
              <w:tc>
                <w:tcPr>
                  <w:tcW w:w="278" w:type="pct"/>
                  <w:noWrap w:val="0"/>
                  <w:vAlign w:val="center"/>
                </w:tcPr>
                <w:p w14:paraId="1C1DC03B">
                  <w:pPr>
                    <w:keepNext w:val="0"/>
                    <w:keepLines w:val="0"/>
                    <w:pageBreakBefore w:val="0"/>
                    <w:widowControl/>
                    <w:kinsoku/>
                    <w:wordWrap/>
                    <w:overflowPunct/>
                    <w:topLinePunct w:val="0"/>
                    <w:autoSpaceDE/>
                    <w:autoSpaceDN/>
                    <w:bidi w:val="0"/>
                    <w:adjustRightInd/>
                    <w:snapToGrid/>
                    <w:jc w:val="center"/>
                    <w:rPr>
                      <w:rFonts w:hint="eastAsia" w:ascii="Times New Roman" w:hAnsi="Times New Roman" w:eastAsia="宋体"/>
                      <w:b w:val="0"/>
                      <w:bCs w:val="0"/>
                      <w:color w:val="auto"/>
                      <w:sz w:val="21"/>
                      <w:szCs w:val="21"/>
                      <w:lang w:eastAsia="zh-CN"/>
                    </w:rPr>
                  </w:pPr>
                  <w:r>
                    <w:rPr>
                      <w:rFonts w:hint="eastAsia"/>
                      <w:b w:val="0"/>
                      <w:bCs w:val="0"/>
                      <w:color w:val="auto"/>
                      <w:sz w:val="21"/>
                      <w:szCs w:val="21"/>
                      <w:lang w:val="en-US" w:eastAsia="zh-CN"/>
                    </w:rPr>
                    <w:t>/</w:t>
                  </w:r>
                </w:p>
              </w:tc>
              <w:tc>
                <w:tcPr>
                  <w:tcW w:w="237" w:type="pct"/>
                  <w:vMerge w:val="continue"/>
                  <w:noWrap w:val="0"/>
                  <w:vAlign w:val="center"/>
                </w:tcPr>
                <w:p w14:paraId="63B01A0A">
                  <w:pPr>
                    <w:keepNext w:val="0"/>
                    <w:keepLines w:val="0"/>
                    <w:pageBreakBefore w:val="0"/>
                    <w:kinsoku/>
                    <w:wordWrap/>
                    <w:overflowPunct/>
                    <w:topLinePunct w:val="0"/>
                    <w:autoSpaceDE/>
                    <w:autoSpaceDN/>
                    <w:bidi w:val="0"/>
                    <w:adjustRightInd/>
                    <w:snapToGrid/>
                    <w:ind w:left="-48" w:leftChars="-20" w:right="-48" w:rightChars="-20"/>
                    <w:jc w:val="center"/>
                    <w:rPr>
                      <w:rFonts w:hint="eastAsia" w:ascii="Times New Roman" w:hAnsi="Times New Roman"/>
                      <w:b w:val="0"/>
                      <w:bCs w:val="0"/>
                      <w:color w:val="auto"/>
                      <w:sz w:val="21"/>
                      <w:szCs w:val="21"/>
                    </w:rPr>
                  </w:pPr>
                </w:p>
              </w:tc>
              <w:tc>
                <w:tcPr>
                  <w:tcW w:w="241" w:type="pct"/>
                  <w:vMerge w:val="continue"/>
                  <w:noWrap w:val="0"/>
                  <w:vAlign w:val="center"/>
                </w:tcPr>
                <w:p w14:paraId="7BF85EA5">
                  <w:pPr>
                    <w:keepNext w:val="0"/>
                    <w:keepLines w:val="0"/>
                    <w:pageBreakBefore w:val="0"/>
                    <w:kinsoku/>
                    <w:wordWrap/>
                    <w:overflowPunct/>
                    <w:topLinePunct w:val="0"/>
                    <w:autoSpaceDE/>
                    <w:autoSpaceDN/>
                    <w:bidi w:val="0"/>
                    <w:adjustRightInd/>
                    <w:snapToGrid/>
                    <w:ind w:left="-48" w:leftChars="-20" w:right="-48" w:rightChars="-20"/>
                    <w:jc w:val="center"/>
                    <w:rPr>
                      <w:rFonts w:hint="eastAsia" w:ascii="Times New Roman" w:hAnsi="Times New Roman"/>
                      <w:b w:val="0"/>
                      <w:bCs w:val="0"/>
                      <w:color w:val="auto"/>
                      <w:sz w:val="21"/>
                      <w:szCs w:val="21"/>
                    </w:rPr>
                  </w:pPr>
                </w:p>
              </w:tc>
              <w:tc>
                <w:tcPr>
                  <w:tcW w:w="231" w:type="pct"/>
                  <w:vMerge w:val="continue"/>
                  <w:noWrap w:val="0"/>
                  <w:vAlign w:val="center"/>
                </w:tcPr>
                <w:p w14:paraId="058988F0">
                  <w:pPr>
                    <w:keepNext w:val="0"/>
                    <w:keepLines w:val="0"/>
                    <w:pageBreakBefore w:val="0"/>
                    <w:kinsoku/>
                    <w:wordWrap/>
                    <w:overflowPunct/>
                    <w:topLinePunct w:val="0"/>
                    <w:autoSpaceDE/>
                    <w:autoSpaceDN/>
                    <w:bidi w:val="0"/>
                    <w:adjustRightInd/>
                    <w:snapToGrid/>
                    <w:ind w:left="-48" w:leftChars="-20" w:right="-48" w:rightChars="-20"/>
                    <w:jc w:val="center"/>
                    <w:rPr>
                      <w:rFonts w:hint="eastAsia" w:ascii="Times New Roman" w:hAnsi="Times New Roman"/>
                      <w:b w:val="0"/>
                      <w:bCs w:val="0"/>
                      <w:color w:val="auto"/>
                      <w:sz w:val="21"/>
                      <w:szCs w:val="21"/>
                    </w:rPr>
                  </w:pPr>
                </w:p>
              </w:tc>
              <w:tc>
                <w:tcPr>
                  <w:tcW w:w="306" w:type="pct"/>
                  <w:noWrap w:val="0"/>
                  <w:vAlign w:val="center"/>
                </w:tcPr>
                <w:p w14:paraId="7DA94C5B">
                  <w:pPr>
                    <w:keepNext w:val="0"/>
                    <w:keepLines w:val="0"/>
                    <w:widowControl/>
                    <w:suppressLineNumbers w:val="0"/>
                    <w:jc w:val="center"/>
                    <w:textAlignment w:val="center"/>
                    <w:rPr>
                      <w:rFonts w:hint="eastAsia" w:ascii="Times New Roman" w:hAnsi="Times New Roman"/>
                      <w:b w:val="0"/>
                      <w:bCs w:val="0"/>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110</w:t>
                  </w:r>
                </w:p>
              </w:tc>
              <w:tc>
                <w:tcPr>
                  <w:tcW w:w="300" w:type="pct"/>
                  <w:noWrap w:val="0"/>
                  <w:vAlign w:val="center"/>
                </w:tcPr>
                <w:p w14:paraId="137832A6">
                  <w:pPr>
                    <w:keepNext w:val="0"/>
                    <w:keepLines w:val="0"/>
                    <w:widowControl/>
                    <w:suppressLineNumbers w:val="0"/>
                    <w:jc w:val="center"/>
                    <w:textAlignment w:val="center"/>
                    <w:rPr>
                      <w:rFonts w:ascii="Times New Roman" w:hAnsi="Times New Roman"/>
                      <w:b w:val="0"/>
                      <w:bCs w:val="0"/>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0.0264</w:t>
                  </w:r>
                </w:p>
              </w:tc>
              <w:tc>
                <w:tcPr>
                  <w:tcW w:w="295" w:type="pct"/>
                  <w:vMerge w:val="continue"/>
                  <w:noWrap w:val="0"/>
                  <w:vAlign w:val="center"/>
                </w:tcPr>
                <w:p w14:paraId="053764CA">
                  <w:pPr>
                    <w:keepNext w:val="0"/>
                    <w:keepLines w:val="0"/>
                    <w:pageBreakBefore w:val="0"/>
                    <w:kinsoku/>
                    <w:wordWrap/>
                    <w:overflowPunct/>
                    <w:topLinePunct w:val="0"/>
                    <w:autoSpaceDE/>
                    <w:autoSpaceDN/>
                    <w:bidi w:val="0"/>
                    <w:adjustRightInd/>
                    <w:snapToGrid/>
                    <w:ind w:left="-48" w:leftChars="-20" w:right="-48" w:rightChars="-20"/>
                    <w:jc w:val="center"/>
                    <w:rPr>
                      <w:rFonts w:hint="eastAsia" w:ascii="Times New Roman" w:hAnsi="Times New Roman"/>
                      <w:b w:val="0"/>
                      <w:bCs w:val="0"/>
                      <w:color w:val="auto"/>
                      <w:sz w:val="21"/>
                      <w:szCs w:val="21"/>
                    </w:rPr>
                  </w:pPr>
                </w:p>
              </w:tc>
              <w:tc>
                <w:tcPr>
                  <w:tcW w:w="219" w:type="pct"/>
                  <w:vMerge w:val="continue"/>
                  <w:noWrap w:val="0"/>
                  <w:vAlign w:val="center"/>
                </w:tcPr>
                <w:p w14:paraId="16FCE9B0">
                  <w:pPr>
                    <w:keepNext w:val="0"/>
                    <w:keepLines w:val="0"/>
                    <w:pageBreakBefore w:val="0"/>
                    <w:kinsoku/>
                    <w:wordWrap/>
                    <w:overflowPunct/>
                    <w:topLinePunct w:val="0"/>
                    <w:autoSpaceDE/>
                    <w:autoSpaceDN/>
                    <w:bidi w:val="0"/>
                    <w:adjustRightInd/>
                    <w:snapToGrid/>
                    <w:ind w:left="-48" w:leftChars="-20" w:right="-48" w:rightChars="-20"/>
                    <w:jc w:val="center"/>
                    <w:rPr>
                      <w:rFonts w:hint="eastAsia" w:ascii="Times New Roman" w:hAnsi="Times New Roman"/>
                      <w:b w:val="0"/>
                      <w:bCs w:val="0"/>
                      <w:color w:val="auto"/>
                      <w:sz w:val="21"/>
                      <w:szCs w:val="21"/>
                    </w:rPr>
                  </w:pPr>
                </w:p>
              </w:tc>
              <w:tc>
                <w:tcPr>
                  <w:tcW w:w="221" w:type="pct"/>
                  <w:vMerge w:val="continue"/>
                  <w:noWrap w:val="0"/>
                  <w:vAlign w:val="center"/>
                </w:tcPr>
                <w:p w14:paraId="40D87CD3">
                  <w:pPr>
                    <w:keepNext w:val="0"/>
                    <w:keepLines w:val="0"/>
                    <w:pageBreakBefore w:val="0"/>
                    <w:kinsoku/>
                    <w:wordWrap/>
                    <w:overflowPunct/>
                    <w:topLinePunct w:val="0"/>
                    <w:autoSpaceDE/>
                    <w:autoSpaceDN/>
                    <w:bidi w:val="0"/>
                    <w:adjustRightInd/>
                    <w:snapToGrid/>
                    <w:ind w:left="-48" w:leftChars="-20" w:right="-48" w:rightChars="-20"/>
                    <w:jc w:val="center"/>
                    <w:rPr>
                      <w:rFonts w:hint="eastAsia" w:ascii="Times New Roman" w:hAnsi="Times New Roman"/>
                      <w:b w:val="0"/>
                      <w:bCs w:val="0"/>
                      <w:color w:val="auto"/>
                      <w:sz w:val="21"/>
                      <w:szCs w:val="21"/>
                    </w:rPr>
                  </w:pPr>
                </w:p>
              </w:tc>
              <w:tc>
                <w:tcPr>
                  <w:tcW w:w="428" w:type="pct"/>
                  <w:vMerge w:val="continue"/>
                  <w:noWrap w:val="0"/>
                  <w:vAlign w:val="center"/>
                </w:tcPr>
                <w:p w14:paraId="7B7E4926">
                  <w:pPr>
                    <w:keepNext w:val="0"/>
                    <w:keepLines w:val="0"/>
                    <w:pageBreakBefore w:val="0"/>
                    <w:kinsoku/>
                    <w:wordWrap/>
                    <w:overflowPunct/>
                    <w:topLinePunct w:val="0"/>
                    <w:autoSpaceDE/>
                    <w:autoSpaceDN/>
                    <w:bidi w:val="0"/>
                    <w:adjustRightInd/>
                    <w:snapToGrid/>
                    <w:ind w:left="-48" w:leftChars="-20" w:right="-48" w:rightChars="-20"/>
                    <w:jc w:val="center"/>
                    <w:rPr>
                      <w:rFonts w:hint="eastAsia" w:ascii="Times New Roman" w:hAnsi="Times New Roman"/>
                      <w:b w:val="0"/>
                      <w:bCs w:val="0"/>
                      <w:color w:val="auto"/>
                      <w:sz w:val="21"/>
                      <w:szCs w:val="21"/>
                    </w:rPr>
                  </w:pPr>
                </w:p>
              </w:tc>
              <w:tc>
                <w:tcPr>
                  <w:tcW w:w="193" w:type="pct"/>
                  <w:vMerge w:val="continue"/>
                  <w:noWrap w:val="0"/>
                  <w:vAlign w:val="center"/>
                </w:tcPr>
                <w:p w14:paraId="23780B70">
                  <w:pPr>
                    <w:keepNext w:val="0"/>
                    <w:keepLines w:val="0"/>
                    <w:pageBreakBefore w:val="0"/>
                    <w:kinsoku/>
                    <w:wordWrap/>
                    <w:overflowPunct/>
                    <w:topLinePunct w:val="0"/>
                    <w:autoSpaceDE/>
                    <w:autoSpaceDN/>
                    <w:bidi w:val="0"/>
                    <w:adjustRightInd/>
                    <w:snapToGrid/>
                    <w:ind w:left="-48" w:leftChars="-20" w:right="-48" w:rightChars="-20"/>
                    <w:jc w:val="center"/>
                    <w:rPr>
                      <w:rFonts w:hint="eastAsia" w:ascii="Times New Roman" w:hAnsi="Times New Roman"/>
                      <w:b w:val="0"/>
                      <w:bCs w:val="0"/>
                      <w:color w:val="auto"/>
                      <w:sz w:val="21"/>
                      <w:szCs w:val="21"/>
                    </w:rPr>
                  </w:pPr>
                </w:p>
              </w:tc>
              <w:tc>
                <w:tcPr>
                  <w:tcW w:w="214" w:type="pct"/>
                  <w:vMerge w:val="continue"/>
                  <w:noWrap w:val="0"/>
                  <w:vAlign w:val="center"/>
                </w:tcPr>
                <w:p w14:paraId="444DC264">
                  <w:pPr>
                    <w:keepNext w:val="0"/>
                    <w:keepLines w:val="0"/>
                    <w:pageBreakBefore w:val="0"/>
                    <w:kinsoku/>
                    <w:wordWrap/>
                    <w:overflowPunct/>
                    <w:topLinePunct w:val="0"/>
                    <w:autoSpaceDE/>
                    <w:autoSpaceDN/>
                    <w:bidi w:val="0"/>
                    <w:adjustRightInd/>
                    <w:snapToGrid/>
                    <w:ind w:left="-48" w:leftChars="-20" w:right="-48" w:rightChars="-20"/>
                    <w:jc w:val="center"/>
                    <w:rPr>
                      <w:rFonts w:hint="eastAsia" w:ascii="Times New Roman" w:hAnsi="Times New Roman"/>
                      <w:b w:val="0"/>
                      <w:bCs w:val="0"/>
                      <w:color w:val="auto"/>
                      <w:sz w:val="21"/>
                      <w:szCs w:val="21"/>
                    </w:rPr>
                  </w:pPr>
                </w:p>
              </w:tc>
              <w:tc>
                <w:tcPr>
                  <w:tcW w:w="265" w:type="pct"/>
                  <w:vMerge w:val="continue"/>
                  <w:noWrap w:val="0"/>
                  <w:vAlign w:val="center"/>
                </w:tcPr>
                <w:p w14:paraId="00BBF5C0">
                  <w:pPr>
                    <w:keepNext w:val="0"/>
                    <w:keepLines w:val="0"/>
                    <w:pageBreakBefore w:val="0"/>
                    <w:kinsoku/>
                    <w:wordWrap/>
                    <w:overflowPunct/>
                    <w:topLinePunct w:val="0"/>
                    <w:autoSpaceDE/>
                    <w:autoSpaceDN/>
                    <w:bidi w:val="0"/>
                    <w:adjustRightInd/>
                    <w:snapToGrid/>
                    <w:ind w:left="-48" w:leftChars="-20" w:right="-48" w:rightChars="-20"/>
                    <w:jc w:val="center"/>
                    <w:rPr>
                      <w:rFonts w:hint="eastAsia" w:ascii="Times New Roman" w:hAnsi="Times New Roman"/>
                      <w:b w:val="0"/>
                      <w:bCs w:val="0"/>
                      <w:color w:val="auto"/>
                      <w:sz w:val="21"/>
                      <w:szCs w:val="21"/>
                    </w:rPr>
                  </w:pPr>
                </w:p>
              </w:tc>
              <w:tc>
                <w:tcPr>
                  <w:tcW w:w="204" w:type="pct"/>
                  <w:noWrap w:val="0"/>
                  <w:vAlign w:val="center"/>
                </w:tcPr>
                <w:p w14:paraId="1DB7E0F4">
                  <w:pPr>
                    <w:keepNext w:val="0"/>
                    <w:keepLines w:val="0"/>
                    <w:pageBreakBefore w:val="0"/>
                    <w:widowControl/>
                    <w:kinsoku/>
                    <w:wordWrap/>
                    <w:overflowPunct/>
                    <w:topLinePunct w:val="0"/>
                    <w:autoSpaceDE/>
                    <w:autoSpaceDN/>
                    <w:bidi w:val="0"/>
                    <w:adjustRightInd/>
                    <w:snapToGrid/>
                    <w:jc w:val="center"/>
                    <w:rPr>
                      <w:rFonts w:hint="eastAsia" w:ascii="Times New Roman" w:hAnsi="Times New Roman" w:eastAsia="宋体"/>
                      <w:b w:val="0"/>
                      <w:bCs w:val="0"/>
                      <w:color w:val="auto"/>
                      <w:kern w:val="2"/>
                      <w:sz w:val="21"/>
                      <w:szCs w:val="21"/>
                      <w:lang w:val="en-US" w:eastAsia="zh-CN" w:bidi="ar-SA"/>
                    </w:rPr>
                  </w:pPr>
                  <w:r>
                    <w:rPr>
                      <w:rFonts w:hint="eastAsia" w:ascii="Times New Roman" w:hAnsi="Times New Roman"/>
                      <w:b w:val="0"/>
                      <w:bCs w:val="0"/>
                      <w:color w:val="auto"/>
                      <w:sz w:val="21"/>
                      <w:szCs w:val="21"/>
                    </w:rPr>
                    <w:t>/</w:t>
                  </w:r>
                </w:p>
              </w:tc>
            </w:tr>
            <w:tr w14:paraId="41BE6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88" w:type="pct"/>
                  <w:vMerge w:val="continue"/>
                  <w:noWrap w:val="0"/>
                  <w:vAlign w:val="center"/>
                </w:tcPr>
                <w:p w14:paraId="7B2B52E3">
                  <w:pPr>
                    <w:keepNext w:val="0"/>
                    <w:keepLines w:val="0"/>
                    <w:pageBreakBefore w:val="0"/>
                    <w:kinsoku/>
                    <w:wordWrap/>
                    <w:overflowPunct/>
                    <w:topLinePunct w:val="0"/>
                    <w:autoSpaceDE/>
                    <w:autoSpaceDN/>
                    <w:bidi w:val="0"/>
                    <w:adjustRightInd/>
                    <w:snapToGrid/>
                    <w:ind w:left="-48" w:leftChars="-20" w:right="-48" w:rightChars="-20"/>
                    <w:jc w:val="center"/>
                    <w:rPr>
                      <w:rFonts w:hint="eastAsia" w:ascii="Times New Roman" w:hAnsi="Times New Roman"/>
                      <w:b w:val="0"/>
                      <w:bCs w:val="0"/>
                      <w:color w:val="auto"/>
                      <w:sz w:val="21"/>
                      <w:szCs w:val="21"/>
                    </w:rPr>
                  </w:pPr>
                </w:p>
              </w:tc>
              <w:tc>
                <w:tcPr>
                  <w:tcW w:w="304" w:type="pct"/>
                  <w:noWrap w:val="0"/>
                  <w:vAlign w:val="center"/>
                </w:tcPr>
                <w:p w14:paraId="1097C2E4">
                  <w:pPr>
                    <w:keepNext w:val="0"/>
                    <w:keepLines w:val="0"/>
                    <w:pageBreakBefore w:val="0"/>
                    <w:widowControl/>
                    <w:kinsoku/>
                    <w:wordWrap/>
                    <w:overflowPunct/>
                    <w:topLinePunct w:val="0"/>
                    <w:autoSpaceDE/>
                    <w:autoSpaceDN/>
                    <w:bidi w:val="0"/>
                    <w:adjustRightInd/>
                    <w:snapToGrid/>
                    <w:jc w:val="center"/>
                    <w:rPr>
                      <w:rFonts w:hint="eastAsia" w:ascii="Times New Roman" w:hAnsi="Times New Roman"/>
                      <w:b w:val="0"/>
                      <w:bCs w:val="0"/>
                      <w:color w:val="auto"/>
                      <w:sz w:val="21"/>
                      <w:szCs w:val="21"/>
                    </w:rPr>
                  </w:pPr>
                  <w:r>
                    <w:rPr>
                      <w:rFonts w:ascii="Times New Roman" w:hAnsi="Times New Roman"/>
                      <w:b w:val="0"/>
                      <w:bCs w:val="0"/>
                      <w:color w:val="auto"/>
                      <w:sz w:val="21"/>
                      <w:szCs w:val="21"/>
                    </w:rPr>
                    <w:t>SS</w:t>
                  </w:r>
                </w:p>
              </w:tc>
              <w:tc>
                <w:tcPr>
                  <w:tcW w:w="307" w:type="pct"/>
                  <w:noWrap w:val="0"/>
                  <w:vAlign w:val="center"/>
                </w:tcPr>
                <w:p w14:paraId="59C904C1">
                  <w:pPr>
                    <w:keepNext w:val="0"/>
                    <w:keepLines w:val="0"/>
                    <w:widowControl/>
                    <w:suppressLineNumbers w:val="0"/>
                    <w:jc w:val="center"/>
                    <w:textAlignment w:val="center"/>
                    <w:rPr>
                      <w:rFonts w:hint="default" w:ascii="Times New Roman" w:hAnsi="Times New Roman" w:eastAsia="宋体"/>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301" w:type="pct"/>
                  <w:noWrap w:val="0"/>
                  <w:vAlign w:val="center"/>
                </w:tcPr>
                <w:p w14:paraId="5CC01881">
                  <w:pPr>
                    <w:keepNext w:val="0"/>
                    <w:keepLines w:val="0"/>
                    <w:widowControl/>
                    <w:suppressLineNumbers w:val="0"/>
                    <w:jc w:val="center"/>
                    <w:textAlignment w:val="center"/>
                    <w:rPr>
                      <w:rFonts w:hint="default" w:ascii="Times New Roman" w:hAnsi="Times New Roman" w:eastAsia="宋体"/>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0.024</w:t>
                  </w:r>
                </w:p>
              </w:tc>
              <w:tc>
                <w:tcPr>
                  <w:tcW w:w="264" w:type="pct"/>
                  <w:vMerge w:val="continue"/>
                  <w:noWrap w:val="0"/>
                  <w:vAlign w:val="center"/>
                </w:tcPr>
                <w:p w14:paraId="11AFFC07">
                  <w:pPr>
                    <w:keepNext w:val="0"/>
                    <w:keepLines w:val="0"/>
                    <w:pageBreakBefore w:val="0"/>
                    <w:kinsoku/>
                    <w:wordWrap/>
                    <w:overflowPunct/>
                    <w:topLinePunct w:val="0"/>
                    <w:autoSpaceDE/>
                    <w:autoSpaceDN/>
                    <w:bidi w:val="0"/>
                    <w:adjustRightInd/>
                    <w:snapToGrid/>
                    <w:ind w:left="-48" w:leftChars="-20" w:right="-48" w:rightChars="-20"/>
                    <w:jc w:val="center"/>
                    <w:rPr>
                      <w:rFonts w:hint="eastAsia" w:ascii="Times New Roman" w:hAnsi="Times New Roman"/>
                      <w:b w:val="0"/>
                      <w:bCs w:val="0"/>
                      <w:color w:val="auto"/>
                      <w:sz w:val="21"/>
                      <w:szCs w:val="21"/>
                    </w:rPr>
                  </w:pPr>
                </w:p>
              </w:tc>
              <w:tc>
                <w:tcPr>
                  <w:tcW w:w="278" w:type="pct"/>
                  <w:noWrap w:val="0"/>
                  <w:vAlign w:val="center"/>
                </w:tcPr>
                <w:p w14:paraId="0334EE06">
                  <w:pPr>
                    <w:keepNext w:val="0"/>
                    <w:keepLines w:val="0"/>
                    <w:pageBreakBefore w:val="0"/>
                    <w:widowControl/>
                    <w:kinsoku/>
                    <w:wordWrap/>
                    <w:overflowPunct/>
                    <w:topLinePunct w:val="0"/>
                    <w:autoSpaceDE/>
                    <w:autoSpaceDN/>
                    <w:bidi w:val="0"/>
                    <w:adjustRightInd/>
                    <w:snapToGrid/>
                    <w:jc w:val="center"/>
                    <w:rPr>
                      <w:rFonts w:hint="eastAsia" w:ascii="Times New Roman" w:hAnsi="Times New Roman" w:eastAsia="宋体"/>
                      <w:b w:val="0"/>
                      <w:bCs w:val="0"/>
                      <w:color w:val="auto"/>
                      <w:sz w:val="21"/>
                      <w:szCs w:val="21"/>
                      <w:lang w:eastAsia="zh-CN"/>
                    </w:rPr>
                  </w:pPr>
                  <w:r>
                    <w:rPr>
                      <w:rFonts w:hint="eastAsia"/>
                      <w:b w:val="0"/>
                      <w:bCs w:val="0"/>
                      <w:color w:val="auto"/>
                      <w:sz w:val="21"/>
                      <w:szCs w:val="21"/>
                      <w:lang w:val="en-US" w:eastAsia="zh-CN"/>
                    </w:rPr>
                    <w:t>/</w:t>
                  </w:r>
                </w:p>
              </w:tc>
              <w:tc>
                <w:tcPr>
                  <w:tcW w:w="237" w:type="pct"/>
                  <w:vMerge w:val="continue"/>
                  <w:noWrap w:val="0"/>
                  <w:vAlign w:val="center"/>
                </w:tcPr>
                <w:p w14:paraId="65D97595">
                  <w:pPr>
                    <w:keepNext w:val="0"/>
                    <w:keepLines w:val="0"/>
                    <w:pageBreakBefore w:val="0"/>
                    <w:kinsoku/>
                    <w:wordWrap/>
                    <w:overflowPunct/>
                    <w:topLinePunct w:val="0"/>
                    <w:autoSpaceDE/>
                    <w:autoSpaceDN/>
                    <w:bidi w:val="0"/>
                    <w:adjustRightInd/>
                    <w:snapToGrid/>
                    <w:ind w:left="-48" w:leftChars="-20" w:right="-48" w:rightChars="-20"/>
                    <w:jc w:val="center"/>
                    <w:rPr>
                      <w:rFonts w:hint="eastAsia" w:ascii="Times New Roman" w:hAnsi="Times New Roman"/>
                      <w:b w:val="0"/>
                      <w:bCs w:val="0"/>
                      <w:color w:val="auto"/>
                      <w:sz w:val="21"/>
                      <w:szCs w:val="21"/>
                    </w:rPr>
                  </w:pPr>
                </w:p>
              </w:tc>
              <w:tc>
                <w:tcPr>
                  <w:tcW w:w="241" w:type="pct"/>
                  <w:vMerge w:val="continue"/>
                  <w:noWrap w:val="0"/>
                  <w:vAlign w:val="center"/>
                </w:tcPr>
                <w:p w14:paraId="2199A503">
                  <w:pPr>
                    <w:keepNext w:val="0"/>
                    <w:keepLines w:val="0"/>
                    <w:pageBreakBefore w:val="0"/>
                    <w:kinsoku/>
                    <w:wordWrap/>
                    <w:overflowPunct/>
                    <w:topLinePunct w:val="0"/>
                    <w:autoSpaceDE/>
                    <w:autoSpaceDN/>
                    <w:bidi w:val="0"/>
                    <w:adjustRightInd/>
                    <w:snapToGrid/>
                    <w:ind w:left="-48" w:leftChars="-20" w:right="-48" w:rightChars="-20"/>
                    <w:jc w:val="center"/>
                    <w:rPr>
                      <w:rFonts w:hint="eastAsia" w:ascii="Times New Roman" w:hAnsi="Times New Roman"/>
                      <w:b w:val="0"/>
                      <w:bCs w:val="0"/>
                      <w:color w:val="auto"/>
                      <w:sz w:val="21"/>
                      <w:szCs w:val="21"/>
                    </w:rPr>
                  </w:pPr>
                </w:p>
              </w:tc>
              <w:tc>
                <w:tcPr>
                  <w:tcW w:w="231" w:type="pct"/>
                  <w:vMerge w:val="continue"/>
                  <w:noWrap w:val="0"/>
                  <w:vAlign w:val="center"/>
                </w:tcPr>
                <w:p w14:paraId="26B4429F">
                  <w:pPr>
                    <w:keepNext w:val="0"/>
                    <w:keepLines w:val="0"/>
                    <w:pageBreakBefore w:val="0"/>
                    <w:kinsoku/>
                    <w:wordWrap/>
                    <w:overflowPunct/>
                    <w:topLinePunct w:val="0"/>
                    <w:autoSpaceDE/>
                    <w:autoSpaceDN/>
                    <w:bidi w:val="0"/>
                    <w:adjustRightInd/>
                    <w:snapToGrid/>
                    <w:ind w:left="-48" w:leftChars="-20" w:right="-48" w:rightChars="-20"/>
                    <w:jc w:val="center"/>
                    <w:rPr>
                      <w:rFonts w:hint="eastAsia" w:ascii="Times New Roman" w:hAnsi="Times New Roman"/>
                      <w:b w:val="0"/>
                      <w:bCs w:val="0"/>
                      <w:color w:val="auto"/>
                      <w:sz w:val="21"/>
                      <w:szCs w:val="21"/>
                    </w:rPr>
                  </w:pPr>
                </w:p>
              </w:tc>
              <w:tc>
                <w:tcPr>
                  <w:tcW w:w="306" w:type="pct"/>
                  <w:noWrap w:val="0"/>
                  <w:vAlign w:val="center"/>
                </w:tcPr>
                <w:p w14:paraId="1544DB07">
                  <w:pPr>
                    <w:keepNext w:val="0"/>
                    <w:keepLines w:val="0"/>
                    <w:widowControl/>
                    <w:suppressLineNumbers w:val="0"/>
                    <w:jc w:val="center"/>
                    <w:textAlignment w:val="center"/>
                    <w:rPr>
                      <w:rFonts w:hint="eastAsia" w:ascii="Times New Roman" w:hAnsi="Times New Roman"/>
                      <w:b w:val="0"/>
                      <w:bCs w:val="0"/>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300" w:type="pct"/>
                  <w:noWrap w:val="0"/>
                  <w:vAlign w:val="center"/>
                </w:tcPr>
                <w:p w14:paraId="465BA0F6">
                  <w:pPr>
                    <w:keepNext w:val="0"/>
                    <w:keepLines w:val="0"/>
                    <w:widowControl/>
                    <w:suppressLineNumbers w:val="0"/>
                    <w:jc w:val="center"/>
                    <w:textAlignment w:val="center"/>
                    <w:rPr>
                      <w:rFonts w:ascii="Times New Roman" w:hAnsi="Times New Roman"/>
                      <w:b w:val="0"/>
                      <w:bCs w:val="0"/>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0.024</w:t>
                  </w:r>
                </w:p>
              </w:tc>
              <w:tc>
                <w:tcPr>
                  <w:tcW w:w="295" w:type="pct"/>
                  <w:vMerge w:val="continue"/>
                  <w:noWrap w:val="0"/>
                  <w:vAlign w:val="center"/>
                </w:tcPr>
                <w:p w14:paraId="267072A2">
                  <w:pPr>
                    <w:keepNext w:val="0"/>
                    <w:keepLines w:val="0"/>
                    <w:pageBreakBefore w:val="0"/>
                    <w:kinsoku/>
                    <w:wordWrap/>
                    <w:overflowPunct/>
                    <w:topLinePunct w:val="0"/>
                    <w:autoSpaceDE/>
                    <w:autoSpaceDN/>
                    <w:bidi w:val="0"/>
                    <w:adjustRightInd/>
                    <w:snapToGrid/>
                    <w:ind w:left="-48" w:leftChars="-20" w:right="-48" w:rightChars="-20"/>
                    <w:jc w:val="center"/>
                    <w:rPr>
                      <w:rFonts w:hint="eastAsia" w:ascii="Times New Roman" w:hAnsi="Times New Roman"/>
                      <w:b w:val="0"/>
                      <w:bCs w:val="0"/>
                      <w:color w:val="auto"/>
                      <w:sz w:val="21"/>
                      <w:szCs w:val="21"/>
                    </w:rPr>
                  </w:pPr>
                </w:p>
              </w:tc>
              <w:tc>
                <w:tcPr>
                  <w:tcW w:w="219" w:type="pct"/>
                  <w:vMerge w:val="continue"/>
                  <w:noWrap w:val="0"/>
                  <w:vAlign w:val="center"/>
                </w:tcPr>
                <w:p w14:paraId="0192C44A">
                  <w:pPr>
                    <w:keepNext w:val="0"/>
                    <w:keepLines w:val="0"/>
                    <w:pageBreakBefore w:val="0"/>
                    <w:kinsoku/>
                    <w:wordWrap/>
                    <w:overflowPunct/>
                    <w:topLinePunct w:val="0"/>
                    <w:autoSpaceDE/>
                    <w:autoSpaceDN/>
                    <w:bidi w:val="0"/>
                    <w:adjustRightInd/>
                    <w:snapToGrid/>
                    <w:ind w:left="-48" w:leftChars="-20" w:right="-48" w:rightChars="-20"/>
                    <w:jc w:val="center"/>
                    <w:rPr>
                      <w:rFonts w:hint="eastAsia" w:ascii="Times New Roman" w:hAnsi="Times New Roman"/>
                      <w:b w:val="0"/>
                      <w:bCs w:val="0"/>
                      <w:color w:val="auto"/>
                      <w:sz w:val="21"/>
                      <w:szCs w:val="21"/>
                    </w:rPr>
                  </w:pPr>
                </w:p>
              </w:tc>
              <w:tc>
                <w:tcPr>
                  <w:tcW w:w="221" w:type="pct"/>
                  <w:vMerge w:val="continue"/>
                  <w:noWrap w:val="0"/>
                  <w:vAlign w:val="center"/>
                </w:tcPr>
                <w:p w14:paraId="3DDF06B4">
                  <w:pPr>
                    <w:keepNext w:val="0"/>
                    <w:keepLines w:val="0"/>
                    <w:pageBreakBefore w:val="0"/>
                    <w:kinsoku/>
                    <w:wordWrap/>
                    <w:overflowPunct/>
                    <w:topLinePunct w:val="0"/>
                    <w:autoSpaceDE/>
                    <w:autoSpaceDN/>
                    <w:bidi w:val="0"/>
                    <w:adjustRightInd/>
                    <w:snapToGrid/>
                    <w:ind w:left="-48" w:leftChars="-20" w:right="-48" w:rightChars="-20"/>
                    <w:jc w:val="center"/>
                    <w:rPr>
                      <w:rFonts w:hint="eastAsia" w:ascii="Times New Roman" w:hAnsi="Times New Roman"/>
                      <w:b w:val="0"/>
                      <w:bCs w:val="0"/>
                      <w:color w:val="auto"/>
                      <w:sz w:val="21"/>
                      <w:szCs w:val="21"/>
                    </w:rPr>
                  </w:pPr>
                </w:p>
              </w:tc>
              <w:tc>
                <w:tcPr>
                  <w:tcW w:w="428" w:type="pct"/>
                  <w:vMerge w:val="continue"/>
                  <w:noWrap w:val="0"/>
                  <w:vAlign w:val="center"/>
                </w:tcPr>
                <w:p w14:paraId="28E6254B">
                  <w:pPr>
                    <w:keepNext w:val="0"/>
                    <w:keepLines w:val="0"/>
                    <w:pageBreakBefore w:val="0"/>
                    <w:kinsoku/>
                    <w:wordWrap/>
                    <w:overflowPunct/>
                    <w:topLinePunct w:val="0"/>
                    <w:autoSpaceDE/>
                    <w:autoSpaceDN/>
                    <w:bidi w:val="0"/>
                    <w:adjustRightInd/>
                    <w:snapToGrid/>
                    <w:ind w:left="-48" w:leftChars="-20" w:right="-48" w:rightChars="-20"/>
                    <w:jc w:val="center"/>
                    <w:rPr>
                      <w:rFonts w:hint="eastAsia" w:ascii="Times New Roman" w:hAnsi="Times New Roman"/>
                      <w:b w:val="0"/>
                      <w:bCs w:val="0"/>
                      <w:color w:val="auto"/>
                      <w:sz w:val="21"/>
                      <w:szCs w:val="21"/>
                    </w:rPr>
                  </w:pPr>
                </w:p>
              </w:tc>
              <w:tc>
                <w:tcPr>
                  <w:tcW w:w="193" w:type="pct"/>
                  <w:vMerge w:val="continue"/>
                  <w:noWrap w:val="0"/>
                  <w:vAlign w:val="center"/>
                </w:tcPr>
                <w:p w14:paraId="1C9D6F9E">
                  <w:pPr>
                    <w:keepNext w:val="0"/>
                    <w:keepLines w:val="0"/>
                    <w:pageBreakBefore w:val="0"/>
                    <w:kinsoku/>
                    <w:wordWrap/>
                    <w:overflowPunct/>
                    <w:topLinePunct w:val="0"/>
                    <w:autoSpaceDE/>
                    <w:autoSpaceDN/>
                    <w:bidi w:val="0"/>
                    <w:adjustRightInd/>
                    <w:snapToGrid/>
                    <w:ind w:left="-48" w:leftChars="-20" w:right="-48" w:rightChars="-20"/>
                    <w:jc w:val="center"/>
                    <w:rPr>
                      <w:rFonts w:hint="eastAsia" w:ascii="Times New Roman" w:hAnsi="Times New Roman"/>
                      <w:b w:val="0"/>
                      <w:bCs w:val="0"/>
                      <w:color w:val="auto"/>
                      <w:sz w:val="21"/>
                      <w:szCs w:val="21"/>
                    </w:rPr>
                  </w:pPr>
                </w:p>
              </w:tc>
              <w:tc>
                <w:tcPr>
                  <w:tcW w:w="214" w:type="pct"/>
                  <w:vMerge w:val="continue"/>
                  <w:noWrap w:val="0"/>
                  <w:vAlign w:val="center"/>
                </w:tcPr>
                <w:p w14:paraId="068183B0">
                  <w:pPr>
                    <w:keepNext w:val="0"/>
                    <w:keepLines w:val="0"/>
                    <w:pageBreakBefore w:val="0"/>
                    <w:kinsoku/>
                    <w:wordWrap/>
                    <w:overflowPunct/>
                    <w:topLinePunct w:val="0"/>
                    <w:autoSpaceDE/>
                    <w:autoSpaceDN/>
                    <w:bidi w:val="0"/>
                    <w:adjustRightInd/>
                    <w:snapToGrid/>
                    <w:ind w:left="-48" w:leftChars="-20" w:right="-48" w:rightChars="-20"/>
                    <w:jc w:val="center"/>
                    <w:rPr>
                      <w:rFonts w:hint="eastAsia" w:ascii="Times New Roman" w:hAnsi="Times New Roman"/>
                      <w:b w:val="0"/>
                      <w:bCs w:val="0"/>
                      <w:color w:val="auto"/>
                      <w:sz w:val="21"/>
                      <w:szCs w:val="21"/>
                    </w:rPr>
                  </w:pPr>
                </w:p>
              </w:tc>
              <w:tc>
                <w:tcPr>
                  <w:tcW w:w="265" w:type="pct"/>
                  <w:vMerge w:val="continue"/>
                  <w:noWrap w:val="0"/>
                  <w:vAlign w:val="center"/>
                </w:tcPr>
                <w:p w14:paraId="508FC890">
                  <w:pPr>
                    <w:keepNext w:val="0"/>
                    <w:keepLines w:val="0"/>
                    <w:pageBreakBefore w:val="0"/>
                    <w:kinsoku/>
                    <w:wordWrap/>
                    <w:overflowPunct/>
                    <w:topLinePunct w:val="0"/>
                    <w:autoSpaceDE/>
                    <w:autoSpaceDN/>
                    <w:bidi w:val="0"/>
                    <w:adjustRightInd/>
                    <w:snapToGrid/>
                    <w:ind w:left="-48" w:leftChars="-20" w:right="-48" w:rightChars="-20"/>
                    <w:jc w:val="center"/>
                    <w:rPr>
                      <w:rFonts w:hint="eastAsia" w:ascii="Times New Roman" w:hAnsi="Times New Roman"/>
                      <w:b w:val="0"/>
                      <w:bCs w:val="0"/>
                      <w:color w:val="auto"/>
                      <w:sz w:val="21"/>
                      <w:szCs w:val="21"/>
                    </w:rPr>
                  </w:pPr>
                </w:p>
              </w:tc>
              <w:tc>
                <w:tcPr>
                  <w:tcW w:w="204" w:type="pct"/>
                  <w:noWrap w:val="0"/>
                  <w:vAlign w:val="center"/>
                </w:tcPr>
                <w:p w14:paraId="34A978E7">
                  <w:pPr>
                    <w:keepNext w:val="0"/>
                    <w:keepLines w:val="0"/>
                    <w:pageBreakBefore w:val="0"/>
                    <w:widowControl/>
                    <w:kinsoku/>
                    <w:wordWrap/>
                    <w:overflowPunct/>
                    <w:topLinePunct w:val="0"/>
                    <w:autoSpaceDE/>
                    <w:autoSpaceDN/>
                    <w:bidi w:val="0"/>
                    <w:adjustRightInd/>
                    <w:snapToGrid/>
                    <w:jc w:val="center"/>
                    <w:rPr>
                      <w:rFonts w:hint="eastAsia" w:ascii="Times New Roman" w:hAnsi="Times New Roman" w:eastAsia="宋体"/>
                      <w:b w:val="0"/>
                      <w:bCs w:val="0"/>
                      <w:color w:val="auto"/>
                      <w:kern w:val="2"/>
                      <w:sz w:val="21"/>
                      <w:szCs w:val="21"/>
                      <w:lang w:val="en-US" w:eastAsia="zh-CN" w:bidi="ar-SA"/>
                    </w:rPr>
                  </w:pPr>
                  <w:r>
                    <w:rPr>
                      <w:rFonts w:hint="eastAsia" w:ascii="Times New Roman" w:hAnsi="Times New Roman"/>
                      <w:b w:val="0"/>
                      <w:bCs w:val="0"/>
                      <w:color w:val="auto"/>
                      <w:sz w:val="21"/>
                      <w:szCs w:val="21"/>
                    </w:rPr>
                    <w:t>/</w:t>
                  </w:r>
                </w:p>
              </w:tc>
            </w:tr>
            <w:tr w14:paraId="6C61F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188" w:type="pct"/>
                  <w:vMerge w:val="continue"/>
                  <w:noWrap w:val="0"/>
                  <w:vAlign w:val="center"/>
                </w:tcPr>
                <w:p w14:paraId="0232F3A1">
                  <w:pPr>
                    <w:keepNext w:val="0"/>
                    <w:keepLines w:val="0"/>
                    <w:pageBreakBefore w:val="0"/>
                    <w:kinsoku/>
                    <w:wordWrap/>
                    <w:overflowPunct/>
                    <w:topLinePunct w:val="0"/>
                    <w:autoSpaceDE/>
                    <w:autoSpaceDN/>
                    <w:bidi w:val="0"/>
                    <w:adjustRightInd/>
                    <w:snapToGrid/>
                    <w:ind w:left="-48" w:leftChars="-20" w:right="-48" w:rightChars="-20"/>
                    <w:jc w:val="center"/>
                    <w:rPr>
                      <w:rFonts w:hint="eastAsia" w:ascii="Times New Roman" w:hAnsi="Times New Roman"/>
                      <w:b w:val="0"/>
                      <w:bCs w:val="0"/>
                      <w:color w:val="auto"/>
                      <w:sz w:val="21"/>
                      <w:szCs w:val="21"/>
                    </w:rPr>
                  </w:pPr>
                </w:p>
              </w:tc>
              <w:tc>
                <w:tcPr>
                  <w:tcW w:w="304" w:type="pct"/>
                  <w:noWrap w:val="0"/>
                  <w:vAlign w:val="center"/>
                </w:tcPr>
                <w:p w14:paraId="3A213C1C">
                  <w:pPr>
                    <w:keepNext w:val="0"/>
                    <w:keepLines w:val="0"/>
                    <w:pageBreakBefore w:val="0"/>
                    <w:widowControl/>
                    <w:kinsoku/>
                    <w:wordWrap/>
                    <w:overflowPunct/>
                    <w:topLinePunct w:val="0"/>
                    <w:autoSpaceDE/>
                    <w:autoSpaceDN/>
                    <w:bidi w:val="0"/>
                    <w:adjustRightInd/>
                    <w:snapToGrid/>
                    <w:jc w:val="center"/>
                    <w:rPr>
                      <w:rFonts w:hint="eastAsia" w:ascii="Times New Roman" w:hAnsi="Times New Roman"/>
                      <w:b w:val="0"/>
                      <w:bCs w:val="0"/>
                      <w:color w:val="auto"/>
                      <w:sz w:val="21"/>
                      <w:szCs w:val="21"/>
                    </w:rPr>
                  </w:pPr>
                  <w:r>
                    <w:rPr>
                      <w:rFonts w:ascii="Times New Roman" w:hAnsi="Times New Roman"/>
                      <w:b w:val="0"/>
                      <w:bCs w:val="0"/>
                      <w:color w:val="auto"/>
                      <w:sz w:val="21"/>
                      <w:szCs w:val="21"/>
                    </w:rPr>
                    <w:t>NH</w:t>
                  </w:r>
                  <w:r>
                    <w:rPr>
                      <w:rFonts w:ascii="Times New Roman" w:hAnsi="Times New Roman"/>
                      <w:b w:val="0"/>
                      <w:bCs w:val="0"/>
                      <w:color w:val="auto"/>
                      <w:sz w:val="21"/>
                      <w:szCs w:val="21"/>
                      <w:vertAlign w:val="subscript"/>
                    </w:rPr>
                    <w:t>3</w:t>
                  </w:r>
                  <w:r>
                    <w:rPr>
                      <w:rFonts w:ascii="Times New Roman" w:hAnsi="Times New Roman"/>
                      <w:b w:val="0"/>
                      <w:bCs w:val="0"/>
                      <w:color w:val="auto"/>
                      <w:sz w:val="21"/>
                      <w:szCs w:val="21"/>
                    </w:rPr>
                    <w:t>-N</w:t>
                  </w:r>
                </w:p>
              </w:tc>
              <w:tc>
                <w:tcPr>
                  <w:tcW w:w="307" w:type="pct"/>
                  <w:noWrap w:val="0"/>
                  <w:vAlign w:val="center"/>
                </w:tcPr>
                <w:p w14:paraId="0B3A87A2">
                  <w:pPr>
                    <w:keepNext w:val="0"/>
                    <w:keepLines w:val="0"/>
                    <w:widowControl/>
                    <w:suppressLineNumbers w:val="0"/>
                    <w:jc w:val="center"/>
                    <w:textAlignment w:val="center"/>
                    <w:rPr>
                      <w:rFonts w:hint="default" w:ascii="Times New Roman" w:hAnsi="Times New Roman" w:eastAsia="宋体"/>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301" w:type="pct"/>
                  <w:noWrap w:val="0"/>
                  <w:vAlign w:val="center"/>
                </w:tcPr>
                <w:p w14:paraId="5E7B1D96">
                  <w:pPr>
                    <w:keepNext w:val="0"/>
                    <w:keepLines w:val="0"/>
                    <w:widowControl/>
                    <w:suppressLineNumbers w:val="0"/>
                    <w:jc w:val="center"/>
                    <w:textAlignment w:val="center"/>
                    <w:rPr>
                      <w:rFonts w:hint="default" w:ascii="Times New Roman" w:hAnsi="Times New Roman" w:eastAsia="宋体"/>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0.0029 </w:t>
                  </w:r>
                </w:p>
              </w:tc>
              <w:tc>
                <w:tcPr>
                  <w:tcW w:w="264" w:type="pct"/>
                  <w:vMerge w:val="continue"/>
                  <w:noWrap w:val="0"/>
                  <w:vAlign w:val="center"/>
                </w:tcPr>
                <w:p w14:paraId="36E19DBF">
                  <w:pPr>
                    <w:keepNext w:val="0"/>
                    <w:keepLines w:val="0"/>
                    <w:pageBreakBefore w:val="0"/>
                    <w:kinsoku/>
                    <w:wordWrap/>
                    <w:overflowPunct/>
                    <w:topLinePunct w:val="0"/>
                    <w:autoSpaceDE/>
                    <w:autoSpaceDN/>
                    <w:bidi w:val="0"/>
                    <w:adjustRightInd/>
                    <w:snapToGrid/>
                    <w:ind w:left="-48" w:leftChars="-20" w:right="-48" w:rightChars="-20"/>
                    <w:jc w:val="center"/>
                    <w:rPr>
                      <w:rFonts w:hint="eastAsia" w:ascii="Times New Roman" w:hAnsi="Times New Roman"/>
                      <w:b w:val="0"/>
                      <w:bCs w:val="0"/>
                      <w:color w:val="auto"/>
                      <w:sz w:val="21"/>
                      <w:szCs w:val="21"/>
                    </w:rPr>
                  </w:pPr>
                </w:p>
              </w:tc>
              <w:tc>
                <w:tcPr>
                  <w:tcW w:w="278" w:type="pct"/>
                  <w:noWrap w:val="0"/>
                  <w:vAlign w:val="center"/>
                </w:tcPr>
                <w:p w14:paraId="7A9232D0">
                  <w:pPr>
                    <w:keepNext w:val="0"/>
                    <w:keepLines w:val="0"/>
                    <w:pageBreakBefore w:val="0"/>
                    <w:widowControl/>
                    <w:kinsoku/>
                    <w:wordWrap/>
                    <w:overflowPunct/>
                    <w:topLinePunct w:val="0"/>
                    <w:autoSpaceDE/>
                    <w:autoSpaceDN/>
                    <w:bidi w:val="0"/>
                    <w:adjustRightInd/>
                    <w:snapToGrid/>
                    <w:jc w:val="center"/>
                    <w:rPr>
                      <w:rFonts w:hint="eastAsia" w:ascii="Times New Roman" w:hAnsi="Times New Roman" w:eastAsia="宋体"/>
                      <w:b w:val="0"/>
                      <w:bCs w:val="0"/>
                      <w:color w:val="auto"/>
                      <w:sz w:val="21"/>
                      <w:szCs w:val="21"/>
                      <w:lang w:eastAsia="zh-CN"/>
                    </w:rPr>
                  </w:pPr>
                  <w:r>
                    <w:rPr>
                      <w:rFonts w:hint="eastAsia"/>
                      <w:b w:val="0"/>
                      <w:bCs w:val="0"/>
                      <w:color w:val="auto"/>
                      <w:sz w:val="21"/>
                      <w:szCs w:val="21"/>
                      <w:lang w:val="en-US" w:eastAsia="zh-CN"/>
                    </w:rPr>
                    <w:t>/</w:t>
                  </w:r>
                </w:p>
              </w:tc>
              <w:tc>
                <w:tcPr>
                  <w:tcW w:w="237" w:type="pct"/>
                  <w:vMerge w:val="continue"/>
                  <w:noWrap w:val="0"/>
                  <w:vAlign w:val="center"/>
                </w:tcPr>
                <w:p w14:paraId="6176DA25">
                  <w:pPr>
                    <w:keepNext w:val="0"/>
                    <w:keepLines w:val="0"/>
                    <w:pageBreakBefore w:val="0"/>
                    <w:kinsoku/>
                    <w:wordWrap/>
                    <w:overflowPunct/>
                    <w:topLinePunct w:val="0"/>
                    <w:autoSpaceDE/>
                    <w:autoSpaceDN/>
                    <w:bidi w:val="0"/>
                    <w:adjustRightInd/>
                    <w:snapToGrid/>
                    <w:ind w:left="-48" w:leftChars="-20" w:right="-48" w:rightChars="-20"/>
                    <w:jc w:val="center"/>
                    <w:rPr>
                      <w:rFonts w:hint="eastAsia" w:ascii="Times New Roman" w:hAnsi="Times New Roman"/>
                      <w:b w:val="0"/>
                      <w:bCs w:val="0"/>
                      <w:color w:val="auto"/>
                      <w:sz w:val="21"/>
                      <w:szCs w:val="21"/>
                    </w:rPr>
                  </w:pPr>
                </w:p>
              </w:tc>
              <w:tc>
                <w:tcPr>
                  <w:tcW w:w="241" w:type="pct"/>
                  <w:vMerge w:val="continue"/>
                  <w:noWrap w:val="0"/>
                  <w:vAlign w:val="center"/>
                </w:tcPr>
                <w:p w14:paraId="00094458">
                  <w:pPr>
                    <w:keepNext w:val="0"/>
                    <w:keepLines w:val="0"/>
                    <w:pageBreakBefore w:val="0"/>
                    <w:kinsoku/>
                    <w:wordWrap/>
                    <w:overflowPunct/>
                    <w:topLinePunct w:val="0"/>
                    <w:autoSpaceDE/>
                    <w:autoSpaceDN/>
                    <w:bidi w:val="0"/>
                    <w:adjustRightInd/>
                    <w:snapToGrid/>
                    <w:ind w:left="-48" w:leftChars="-20" w:right="-48" w:rightChars="-20"/>
                    <w:jc w:val="center"/>
                    <w:rPr>
                      <w:rFonts w:hint="eastAsia" w:ascii="Times New Roman" w:hAnsi="Times New Roman"/>
                      <w:b w:val="0"/>
                      <w:bCs w:val="0"/>
                      <w:color w:val="auto"/>
                      <w:sz w:val="21"/>
                      <w:szCs w:val="21"/>
                    </w:rPr>
                  </w:pPr>
                </w:p>
              </w:tc>
              <w:tc>
                <w:tcPr>
                  <w:tcW w:w="231" w:type="pct"/>
                  <w:vMerge w:val="continue"/>
                  <w:noWrap w:val="0"/>
                  <w:vAlign w:val="center"/>
                </w:tcPr>
                <w:p w14:paraId="1E88D106">
                  <w:pPr>
                    <w:keepNext w:val="0"/>
                    <w:keepLines w:val="0"/>
                    <w:pageBreakBefore w:val="0"/>
                    <w:kinsoku/>
                    <w:wordWrap/>
                    <w:overflowPunct/>
                    <w:topLinePunct w:val="0"/>
                    <w:autoSpaceDE/>
                    <w:autoSpaceDN/>
                    <w:bidi w:val="0"/>
                    <w:adjustRightInd/>
                    <w:snapToGrid/>
                    <w:ind w:left="-48" w:leftChars="-20" w:right="-48" w:rightChars="-20"/>
                    <w:jc w:val="center"/>
                    <w:rPr>
                      <w:rFonts w:hint="eastAsia" w:ascii="Times New Roman" w:hAnsi="Times New Roman"/>
                      <w:b w:val="0"/>
                      <w:bCs w:val="0"/>
                      <w:color w:val="auto"/>
                      <w:sz w:val="21"/>
                      <w:szCs w:val="21"/>
                    </w:rPr>
                  </w:pPr>
                </w:p>
              </w:tc>
              <w:tc>
                <w:tcPr>
                  <w:tcW w:w="306" w:type="pct"/>
                  <w:noWrap w:val="0"/>
                  <w:vAlign w:val="center"/>
                </w:tcPr>
                <w:p w14:paraId="5AEA85BD">
                  <w:pPr>
                    <w:keepNext w:val="0"/>
                    <w:keepLines w:val="0"/>
                    <w:widowControl/>
                    <w:suppressLineNumbers w:val="0"/>
                    <w:jc w:val="center"/>
                    <w:textAlignment w:val="center"/>
                    <w:rPr>
                      <w:rFonts w:ascii="Times New Roman" w:hAnsi="Times New Roman"/>
                      <w:b w:val="0"/>
                      <w:bCs w:val="0"/>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300" w:type="pct"/>
                  <w:noWrap w:val="0"/>
                  <w:vAlign w:val="center"/>
                </w:tcPr>
                <w:p w14:paraId="44D1CDC6">
                  <w:pPr>
                    <w:keepNext w:val="0"/>
                    <w:keepLines w:val="0"/>
                    <w:widowControl/>
                    <w:suppressLineNumbers w:val="0"/>
                    <w:jc w:val="center"/>
                    <w:textAlignment w:val="center"/>
                    <w:rPr>
                      <w:rFonts w:ascii="Times New Roman" w:hAnsi="Times New Roman"/>
                      <w:b w:val="0"/>
                      <w:bCs w:val="0"/>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0.0029 </w:t>
                  </w:r>
                </w:p>
              </w:tc>
              <w:tc>
                <w:tcPr>
                  <w:tcW w:w="295" w:type="pct"/>
                  <w:vMerge w:val="continue"/>
                  <w:noWrap w:val="0"/>
                  <w:vAlign w:val="center"/>
                </w:tcPr>
                <w:p w14:paraId="5F462C13">
                  <w:pPr>
                    <w:keepNext w:val="0"/>
                    <w:keepLines w:val="0"/>
                    <w:pageBreakBefore w:val="0"/>
                    <w:kinsoku/>
                    <w:wordWrap/>
                    <w:overflowPunct/>
                    <w:topLinePunct w:val="0"/>
                    <w:autoSpaceDE/>
                    <w:autoSpaceDN/>
                    <w:bidi w:val="0"/>
                    <w:adjustRightInd/>
                    <w:snapToGrid/>
                    <w:ind w:left="-48" w:leftChars="-20" w:right="-48" w:rightChars="-20"/>
                    <w:jc w:val="center"/>
                    <w:rPr>
                      <w:rFonts w:hint="eastAsia" w:ascii="Times New Roman" w:hAnsi="Times New Roman"/>
                      <w:b w:val="0"/>
                      <w:bCs w:val="0"/>
                      <w:color w:val="auto"/>
                      <w:sz w:val="21"/>
                      <w:szCs w:val="21"/>
                    </w:rPr>
                  </w:pPr>
                </w:p>
              </w:tc>
              <w:tc>
                <w:tcPr>
                  <w:tcW w:w="219" w:type="pct"/>
                  <w:vMerge w:val="continue"/>
                  <w:noWrap w:val="0"/>
                  <w:vAlign w:val="center"/>
                </w:tcPr>
                <w:p w14:paraId="5C208BA9">
                  <w:pPr>
                    <w:keepNext w:val="0"/>
                    <w:keepLines w:val="0"/>
                    <w:pageBreakBefore w:val="0"/>
                    <w:kinsoku/>
                    <w:wordWrap/>
                    <w:overflowPunct/>
                    <w:topLinePunct w:val="0"/>
                    <w:autoSpaceDE/>
                    <w:autoSpaceDN/>
                    <w:bidi w:val="0"/>
                    <w:adjustRightInd/>
                    <w:snapToGrid/>
                    <w:ind w:left="-48" w:leftChars="-20" w:right="-48" w:rightChars="-20"/>
                    <w:jc w:val="center"/>
                    <w:rPr>
                      <w:rFonts w:hint="eastAsia" w:ascii="Times New Roman" w:hAnsi="Times New Roman"/>
                      <w:b w:val="0"/>
                      <w:bCs w:val="0"/>
                      <w:color w:val="auto"/>
                      <w:sz w:val="21"/>
                      <w:szCs w:val="21"/>
                    </w:rPr>
                  </w:pPr>
                </w:p>
              </w:tc>
              <w:tc>
                <w:tcPr>
                  <w:tcW w:w="221" w:type="pct"/>
                  <w:vMerge w:val="continue"/>
                  <w:noWrap w:val="0"/>
                  <w:vAlign w:val="center"/>
                </w:tcPr>
                <w:p w14:paraId="2BBB15D6">
                  <w:pPr>
                    <w:keepNext w:val="0"/>
                    <w:keepLines w:val="0"/>
                    <w:pageBreakBefore w:val="0"/>
                    <w:kinsoku/>
                    <w:wordWrap/>
                    <w:overflowPunct/>
                    <w:topLinePunct w:val="0"/>
                    <w:autoSpaceDE/>
                    <w:autoSpaceDN/>
                    <w:bidi w:val="0"/>
                    <w:adjustRightInd/>
                    <w:snapToGrid/>
                    <w:ind w:left="-48" w:leftChars="-20" w:right="-48" w:rightChars="-20"/>
                    <w:jc w:val="center"/>
                    <w:rPr>
                      <w:rFonts w:hint="eastAsia" w:ascii="Times New Roman" w:hAnsi="Times New Roman"/>
                      <w:b w:val="0"/>
                      <w:bCs w:val="0"/>
                      <w:color w:val="auto"/>
                      <w:sz w:val="21"/>
                      <w:szCs w:val="21"/>
                    </w:rPr>
                  </w:pPr>
                </w:p>
              </w:tc>
              <w:tc>
                <w:tcPr>
                  <w:tcW w:w="428" w:type="pct"/>
                  <w:vMerge w:val="continue"/>
                  <w:noWrap w:val="0"/>
                  <w:vAlign w:val="center"/>
                </w:tcPr>
                <w:p w14:paraId="4A0F4B4B">
                  <w:pPr>
                    <w:keepNext w:val="0"/>
                    <w:keepLines w:val="0"/>
                    <w:pageBreakBefore w:val="0"/>
                    <w:kinsoku/>
                    <w:wordWrap/>
                    <w:overflowPunct/>
                    <w:topLinePunct w:val="0"/>
                    <w:autoSpaceDE/>
                    <w:autoSpaceDN/>
                    <w:bidi w:val="0"/>
                    <w:adjustRightInd/>
                    <w:snapToGrid/>
                    <w:ind w:left="-48" w:leftChars="-20" w:right="-48" w:rightChars="-20"/>
                    <w:jc w:val="center"/>
                    <w:rPr>
                      <w:rFonts w:hint="eastAsia" w:ascii="Times New Roman" w:hAnsi="Times New Roman"/>
                      <w:b w:val="0"/>
                      <w:bCs w:val="0"/>
                      <w:color w:val="auto"/>
                      <w:sz w:val="21"/>
                      <w:szCs w:val="21"/>
                    </w:rPr>
                  </w:pPr>
                </w:p>
              </w:tc>
              <w:tc>
                <w:tcPr>
                  <w:tcW w:w="193" w:type="pct"/>
                  <w:vMerge w:val="continue"/>
                  <w:noWrap w:val="0"/>
                  <w:vAlign w:val="center"/>
                </w:tcPr>
                <w:p w14:paraId="6E478791">
                  <w:pPr>
                    <w:keepNext w:val="0"/>
                    <w:keepLines w:val="0"/>
                    <w:pageBreakBefore w:val="0"/>
                    <w:kinsoku/>
                    <w:wordWrap/>
                    <w:overflowPunct/>
                    <w:topLinePunct w:val="0"/>
                    <w:autoSpaceDE/>
                    <w:autoSpaceDN/>
                    <w:bidi w:val="0"/>
                    <w:adjustRightInd/>
                    <w:snapToGrid/>
                    <w:ind w:left="-48" w:leftChars="-20" w:right="-48" w:rightChars="-20"/>
                    <w:jc w:val="center"/>
                    <w:rPr>
                      <w:rFonts w:hint="eastAsia" w:ascii="Times New Roman" w:hAnsi="Times New Roman"/>
                      <w:b w:val="0"/>
                      <w:bCs w:val="0"/>
                      <w:color w:val="auto"/>
                      <w:sz w:val="21"/>
                      <w:szCs w:val="21"/>
                    </w:rPr>
                  </w:pPr>
                </w:p>
              </w:tc>
              <w:tc>
                <w:tcPr>
                  <w:tcW w:w="214" w:type="pct"/>
                  <w:vMerge w:val="continue"/>
                  <w:noWrap w:val="0"/>
                  <w:vAlign w:val="center"/>
                </w:tcPr>
                <w:p w14:paraId="5389114E">
                  <w:pPr>
                    <w:keepNext w:val="0"/>
                    <w:keepLines w:val="0"/>
                    <w:pageBreakBefore w:val="0"/>
                    <w:kinsoku/>
                    <w:wordWrap/>
                    <w:overflowPunct/>
                    <w:topLinePunct w:val="0"/>
                    <w:autoSpaceDE/>
                    <w:autoSpaceDN/>
                    <w:bidi w:val="0"/>
                    <w:adjustRightInd/>
                    <w:snapToGrid/>
                    <w:ind w:left="-48" w:leftChars="-20" w:right="-48" w:rightChars="-20"/>
                    <w:jc w:val="center"/>
                    <w:rPr>
                      <w:rFonts w:hint="eastAsia" w:ascii="Times New Roman" w:hAnsi="Times New Roman"/>
                      <w:b w:val="0"/>
                      <w:bCs w:val="0"/>
                      <w:color w:val="auto"/>
                      <w:sz w:val="21"/>
                      <w:szCs w:val="21"/>
                    </w:rPr>
                  </w:pPr>
                </w:p>
              </w:tc>
              <w:tc>
                <w:tcPr>
                  <w:tcW w:w="265" w:type="pct"/>
                  <w:vMerge w:val="continue"/>
                  <w:noWrap w:val="0"/>
                  <w:vAlign w:val="center"/>
                </w:tcPr>
                <w:p w14:paraId="621FD26A">
                  <w:pPr>
                    <w:keepNext w:val="0"/>
                    <w:keepLines w:val="0"/>
                    <w:pageBreakBefore w:val="0"/>
                    <w:kinsoku/>
                    <w:wordWrap/>
                    <w:overflowPunct/>
                    <w:topLinePunct w:val="0"/>
                    <w:autoSpaceDE/>
                    <w:autoSpaceDN/>
                    <w:bidi w:val="0"/>
                    <w:adjustRightInd/>
                    <w:snapToGrid/>
                    <w:ind w:left="-48" w:leftChars="-20" w:right="-48" w:rightChars="-20"/>
                    <w:jc w:val="center"/>
                    <w:rPr>
                      <w:rFonts w:hint="eastAsia" w:ascii="Times New Roman" w:hAnsi="Times New Roman"/>
                      <w:b w:val="0"/>
                      <w:bCs w:val="0"/>
                      <w:color w:val="auto"/>
                      <w:sz w:val="21"/>
                      <w:szCs w:val="21"/>
                    </w:rPr>
                  </w:pPr>
                </w:p>
              </w:tc>
              <w:tc>
                <w:tcPr>
                  <w:tcW w:w="204" w:type="pct"/>
                  <w:noWrap w:val="0"/>
                  <w:vAlign w:val="center"/>
                </w:tcPr>
                <w:p w14:paraId="0FD0CE11">
                  <w:pPr>
                    <w:keepNext w:val="0"/>
                    <w:keepLines w:val="0"/>
                    <w:pageBreakBefore w:val="0"/>
                    <w:widowControl/>
                    <w:kinsoku/>
                    <w:wordWrap/>
                    <w:overflowPunct/>
                    <w:topLinePunct w:val="0"/>
                    <w:autoSpaceDE/>
                    <w:autoSpaceDN/>
                    <w:bidi w:val="0"/>
                    <w:adjustRightInd/>
                    <w:snapToGrid/>
                    <w:jc w:val="center"/>
                    <w:rPr>
                      <w:rFonts w:hint="eastAsia" w:ascii="Times New Roman" w:hAnsi="Times New Roman" w:eastAsia="宋体"/>
                      <w:b w:val="0"/>
                      <w:bCs w:val="0"/>
                      <w:color w:val="auto"/>
                      <w:kern w:val="2"/>
                      <w:sz w:val="21"/>
                      <w:szCs w:val="21"/>
                      <w:lang w:val="en-US" w:eastAsia="zh-CN" w:bidi="ar-SA"/>
                    </w:rPr>
                  </w:pPr>
                  <w:r>
                    <w:rPr>
                      <w:rFonts w:hint="eastAsia" w:ascii="Times New Roman" w:hAnsi="Times New Roman"/>
                      <w:b w:val="0"/>
                      <w:bCs w:val="0"/>
                      <w:color w:val="auto"/>
                      <w:sz w:val="21"/>
                      <w:szCs w:val="21"/>
                    </w:rPr>
                    <w:t>/</w:t>
                  </w:r>
                </w:p>
              </w:tc>
            </w:tr>
          </w:tbl>
          <w:p w14:paraId="615A236B">
            <w:pPr>
              <w:spacing w:line="360" w:lineRule="auto"/>
              <w:jc w:val="both"/>
              <w:rPr>
                <w:rFonts w:hint="default" w:ascii="Times New Roman" w:hAnsi="Times New Roman" w:cs="Times New Roman"/>
                <w:b/>
                <w:bCs/>
                <w:color w:val="0000FF"/>
                <w:sz w:val="24"/>
                <w:szCs w:val="22"/>
                <w:vertAlign w:val="baseline"/>
              </w:rPr>
            </w:pPr>
          </w:p>
        </w:tc>
      </w:tr>
    </w:tbl>
    <w:p w14:paraId="0802904E">
      <w:pPr>
        <w:jc w:val="both"/>
        <w:rPr>
          <w:rFonts w:hint="default" w:ascii="Times New Roman" w:hAnsi="Times New Roman" w:cs="Times New Roman"/>
          <w:color w:val="0000FF"/>
          <w:sz w:val="24"/>
          <w:szCs w:val="22"/>
        </w:rPr>
        <w:sectPr>
          <w:pgSz w:w="16838" w:h="11906" w:orient="landscape"/>
          <w:pgMar w:top="1417" w:right="1417" w:bottom="1417" w:left="1417" w:header="851" w:footer="992" w:gutter="0"/>
          <w:pgNumType w:fmt="decimal"/>
          <w:cols w:space="720" w:num="1"/>
          <w:rtlGutter w:val="0"/>
          <w:docGrid w:type="lines" w:linePitch="312" w:charSpace="0"/>
        </w:sectPr>
      </w:pP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85" w:type="dxa"/>
          <w:left w:w="108" w:type="dxa"/>
          <w:bottom w:w="85" w:type="dxa"/>
          <w:right w:w="108" w:type="dxa"/>
        </w:tblCellMar>
      </w:tblPr>
      <w:tblGrid>
        <w:gridCol w:w="738"/>
        <w:gridCol w:w="8541"/>
      </w:tblGrid>
      <w:tr w14:paraId="22B27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738" w:type="dxa"/>
            <w:noWrap w:val="0"/>
            <w:vAlign w:val="center"/>
          </w:tcPr>
          <w:p w14:paraId="15D97F01">
            <w:pPr>
              <w:jc w:val="center"/>
              <w:rPr>
                <w:rFonts w:hint="default" w:ascii="Times New Roman" w:hAnsi="Times New Roman" w:cs="Times New Roman"/>
                <w:color w:val="auto"/>
                <w:sz w:val="24"/>
                <w:szCs w:val="22"/>
                <w:vertAlign w:val="baseline"/>
              </w:rPr>
            </w:pPr>
            <w:r>
              <w:rPr>
                <w:rFonts w:hint="default" w:ascii="Times New Roman" w:hAnsi="Times New Roman" w:cs="Times New Roman"/>
                <w:color w:val="auto"/>
                <w:sz w:val="24"/>
                <w:szCs w:val="22"/>
                <w:vertAlign w:val="baseline"/>
              </w:rPr>
              <w:t>运营</w:t>
            </w:r>
          </w:p>
          <w:p w14:paraId="290708C0">
            <w:pPr>
              <w:jc w:val="center"/>
              <w:rPr>
                <w:rFonts w:hint="default" w:ascii="Times New Roman" w:hAnsi="Times New Roman" w:cs="Times New Roman"/>
                <w:color w:val="auto"/>
                <w:sz w:val="24"/>
                <w:szCs w:val="22"/>
                <w:vertAlign w:val="baseline"/>
              </w:rPr>
            </w:pPr>
            <w:r>
              <w:rPr>
                <w:rFonts w:hint="default" w:ascii="Times New Roman" w:hAnsi="Times New Roman" w:cs="Times New Roman"/>
                <w:color w:val="auto"/>
                <w:sz w:val="24"/>
                <w:szCs w:val="22"/>
                <w:vertAlign w:val="baseline"/>
              </w:rPr>
              <w:t>期环</w:t>
            </w:r>
          </w:p>
          <w:p w14:paraId="2A4B5975">
            <w:pPr>
              <w:jc w:val="center"/>
              <w:rPr>
                <w:rFonts w:hint="default" w:ascii="Times New Roman" w:hAnsi="Times New Roman" w:cs="Times New Roman"/>
                <w:color w:val="auto"/>
                <w:sz w:val="24"/>
                <w:szCs w:val="22"/>
                <w:vertAlign w:val="baseline"/>
              </w:rPr>
            </w:pPr>
            <w:r>
              <w:rPr>
                <w:rFonts w:hint="default" w:ascii="Times New Roman" w:hAnsi="Times New Roman" w:cs="Times New Roman"/>
                <w:color w:val="auto"/>
                <w:sz w:val="24"/>
                <w:szCs w:val="22"/>
                <w:vertAlign w:val="baseline"/>
              </w:rPr>
              <w:t>境影</w:t>
            </w:r>
          </w:p>
          <w:p w14:paraId="2D76AF7F">
            <w:pPr>
              <w:jc w:val="center"/>
              <w:rPr>
                <w:rFonts w:hint="default" w:ascii="Times New Roman" w:hAnsi="Times New Roman" w:cs="Times New Roman"/>
                <w:color w:val="auto"/>
                <w:sz w:val="24"/>
                <w:szCs w:val="22"/>
                <w:vertAlign w:val="baseline"/>
              </w:rPr>
            </w:pPr>
            <w:r>
              <w:rPr>
                <w:rFonts w:hint="default" w:ascii="Times New Roman" w:hAnsi="Times New Roman" w:cs="Times New Roman"/>
                <w:color w:val="auto"/>
                <w:sz w:val="24"/>
                <w:szCs w:val="22"/>
                <w:vertAlign w:val="baseline"/>
              </w:rPr>
              <w:t>响和</w:t>
            </w:r>
          </w:p>
          <w:p w14:paraId="3AA0B2DF">
            <w:pPr>
              <w:jc w:val="center"/>
              <w:rPr>
                <w:rFonts w:hint="default" w:ascii="Times New Roman" w:hAnsi="Times New Roman" w:cs="Times New Roman"/>
                <w:color w:val="auto"/>
                <w:sz w:val="24"/>
                <w:szCs w:val="22"/>
                <w:vertAlign w:val="baseline"/>
              </w:rPr>
            </w:pPr>
            <w:r>
              <w:rPr>
                <w:rFonts w:hint="default" w:ascii="Times New Roman" w:hAnsi="Times New Roman" w:cs="Times New Roman"/>
                <w:color w:val="auto"/>
                <w:sz w:val="24"/>
                <w:szCs w:val="22"/>
                <w:vertAlign w:val="baseline"/>
              </w:rPr>
              <w:t>保护</w:t>
            </w:r>
          </w:p>
          <w:p w14:paraId="4BD5BC83">
            <w:pPr>
              <w:jc w:val="center"/>
              <w:rPr>
                <w:rFonts w:hint="default" w:ascii="Times New Roman" w:hAnsi="Times New Roman" w:cs="Times New Roman"/>
                <w:color w:val="0000FF"/>
                <w:sz w:val="24"/>
                <w:szCs w:val="22"/>
                <w:vertAlign w:val="baseline"/>
              </w:rPr>
            </w:pPr>
            <w:r>
              <w:rPr>
                <w:rFonts w:hint="default" w:ascii="Times New Roman" w:hAnsi="Times New Roman" w:cs="Times New Roman"/>
                <w:color w:val="auto"/>
                <w:sz w:val="24"/>
                <w:szCs w:val="22"/>
                <w:vertAlign w:val="baseline"/>
              </w:rPr>
              <w:t>措施</w:t>
            </w:r>
          </w:p>
        </w:tc>
        <w:tc>
          <w:tcPr>
            <w:tcW w:w="8541" w:type="dxa"/>
            <w:noWrap w:val="0"/>
            <w:vAlign w:val="top"/>
          </w:tcPr>
          <w:p w14:paraId="3EC212C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atLeast"/>
              <w:ind w:left="0" w:right="0" w:firstLine="420"/>
              <w:jc w:val="both"/>
              <w:textAlignment w:val="auto"/>
              <w:rPr>
                <w:rFonts w:hint="eastAsia" w:cs="Times New Roman"/>
                <w:bCs/>
                <w:color w:val="auto"/>
                <w:sz w:val="24"/>
                <w:szCs w:val="24"/>
                <w:lang w:val="en-US" w:eastAsia="zh-CN"/>
              </w:rPr>
            </w:pPr>
            <w:r>
              <w:rPr>
                <w:rFonts w:hint="eastAsia" w:cs="Times New Roman"/>
                <w:bCs/>
                <w:color w:val="auto"/>
                <w:sz w:val="24"/>
                <w:szCs w:val="24"/>
                <w:lang w:val="en-US" w:eastAsia="zh-CN"/>
              </w:rPr>
              <w:t>（2）废水处理设施</w:t>
            </w:r>
          </w:p>
          <w:p w14:paraId="6B13A55B">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540" w:lineRule="atLeast"/>
              <w:ind w:left="0" w:leftChars="0" w:right="0" w:rightChars="0" w:firstLine="480" w:firstLineChars="200"/>
              <w:jc w:val="both"/>
              <w:textAlignment w:val="auto"/>
              <w:rPr>
                <w:rFonts w:hint="default" w:cs="Times New Roman"/>
                <w:bCs/>
                <w:color w:val="auto"/>
                <w:sz w:val="24"/>
                <w:szCs w:val="24"/>
                <w:lang w:val="en-US" w:eastAsia="zh-CN"/>
              </w:rPr>
            </w:pPr>
            <w:r>
              <w:rPr>
                <w:rFonts w:hint="eastAsia" w:cs="Times New Roman"/>
                <w:bCs/>
                <w:color w:val="auto"/>
                <w:sz w:val="24"/>
                <w:szCs w:val="24"/>
                <w:lang w:val="en-US" w:eastAsia="zh-CN"/>
              </w:rPr>
              <w:t>项目冷却水经冷却水池冷却后循环使用，不外排；生活污水经隔油池、化粪池处理后定期清掏，不外排，化粪池位于厂区东北角，容积为5m</w:t>
            </w:r>
            <w:r>
              <w:rPr>
                <w:rFonts w:hint="eastAsia" w:cs="Times New Roman"/>
                <w:bCs/>
                <w:color w:val="auto"/>
                <w:sz w:val="24"/>
                <w:szCs w:val="24"/>
                <w:vertAlign w:val="superscript"/>
                <w:lang w:val="en-US" w:eastAsia="zh-CN"/>
              </w:rPr>
              <w:t>3</w:t>
            </w:r>
            <w:r>
              <w:rPr>
                <w:rFonts w:hint="eastAsia" w:cs="Times New Roman"/>
                <w:bCs/>
                <w:color w:val="auto"/>
                <w:sz w:val="24"/>
                <w:szCs w:val="24"/>
                <w:vertAlign w:val="baseline"/>
                <w:lang w:val="en-US" w:eastAsia="zh-CN"/>
              </w:rPr>
              <w:t>，处理能力能够满足需求</w:t>
            </w:r>
            <w:r>
              <w:rPr>
                <w:rFonts w:hint="eastAsia" w:cs="Times New Roman"/>
                <w:bCs/>
                <w:color w:val="auto"/>
                <w:sz w:val="24"/>
                <w:szCs w:val="24"/>
                <w:lang w:val="en-US" w:eastAsia="zh-CN"/>
              </w:rPr>
              <w:t>。</w:t>
            </w:r>
          </w:p>
          <w:p w14:paraId="73B7F4C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atLeast"/>
              <w:ind w:left="0" w:right="0" w:firstLine="480" w:firstLineChars="200"/>
              <w:jc w:val="both"/>
              <w:textAlignment w:val="auto"/>
              <w:rPr>
                <w:rFonts w:hint="eastAsia" w:cs="Times New Roman"/>
                <w:bCs/>
                <w:color w:val="auto"/>
                <w:sz w:val="24"/>
                <w:szCs w:val="24"/>
                <w:lang w:val="en-US" w:eastAsia="zh-CN"/>
              </w:rPr>
            </w:pPr>
            <w:r>
              <w:rPr>
                <w:rFonts w:hint="eastAsia" w:cs="Times New Roman"/>
                <w:bCs/>
                <w:color w:val="auto"/>
                <w:sz w:val="24"/>
                <w:szCs w:val="24"/>
                <w:lang w:val="en-US" w:eastAsia="zh-CN"/>
              </w:rPr>
              <w:t>（3）间接冷却水循环使用的可行性分析</w:t>
            </w:r>
          </w:p>
          <w:p w14:paraId="7579683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atLeast"/>
              <w:ind w:left="0" w:right="0" w:firstLine="480" w:firstLineChars="200"/>
              <w:jc w:val="both"/>
              <w:textAlignment w:val="auto"/>
              <w:rPr>
                <w:rFonts w:hint="eastAsia" w:cs="Times New Roman"/>
                <w:bCs/>
                <w:color w:val="auto"/>
                <w:sz w:val="24"/>
                <w:szCs w:val="24"/>
                <w:lang w:val="en-US" w:eastAsia="zh-CN"/>
              </w:rPr>
            </w:pPr>
            <w:r>
              <w:rPr>
                <w:rFonts w:hint="eastAsia" w:cs="Times New Roman"/>
                <w:bCs/>
                <w:color w:val="auto"/>
                <w:sz w:val="24"/>
                <w:szCs w:val="24"/>
                <w:lang w:val="en-US" w:eastAsia="zh-CN"/>
              </w:rPr>
              <w:t>本项目采用冷却水箱和循环水池之间循环对产品进行间接冷却，间接冷却水未接触原料、产品或中间体，不含毒性污染物。其特点是水质污染程度轻。冷却过程中会有少量蒸发损耗，定期补充水量，通过此方式进行降温，极易恢复冷却功能，技术上是完全可行的。因此，对其实施循环使用不外排，具有显著的经济效益、环境效益和社会效益。</w:t>
            </w:r>
          </w:p>
          <w:p w14:paraId="3967B78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40" w:lineRule="atLeast"/>
              <w:ind w:left="0" w:right="0" w:firstLine="480" w:firstLineChars="200"/>
              <w:jc w:val="both"/>
              <w:textAlignment w:val="auto"/>
              <w:rPr>
                <w:rFonts w:hint="default" w:ascii="Times New Roman" w:hAnsi="Times New Roman" w:cs="Times New Roman"/>
                <w:bCs/>
                <w:color w:val="auto"/>
                <w:sz w:val="24"/>
                <w:szCs w:val="24"/>
              </w:rPr>
            </w:pPr>
            <w:r>
              <w:rPr>
                <w:rFonts w:hint="eastAsia" w:cs="Times New Roman"/>
                <w:bCs/>
                <w:color w:val="auto"/>
                <w:sz w:val="24"/>
                <w:szCs w:val="24"/>
                <w:lang w:val="en-US" w:eastAsia="zh-CN"/>
              </w:rPr>
              <w:t>（4）</w:t>
            </w:r>
            <w:r>
              <w:rPr>
                <w:rFonts w:hint="default" w:ascii="Times New Roman" w:hAnsi="Times New Roman" w:cs="Times New Roman"/>
                <w:bCs/>
                <w:color w:val="auto"/>
                <w:sz w:val="24"/>
                <w:szCs w:val="24"/>
              </w:rPr>
              <w:t>废水监测要求</w:t>
            </w:r>
          </w:p>
          <w:p w14:paraId="1DCF4A2D">
            <w:pPr>
              <w:pStyle w:val="11"/>
              <w:keepNext w:val="0"/>
              <w:keepLines w:val="0"/>
              <w:pageBreakBefore w:val="0"/>
              <w:widowControl w:val="0"/>
              <w:kinsoku/>
              <w:wordWrap/>
              <w:overflowPunct/>
              <w:topLinePunct w:val="0"/>
              <w:autoSpaceDE/>
              <w:autoSpaceDN/>
              <w:bidi w:val="0"/>
              <w:adjustRightInd/>
              <w:snapToGrid/>
              <w:spacing w:before="0" w:line="360" w:lineRule="auto"/>
              <w:ind w:left="0" w:leftChars="0" w:firstLine="480" w:firstLineChars="200"/>
              <w:jc w:val="both"/>
              <w:textAlignment w:val="auto"/>
              <w:rPr>
                <w:rFonts w:hint="eastAsia"/>
                <w:b/>
                <w:bCs/>
                <w:color w:val="auto"/>
                <w:sz w:val="24"/>
              </w:rPr>
            </w:pPr>
            <w:r>
              <w:rPr>
                <w:rFonts w:hint="default" w:ascii="Times New Roman" w:hAnsi="Times New Roman" w:cs="Times New Roman"/>
                <w:bCs/>
                <w:sz w:val="24"/>
                <w:szCs w:val="24"/>
              </w:rPr>
              <w:t>参照</w:t>
            </w:r>
            <w:r>
              <w:rPr>
                <w:rFonts w:hint="eastAsia" w:cs="Times New Roman"/>
                <w:bCs/>
                <w:sz w:val="24"/>
                <w:szCs w:val="24"/>
                <w:lang w:eastAsia="zh-CN"/>
              </w:rPr>
              <w:t>《</w:t>
            </w:r>
            <w:r>
              <w:rPr>
                <w:rFonts w:hint="default" w:ascii="Times New Roman" w:hAnsi="Times New Roman" w:cs="Times New Roman"/>
                <w:bCs/>
                <w:sz w:val="24"/>
                <w:szCs w:val="24"/>
                <w:lang w:val="en-US" w:eastAsia="zh-CN"/>
              </w:rPr>
              <w:t>排污许可证申请与核发技术规范 橡胶和塑料制品工业》（HJ1122—2020）中排污单位自行监测相关要求</w:t>
            </w:r>
            <w:r>
              <w:rPr>
                <w:rFonts w:hint="default" w:ascii="Times New Roman" w:hAnsi="Times New Roman" w:cs="Times New Roman"/>
                <w:bCs/>
                <w:sz w:val="24"/>
                <w:szCs w:val="24"/>
                <w:lang w:eastAsia="zh-CN"/>
              </w:rPr>
              <w:t>，</w:t>
            </w:r>
            <w:r>
              <w:rPr>
                <w:rFonts w:hint="default" w:ascii="Times New Roman" w:hAnsi="Times New Roman" w:cs="Times New Roman"/>
                <w:bCs/>
                <w:sz w:val="24"/>
                <w:szCs w:val="24"/>
              </w:rPr>
              <w:t>本项目</w:t>
            </w:r>
            <w:r>
              <w:rPr>
                <w:rFonts w:hint="default" w:ascii="Times New Roman" w:hAnsi="Times New Roman" w:cs="Times New Roman"/>
                <w:bCs/>
                <w:sz w:val="24"/>
                <w:szCs w:val="24"/>
                <w:lang w:eastAsia="zh-CN"/>
              </w:rPr>
              <w:t>无生产</w:t>
            </w:r>
            <w:r>
              <w:rPr>
                <w:rFonts w:hint="default" w:ascii="Times New Roman" w:hAnsi="Times New Roman" w:cs="Times New Roman"/>
                <w:bCs/>
                <w:sz w:val="24"/>
                <w:szCs w:val="24"/>
              </w:rPr>
              <w:t>废水</w:t>
            </w:r>
            <w:r>
              <w:rPr>
                <w:rFonts w:hint="eastAsia" w:cs="Times New Roman"/>
                <w:bCs/>
                <w:sz w:val="24"/>
                <w:szCs w:val="24"/>
                <w:lang w:eastAsia="zh-CN"/>
              </w:rPr>
              <w:t>排放</w:t>
            </w:r>
            <w:r>
              <w:rPr>
                <w:rFonts w:hint="default" w:ascii="Times New Roman" w:hAnsi="Times New Roman" w:cs="Times New Roman"/>
                <w:bCs/>
                <w:sz w:val="24"/>
                <w:szCs w:val="24"/>
                <w:lang w:eastAsia="zh-CN"/>
              </w:rPr>
              <w:t>。</w:t>
            </w:r>
            <w:r>
              <w:rPr>
                <w:rFonts w:hint="eastAsia" w:cs="Times New Roman"/>
                <w:bCs/>
                <w:color w:val="auto"/>
                <w:sz w:val="24"/>
                <w:szCs w:val="24"/>
                <w:lang w:val="en-US" w:eastAsia="zh-CN"/>
              </w:rPr>
              <w:t>生活污水经隔油池、化粪池处理后定期清掏，不外排，</w:t>
            </w:r>
            <w:r>
              <w:rPr>
                <w:rFonts w:hint="default" w:ascii="Times New Roman" w:hAnsi="Times New Roman" w:cs="Times New Roman"/>
                <w:bCs/>
                <w:sz w:val="24"/>
                <w:szCs w:val="24"/>
              </w:rPr>
              <w:t>无需开展监测</w:t>
            </w:r>
            <w:r>
              <w:rPr>
                <w:rFonts w:ascii="Times New Roman" w:hAnsi="Times New Roman" w:cs="Times New Roman"/>
                <w:color w:val="auto"/>
                <w:sz w:val="24"/>
              </w:rPr>
              <w:t>。</w:t>
            </w:r>
          </w:p>
          <w:p w14:paraId="520C5DEE">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cs="Times New Roman"/>
                <w:b/>
                <w:bCs/>
                <w:color w:val="auto"/>
                <w:sz w:val="24"/>
                <w:szCs w:val="24"/>
                <w:vertAlign w:val="baseline"/>
                <w:lang w:val="en-US" w:eastAsia="zh-CN"/>
              </w:rPr>
              <w:t>3、噪声</w:t>
            </w:r>
            <w:r>
              <w:rPr>
                <w:rFonts w:hint="default" w:ascii="Times New Roman" w:hAnsi="Times New Roman" w:cs="Times New Roman"/>
                <w:b/>
                <w:bCs/>
                <w:color w:val="auto"/>
                <w:sz w:val="24"/>
                <w:szCs w:val="24"/>
              </w:rPr>
              <w:t>环境影响和保护措施</w:t>
            </w:r>
          </w:p>
          <w:p w14:paraId="450004E2">
            <w:pPr>
              <w:pStyle w:val="11"/>
              <w:keepNext w:val="0"/>
              <w:keepLines w:val="0"/>
              <w:pageBreakBefore w:val="0"/>
              <w:widowControl w:val="0"/>
              <w:kinsoku/>
              <w:wordWrap/>
              <w:overflowPunct/>
              <w:topLinePunct w:val="0"/>
              <w:autoSpaceDE/>
              <w:autoSpaceDN/>
              <w:bidi w:val="0"/>
              <w:adjustRightInd/>
              <w:snapToGrid/>
              <w:spacing w:before="0" w:line="360" w:lineRule="auto"/>
              <w:ind w:left="0" w:leftChars="0" w:firstLine="480" w:firstLineChars="200"/>
              <w:jc w:val="both"/>
              <w:textAlignment w:val="auto"/>
              <w:rPr>
                <w:rFonts w:ascii="Times New Roman" w:hAnsi="Times New Roman" w:cs="Times New Roman"/>
                <w:color w:val="auto"/>
                <w:sz w:val="24"/>
              </w:rPr>
            </w:pPr>
            <w:r>
              <w:rPr>
                <w:rFonts w:hint="eastAsia" w:ascii="Times New Roman" w:hAnsi="Times New Roman" w:cs="Times New Roman"/>
                <w:color w:val="auto"/>
                <w:sz w:val="24"/>
              </w:rPr>
              <w:t>（1）噪声源强分析</w:t>
            </w:r>
          </w:p>
          <w:p w14:paraId="32C08936">
            <w:pPr>
              <w:pStyle w:val="11"/>
              <w:keepNext w:val="0"/>
              <w:keepLines w:val="0"/>
              <w:pageBreakBefore w:val="0"/>
              <w:widowControl w:val="0"/>
              <w:kinsoku/>
              <w:wordWrap/>
              <w:overflowPunct/>
              <w:topLinePunct w:val="0"/>
              <w:autoSpaceDE/>
              <w:autoSpaceDN/>
              <w:bidi w:val="0"/>
              <w:adjustRightInd/>
              <w:snapToGrid/>
              <w:spacing w:before="0" w:line="360" w:lineRule="auto"/>
              <w:ind w:left="0" w:leftChars="0" w:firstLine="480" w:firstLineChars="200"/>
              <w:jc w:val="both"/>
              <w:textAlignment w:val="auto"/>
              <w:rPr>
                <w:rFonts w:hint="eastAsia" w:ascii="Times New Roman" w:hAnsi="Times New Roman" w:cs="Times New Roman"/>
                <w:color w:val="auto"/>
                <w:sz w:val="24"/>
              </w:rPr>
            </w:pPr>
            <w:r>
              <w:rPr>
                <w:rFonts w:hint="eastAsia" w:ascii="Times New Roman" w:hAnsi="Times New Roman" w:cs="Times New Roman"/>
                <w:color w:val="auto"/>
                <w:sz w:val="24"/>
              </w:rPr>
              <w:t>依据《污染源源强核算技术指南 准则》（HJ884-2018），项目运营期主要来源于</w:t>
            </w:r>
            <w:r>
              <w:rPr>
                <w:rFonts w:hint="eastAsia" w:ascii="Times New Roman" w:hAnsi="Times New Roman" w:cs="Times New Roman"/>
                <w:color w:val="auto"/>
                <w:sz w:val="24"/>
                <w:lang w:eastAsia="zh-CN"/>
              </w:rPr>
              <w:t>挤塑机、</w:t>
            </w:r>
            <w:r>
              <w:rPr>
                <w:rFonts w:hint="eastAsia" w:ascii="Times New Roman" w:hAnsi="Times New Roman" w:cs="Times New Roman"/>
                <w:color w:val="auto"/>
                <w:sz w:val="24"/>
                <w:lang w:val="en-US" w:eastAsia="zh-CN"/>
              </w:rPr>
              <w:t>注塑</w:t>
            </w:r>
            <w:r>
              <w:rPr>
                <w:rFonts w:hint="eastAsia" w:ascii="Times New Roman" w:hAnsi="Times New Roman" w:cs="Times New Roman"/>
                <w:color w:val="auto"/>
                <w:sz w:val="24"/>
                <w:lang w:eastAsia="zh-CN"/>
              </w:rPr>
              <w:t>机、</w:t>
            </w:r>
            <w:r>
              <w:rPr>
                <w:rFonts w:hint="eastAsia" w:ascii="Times New Roman" w:hAnsi="Times New Roman" w:cs="Times New Roman"/>
                <w:color w:val="auto"/>
                <w:sz w:val="24"/>
              </w:rPr>
              <w:t>废气处理风机等</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rPr>
              <w:t>噪声值在</w:t>
            </w:r>
            <w:r>
              <w:rPr>
                <w:rFonts w:hint="eastAsia" w:ascii="Times New Roman" w:hAnsi="Times New Roman" w:cs="Times New Roman"/>
                <w:color w:val="auto"/>
                <w:sz w:val="24"/>
                <w:lang w:val="en-US" w:eastAsia="zh-CN"/>
              </w:rPr>
              <w:t>70</w:t>
            </w:r>
            <w:r>
              <w:rPr>
                <w:rFonts w:hint="eastAsia" w:ascii="Times New Roman" w:hAnsi="Times New Roman" w:cs="Times New Roman"/>
                <w:color w:val="auto"/>
                <w:sz w:val="24"/>
              </w:rPr>
              <w:t>~</w:t>
            </w:r>
            <w:r>
              <w:rPr>
                <w:rFonts w:hint="eastAsia" w:ascii="Times New Roman" w:hAnsi="Times New Roman" w:cs="Times New Roman"/>
                <w:color w:val="auto"/>
                <w:sz w:val="24"/>
                <w:lang w:val="en-US" w:eastAsia="zh-CN"/>
              </w:rPr>
              <w:t>85</w:t>
            </w:r>
            <w:r>
              <w:rPr>
                <w:rFonts w:hint="eastAsia" w:ascii="Times New Roman" w:hAnsi="Times New Roman" w:cs="Times New Roman"/>
                <w:color w:val="auto"/>
                <w:sz w:val="24"/>
              </w:rPr>
              <w:t>dB（A）之间，各设备噪声源强</w:t>
            </w:r>
            <w:r>
              <w:rPr>
                <w:rFonts w:hint="eastAsia" w:ascii="Times New Roman" w:hAnsi="Times New Roman" w:cs="Times New Roman"/>
                <w:color w:val="auto"/>
                <w:sz w:val="24"/>
                <w:lang w:eastAsia="zh-CN"/>
              </w:rPr>
              <w:t>详见下表所示</w:t>
            </w:r>
            <w:r>
              <w:rPr>
                <w:rFonts w:hint="eastAsia" w:ascii="Times New Roman" w:hAnsi="Times New Roman" w:cs="Times New Roman"/>
                <w:color w:val="auto"/>
                <w:sz w:val="24"/>
              </w:rPr>
              <w:t>。</w:t>
            </w:r>
          </w:p>
          <w:p w14:paraId="70B5B5E8">
            <w:pPr>
              <w:pStyle w:val="11"/>
              <w:keepNext w:val="0"/>
              <w:keepLines w:val="0"/>
              <w:pageBreakBefore w:val="0"/>
              <w:widowControl w:val="0"/>
              <w:kinsoku/>
              <w:wordWrap/>
              <w:overflowPunct/>
              <w:topLinePunct w:val="0"/>
              <w:autoSpaceDE/>
              <w:autoSpaceDN/>
              <w:bidi w:val="0"/>
              <w:adjustRightInd/>
              <w:snapToGrid/>
              <w:spacing w:before="0" w:line="360" w:lineRule="auto"/>
              <w:ind w:left="0" w:leftChars="0" w:firstLine="480" w:firstLineChars="200"/>
              <w:jc w:val="both"/>
              <w:textAlignment w:val="auto"/>
              <w:rPr>
                <w:rFonts w:hint="eastAsia" w:ascii="Times New Roman" w:hAnsi="Times New Roman" w:cs="Times New Roman"/>
                <w:color w:val="auto"/>
                <w:sz w:val="24"/>
              </w:rPr>
            </w:pPr>
          </w:p>
          <w:p w14:paraId="30822CDA">
            <w:pPr>
              <w:pStyle w:val="11"/>
              <w:keepNext w:val="0"/>
              <w:keepLines w:val="0"/>
              <w:pageBreakBefore w:val="0"/>
              <w:widowControl w:val="0"/>
              <w:kinsoku/>
              <w:wordWrap/>
              <w:overflowPunct/>
              <w:topLinePunct w:val="0"/>
              <w:autoSpaceDE/>
              <w:autoSpaceDN/>
              <w:bidi w:val="0"/>
              <w:adjustRightInd/>
              <w:snapToGrid/>
              <w:spacing w:before="0" w:line="360" w:lineRule="auto"/>
              <w:ind w:left="0" w:leftChars="0" w:firstLine="480" w:firstLineChars="200"/>
              <w:jc w:val="both"/>
              <w:textAlignment w:val="auto"/>
              <w:rPr>
                <w:rFonts w:hint="eastAsia" w:ascii="Times New Roman" w:hAnsi="Times New Roman" w:cs="Times New Roman"/>
                <w:color w:val="auto"/>
                <w:sz w:val="24"/>
              </w:rPr>
            </w:pPr>
          </w:p>
          <w:p w14:paraId="56FE547B">
            <w:pPr>
              <w:pStyle w:val="11"/>
              <w:keepNext w:val="0"/>
              <w:keepLines w:val="0"/>
              <w:pageBreakBefore w:val="0"/>
              <w:widowControl w:val="0"/>
              <w:kinsoku/>
              <w:wordWrap/>
              <w:overflowPunct/>
              <w:topLinePunct w:val="0"/>
              <w:autoSpaceDE/>
              <w:autoSpaceDN/>
              <w:bidi w:val="0"/>
              <w:adjustRightInd/>
              <w:snapToGrid/>
              <w:spacing w:before="0" w:line="360" w:lineRule="auto"/>
              <w:ind w:left="0" w:leftChars="0" w:firstLine="480" w:firstLineChars="200"/>
              <w:jc w:val="both"/>
              <w:textAlignment w:val="auto"/>
              <w:rPr>
                <w:rFonts w:hint="eastAsia" w:ascii="Times New Roman" w:hAnsi="Times New Roman" w:cs="Times New Roman"/>
                <w:color w:val="auto"/>
                <w:sz w:val="24"/>
              </w:rPr>
            </w:pPr>
          </w:p>
          <w:p w14:paraId="2AAA2B08">
            <w:pPr>
              <w:pStyle w:val="11"/>
              <w:keepNext w:val="0"/>
              <w:keepLines w:val="0"/>
              <w:pageBreakBefore w:val="0"/>
              <w:widowControl w:val="0"/>
              <w:kinsoku/>
              <w:wordWrap/>
              <w:overflowPunct/>
              <w:topLinePunct w:val="0"/>
              <w:autoSpaceDE/>
              <w:autoSpaceDN/>
              <w:bidi w:val="0"/>
              <w:adjustRightInd/>
              <w:snapToGrid/>
              <w:spacing w:before="0" w:line="360" w:lineRule="auto"/>
              <w:ind w:left="0" w:leftChars="0" w:firstLine="480" w:firstLineChars="200"/>
              <w:jc w:val="both"/>
              <w:textAlignment w:val="auto"/>
              <w:rPr>
                <w:rFonts w:hint="eastAsia" w:ascii="Times New Roman" w:hAnsi="Times New Roman" w:cs="Times New Roman"/>
                <w:color w:val="auto"/>
                <w:sz w:val="24"/>
              </w:rPr>
            </w:pPr>
          </w:p>
          <w:p w14:paraId="53220312">
            <w:pPr>
              <w:pStyle w:val="11"/>
              <w:keepNext w:val="0"/>
              <w:keepLines w:val="0"/>
              <w:pageBreakBefore w:val="0"/>
              <w:widowControl w:val="0"/>
              <w:kinsoku/>
              <w:wordWrap/>
              <w:overflowPunct/>
              <w:topLinePunct w:val="0"/>
              <w:autoSpaceDE/>
              <w:autoSpaceDN/>
              <w:bidi w:val="0"/>
              <w:adjustRightInd/>
              <w:snapToGrid/>
              <w:spacing w:before="0" w:line="360" w:lineRule="auto"/>
              <w:ind w:left="0" w:leftChars="0" w:firstLine="480" w:firstLineChars="200"/>
              <w:jc w:val="both"/>
              <w:textAlignment w:val="auto"/>
              <w:rPr>
                <w:rFonts w:hint="eastAsia" w:ascii="Times New Roman" w:hAnsi="Times New Roman" w:cs="Times New Roman"/>
                <w:color w:val="auto"/>
                <w:sz w:val="24"/>
              </w:rPr>
            </w:pPr>
          </w:p>
          <w:p w14:paraId="2E4C6848">
            <w:pPr>
              <w:pStyle w:val="11"/>
              <w:keepNext w:val="0"/>
              <w:keepLines w:val="0"/>
              <w:pageBreakBefore w:val="0"/>
              <w:widowControl w:val="0"/>
              <w:kinsoku/>
              <w:wordWrap/>
              <w:overflowPunct/>
              <w:topLinePunct w:val="0"/>
              <w:autoSpaceDE/>
              <w:autoSpaceDN/>
              <w:bidi w:val="0"/>
              <w:adjustRightInd/>
              <w:snapToGrid/>
              <w:spacing w:before="0" w:line="360" w:lineRule="auto"/>
              <w:ind w:left="0" w:leftChars="0" w:firstLine="480" w:firstLineChars="200"/>
              <w:jc w:val="both"/>
              <w:textAlignment w:val="auto"/>
              <w:rPr>
                <w:rFonts w:hint="eastAsia" w:ascii="Times New Roman" w:hAnsi="Times New Roman" w:cs="Times New Roman"/>
                <w:color w:val="auto"/>
                <w:sz w:val="24"/>
              </w:rPr>
            </w:pPr>
          </w:p>
          <w:p w14:paraId="1F04D3EE">
            <w:pPr>
              <w:spacing w:line="360" w:lineRule="auto"/>
              <w:jc w:val="both"/>
              <w:rPr>
                <w:rFonts w:hint="default" w:ascii="Times New Roman" w:hAnsi="Times New Roman" w:cs="Times New Roman"/>
                <w:color w:val="0000FF"/>
                <w:szCs w:val="24"/>
                <w:lang w:eastAsia="zh-CN"/>
              </w:rPr>
            </w:pPr>
          </w:p>
        </w:tc>
      </w:tr>
    </w:tbl>
    <w:p w14:paraId="226C8939">
      <w:pPr>
        <w:jc w:val="both"/>
        <w:rPr>
          <w:rFonts w:hint="default" w:ascii="Times New Roman" w:hAnsi="Times New Roman" w:cs="Times New Roman"/>
          <w:color w:val="0000FF"/>
          <w:sz w:val="24"/>
          <w:szCs w:val="22"/>
        </w:rPr>
        <w:sectPr>
          <w:pgSz w:w="11906" w:h="16838"/>
          <w:pgMar w:top="1417" w:right="1417" w:bottom="1417" w:left="1417" w:header="851" w:footer="992" w:gutter="0"/>
          <w:pgNumType w:fmt="decimal"/>
          <w:cols w:space="720" w:num="1"/>
          <w:rtlGutter w:val="0"/>
          <w:docGrid w:type="lines" w:linePitch="312" w:charSpace="0"/>
        </w:sectPr>
      </w:pPr>
    </w:p>
    <w:tbl>
      <w:tblPr>
        <w:tblStyle w:val="27"/>
        <w:tblW w:w="525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85" w:type="dxa"/>
          <w:left w:w="108" w:type="dxa"/>
          <w:bottom w:w="85" w:type="dxa"/>
          <w:right w:w="108" w:type="dxa"/>
        </w:tblCellMar>
      </w:tblPr>
      <w:tblGrid>
        <w:gridCol w:w="457"/>
        <w:gridCol w:w="14497"/>
      </w:tblGrid>
      <w:tr w14:paraId="3AFBB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439" w:type="dxa"/>
            <w:noWrap w:val="0"/>
            <w:vAlign w:val="center"/>
          </w:tcPr>
          <w:p w14:paraId="546CDC21">
            <w:pPr>
              <w:bidi w:val="0"/>
              <w:jc w:val="center"/>
              <w:rPr>
                <w:rFonts w:hint="default" w:ascii="Times New Roman" w:hAnsi="Times New Roman" w:cs="Times New Roman"/>
                <w:color w:val="auto"/>
                <w:vertAlign w:val="baseline"/>
              </w:rPr>
            </w:pPr>
            <w:r>
              <w:rPr>
                <w:rFonts w:hint="default" w:ascii="Times New Roman" w:hAnsi="Times New Roman" w:cs="Times New Roman"/>
                <w:color w:val="auto"/>
                <w:vertAlign w:val="baseline"/>
              </w:rPr>
              <w:t>运营</w:t>
            </w:r>
          </w:p>
          <w:p w14:paraId="18875F72">
            <w:pPr>
              <w:bidi w:val="0"/>
              <w:jc w:val="center"/>
              <w:rPr>
                <w:rFonts w:hint="default" w:ascii="Times New Roman" w:hAnsi="Times New Roman" w:cs="Times New Roman"/>
                <w:color w:val="auto"/>
                <w:vertAlign w:val="baseline"/>
              </w:rPr>
            </w:pPr>
            <w:r>
              <w:rPr>
                <w:rFonts w:hint="default" w:ascii="Times New Roman" w:hAnsi="Times New Roman" w:cs="Times New Roman"/>
                <w:color w:val="auto"/>
                <w:vertAlign w:val="baseline"/>
              </w:rPr>
              <w:t>期环</w:t>
            </w:r>
          </w:p>
          <w:p w14:paraId="18A04CDB">
            <w:pPr>
              <w:bidi w:val="0"/>
              <w:jc w:val="center"/>
              <w:rPr>
                <w:rFonts w:hint="default" w:ascii="Times New Roman" w:hAnsi="Times New Roman" w:cs="Times New Roman"/>
                <w:color w:val="auto"/>
                <w:vertAlign w:val="baseline"/>
              </w:rPr>
            </w:pPr>
            <w:r>
              <w:rPr>
                <w:rFonts w:hint="default" w:ascii="Times New Roman" w:hAnsi="Times New Roman" w:cs="Times New Roman"/>
                <w:color w:val="auto"/>
                <w:vertAlign w:val="baseline"/>
              </w:rPr>
              <w:t>境影</w:t>
            </w:r>
          </w:p>
          <w:p w14:paraId="2A6BFF37">
            <w:pPr>
              <w:bidi w:val="0"/>
              <w:jc w:val="center"/>
              <w:rPr>
                <w:rFonts w:hint="default" w:ascii="Times New Roman" w:hAnsi="Times New Roman" w:cs="Times New Roman"/>
                <w:color w:val="auto"/>
                <w:vertAlign w:val="baseline"/>
              </w:rPr>
            </w:pPr>
            <w:r>
              <w:rPr>
                <w:rFonts w:hint="default" w:ascii="Times New Roman" w:hAnsi="Times New Roman" w:cs="Times New Roman"/>
                <w:color w:val="auto"/>
                <w:vertAlign w:val="baseline"/>
              </w:rPr>
              <w:t>响和</w:t>
            </w:r>
          </w:p>
          <w:p w14:paraId="38B8592F">
            <w:pPr>
              <w:bidi w:val="0"/>
              <w:jc w:val="center"/>
              <w:rPr>
                <w:rFonts w:hint="default" w:ascii="Times New Roman" w:hAnsi="Times New Roman" w:cs="Times New Roman"/>
                <w:color w:val="auto"/>
                <w:vertAlign w:val="baseline"/>
              </w:rPr>
            </w:pPr>
            <w:r>
              <w:rPr>
                <w:rFonts w:hint="default" w:ascii="Times New Roman" w:hAnsi="Times New Roman" w:cs="Times New Roman"/>
                <w:color w:val="auto"/>
                <w:vertAlign w:val="baseline"/>
              </w:rPr>
              <w:t>保护</w:t>
            </w:r>
          </w:p>
          <w:p w14:paraId="77A20403">
            <w:pPr>
              <w:jc w:val="center"/>
              <w:rPr>
                <w:rFonts w:hint="default" w:ascii="Times New Roman" w:hAnsi="Times New Roman" w:cs="Times New Roman"/>
                <w:color w:val="0000FF"/>
                <w:sz w:val="24"/>
                <w:szCs w:val="22"/>
                <w:vertAlign w:val="baseline"/>
              </w:rPr>
            </w:pPr>
            <w:r>
              <w:rPr>
                <w:rFonts w:hint="default" w:ascii="Times New Roman" w:hAnsi="Times New Roman" w:cs="Times New Roman"/>
                <w:color w:val="auto"/>
                <w:vertAlign w:val="baseline"/>
              </w:rPr>
              <w:t>措施</w:t>
            </w:r>
          </w:p>
        </w:tc>
        <w:tc>
          <w:tcPr>
            <w:tcW w:w="14469" w:type="dxa"/>
            <w:noWrap w:val="0"/>
            <w:vAlign w:val="top"/>
          </w:tcPr>
          <w:p w14:paraId="2E0DA61E">
            <w:pPr>
              <w:pStyle w:val="68"/>
              <w:keepNext w:val="0"/>
              <w:keepLines w:val="0"/>
              <w:pageBreakBefore w:val="0"/>
              <w:widowControl w:val="0"/>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hint="default" w:ascii="Times New Roman" w:hAnsi="Times New Roman" w:eastAsia="宋体" w:cs="Times New Roman"/>
                <w:b/>
                <w:bCs/>
                <w:color w:val="auto"/>
                <w:spacing w:val="0"/>
                <w:sz w:val="24"/>
                <w:szCs w:val="24"/>
                <w:highlight w:val="none"/>
                <w:lang w:val="en-US" w:eastAsia="zh-CN"/>
              </w:rPr>
            </w:pPr>
            <w:r>
              <w:rPr>
                <w:rFonts w:hint="default" w:ascii="Times New Roman" w:hAnsi="Times New Roman" w:eastAsia="宋体" w:cs="Times New Roman"/>
                <w:b/>
                <w:bCs/>
                <w:color w:val="auto"/>
                <w:spacing w:val="0"/>
                <w:sz w:val="24"/>
                <w:szCs w:val="24"/>
                <w:highlight w:val="none"/>
                <w:lang w:val="en-US" w:eastAsia="zh-CN"/>
              </w:rPr>
              <w:t>表</w:t>
            </w:r>
            <w:r>
              <w:rPr>
                <w:rFonts w:hint="eastAsia" w:ascii="Times New Roman" w:hAnsi="Times New Roman" w:eastAsia="宋体" w:cs="Times New Roman"/>
                <w:b/>
                <w:bCs/>
                <w:color w:val="auto"/>
                <w:spacing w:val="0"/>
                <w:sz w:val="24"/>
                <w:szCs w:val="24"/>
                <w:highlight w:val="none"/>
                <w:lang w:val="en-US" w:eastAsia="zh-CN"/>
              </w:rPr>
              <w:t xml:space="preserve">4-14  </w:t>
            </w:r>
            <w:r>
              <w:rPr>
                <w:rFonts w:hint="default" w:ascii="Times New Roman" w:hAnsi="Times New Roman" w:eastAsia="宋体" w:cs="Times New Roman"/>
                <w:b/>
                <w:bCs/>
                <w:color w:val="auto"/>
                <w:spacing w:val="0"/>
                <w:sz w:val="24"/>
                <w:szCs w:val="24"/>
                <w:highlight w:val="none"/>
                <w:lang w:val="en-US" w:eastAsia="zh-CN"/>
              </w:rPr>
              <w:t>工业企业噪声源强调查清单（室内声源）</w:t>
            </w:r>
          </w:p>
          <w:tbl>
            <w:tblPr>
              <w:tblStyle w:val="26"/>
              <w:tblW w:w="49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2"/>
              <w:gridCol w:w="737"/>
              <w:gridCol w:w="1149"/>
              <w:gridCol w:w="2141"/>
              <w:gridCol w:w="1149"/>
              <w:gridCol w:w="770"/>
              <w:gridCol w:w="770"/>
              <w:gridCol w:w="875"/>
              <w:gridCol w:w="844"/>
              <w:gridCol w:w="790"/>
              <w:gridCol w:w="1120"/>
              <w:gridCol w:w="1077"/>
              <w:gridCol w:w="992"/>
              <w:gridCol w:w="1114"/>
            </w:tblGrid>
            <w:tr w14:paraId="1D310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50" w:type="pct"/>
                  <w:vMerge w:val="restart"/>
                  <w:tcBorders>
                    <w:tl2br w:val="nil"/>
                    <w:tr2bl w:val="nil"/>
                  </w:tcBorders>
                  <w:noWrap w:val="0"/>
                  <w:vAlign w:val="center"/>
                </w:tcPr>
                <w:p w14:paraId="1D98EE7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259" w:type="pct"/>
                  <w:vMerge w:val="restart"/>
                  <w:tcBorders>
                    <w:tl2br w:val="nil"/>
                    <w:tr2bl w:val="nil"/>
                  </w:tcBorders>
                  <w:noWrap w:val="0"/>
                  <w:vAlign w:val="center"/>
                </w:tcPr>
                <w:p w14:paraId="65C164A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声源</w:t>
                  </w:r>
                  <w:r>
                    <w:rPr>
                      <w:rFonts w:hint="default" w:ascii="Times New Roman" w:hAnsi="Times New Roman" w:eastAsia="宋体" w:cs="Times New Roman"/>
                      <w:b/>
                      <w:bCs/>
                      <w:color w:val="auto"/>
                      <w:sz w:val="21"/>
                      <w:szCs w:val="21"/>
                      <w:highlight w:val="none"/>
                    </w:rPr>
                    <w:t>名称</w:t>
                  </w:r>
                </w:p>
              </w:tc>
              <w:tc>
                <w:tcPr>
                  <w:tcW w:w="403" w:type="pct"/>
                  <w:vMerge w:val="restart"/>
                  <w:tcBorders>
                    <w:tl2br w:val="nil"/>
                    <w:tr2bl w:val="nil"/>
                  </w:tcBorders>
                  <w:noWrap w:val="0"/>
                  <w:vAlign w:val="center"/>
                </w:tcPr>
                <w:p w14:paraId="004352B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rPr>
                    <w:t>数量</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lang w:val="en-US" w:eastAsia="zh-CN"/>
                    </w:rPr>
                    <w:t>台/套）</w:t>
                  </w:r>
                </w:p>
              </w:tc>
              <w:tc>
                <w:tcPr>
                  <w:tcW w:w="751" w:type="pct"/>
                  <w:vMerge w:val="restart"/>
                  <w:tcBorders>
                    <w:tl2br w:val="nil"/>
                    <w:tr2bl w:val="nil"/>
                  </w:tcBorders>
                  <w:noWrap w:val="0"/>
                  <w:vAlign w:val="center"/>
                </w:tcPr>
                <w:p w14:paraId="4346892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声压级（</w:t>
                  </w:r>
                  <w:r>
                    <w:rPr>
                      <w:rFonts w:hint="default" w:ascii="Times New Roman" w:hAnsi="Times New Roman" w:eastAsia="宋体" w:cs="Times New Roman"/>
                      <w:b/>
                      <w:bCs/>
                      <w:color w:val="auto"/>
                      <w:sz w:val="21"/>
                      <w:szCs w:val="21"/>
                      <w:highlight w:val="none"/>
                    </w:rPr>
                    <w:t>dB(A)</w:t>
                  </w:r>
                  <w:r>
                    <w:rPr>
                      <w:rFonts w:hint="default" w:ascii="Times New Roman" w:hAnsi="Times New Roman" w:eastAsia="宋体" w:cs="Times New Roman"/>
                      <w:b/>
                      <w:bCs/>
                      <w:color w:val="auto"/>
                      <w:sz w:val="21"/>
                      <w:szCs w:val="21"/>
                      <w:highlight w:val="none"/>
                      <w:lang w:val="en-US" w:eastAsia="zh-CN"/>
                    </w:rPr>
                    <w:t>）</w:t>
                  </w:r>
                </w:p>
              </w:tc>
              <w:tc>
                <w:tcPr>
                  <w:tcW w:w="403" w:type="pct"/>
                  <w:vMerge w:val="restart"/>
                  <w:tcBorders>
                    <w:tl2br w:val="nil"/>
                    <w:tr2bl w:val="nil"/>
                  </w:tcBorders>
                  <w:noWrap w:val="0"/>
                  <w:vAlign w:val="center"/>
                </w:tcPr>
                <w:p w14:paraId="3410ED7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声源控制措施</w:t>
                  </w:r>
                </w:p>
              </w:tc>
              <w:tc>
                <w:tcPr>
                  <w:tcW w:w="270" w:type="pct"/>
                  <w:vMerge w:val="restart"/>
                  <w:tcBorders>
                    <w:tl2br w:val="nil"/>
                    <w:tr2bl w:val="nil"/>
                  </w:tcBorders>
                  <w:noWrap w:val="0"/>
                  <w:vAlign w:val="center"/>
                </w:tcPr>
                <w:p w14:paraId="03D0988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运行时段</w:t>
                  </w:r>
                </w:p>
              </w:tc>
              <w:tc>
                <w:tcPr>
                  <w:tcW w:w="270" w:type="pct"/>
                  <w:vMerge w:val="restart"/>
                  <w:tcBorders>
                    <w:tl2br w:val="nil"/>
                    <w:tr2bl w:val="nil"/>
                  </w:tcBorders>
                  <w:noWrap w:val="0"/>
                  <w:vAlign w:val="center"/>
                </w:tcPr>
                <w:p w14:paraId="7BE9B21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备注</w:t>
                  </w:r>
                </w:p>
              </w:tc>
              <w:tc>
                <w:tcPr>
                  <w:tcW w:w="880" w:type="pct"/>
                  <w:gridSpan w:val="3"/>
                  <w:tcBorders>
                    <w:tl2br w:val="nil"/>
                    <w:tr2bl w:val="nil"/>
                  </w:tcBorders>
                  <w:noWrap w:val="0"/>
                  <w:vAlign w:val="center"/>
                </w:tcPr>
                <w:p w14:paraId="676DB3D0">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空间相对位置（m）</w:t>
                  </w:r>
                </w:p>
              </w:tc>
              <w:tc>
                <w:tcPr>
                  <w:tcW w:w="1510" w:type="pct"/>
                  <w:gridSpan w:val="4"/>
                  <w:tcBorders>
                    <w:tl2br w:val="nil"/>
                    <w:tr2bl w:val="nil"/>
                  </w:tcBorders>
                  <w:noWrap w:val="0"/>
                  <w:vAlign w:val="center"/>
                </w:tcPr>
                <w:p w14:paraId="387D03C9">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2"/>
                      <w:sz w:val="21"/>
                      <w:szCs w:val="21"/>
                      <w:highlight w:val="none"/>
                      <w:lang w:val="en-US" w:eastAsia="zh-CN" w:bidi="ar-SA"/>
                    </w:rPr>
                    <w:t>距边界距离（m）</w:t>
                  </w:r>
                </w:p>
              </w:tc>
            </w:tr>
            <w:tr w14:paraId="76013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50" w:type="pct"/>
                  <w:vMerge w:val="continue"/>
                  <w:tcBorders>
                    <w:tl2br w:val="nil"/>
                    <w:tr2bl w:val="nil"/>
                  </w:tcBorders>
                  <w:noWrap w:val="0"/>
                  <w:vAlign w:val="center"/>
                </w:tcPr>
                <w:p w14:paraId="55949BB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p>
              </w:tc>
              <w:tc>
                <w:tcPr>
                  <w:tcW w:w="259" w:type="pct"/>
                  <w:vMerge w:val="continue"/>
                  <w:tcBorders>
                    <w:tl2br w:val="nil"/>
                    <w:tr2bl w:val="nil"/>
                  </w:tcBorders>
                  <w:noWrap w:val="0"/>
                  <w:vAlign w:val="center"/>
                </w:tcPr>
                <w:p w14:paraId="55211C3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p>
              </w:tc>
              <w:tc>
                <w:tcPr>
                  <w:tcW w:w="403" w:type="pct"/>
                  <w:vMerge w:val="continue"/>
                  <w:tcBorders>
                    <w:tl2br w:val="nil"/>
                    <w:tr2bl w:val="nil"/>
                  </w:tcBorders>
                  <w:noWrap w:val="0"/>
                  <w:vAlign w:val="center"/>
                </w:tcPr>
                <w:p w14:paraId="4A21730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p>
              </w:tc>
              <w:tc>
                <w:tcPr>
                  <w:tcW w:w="751" w:type="pct"/>
                  <w:vMerge w:val="continue"/>
                  <w:tcBorders>
                    <w:tl2br w:val="nil"/>
                    <w:tr2bl w:val="nil"/>
                  </w:tcBorders>
                  <w:noWrap w:val="0"/>
                  <w:vAlign w:val="center"/>
                </w:tcPr>
                <w:p w14:paraId="2D05DC9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kern w:val="2"/>
                      <w:sz w:val="21"/>
                      <w:szCs w:val="21"/>
                      <w:highlight w:val="none"/>
                      <w:lang w:val="en-US" w:eastAsia="zh-CN" w:bidi="ar-SA"/>
                    </w:rPr>
                  </w:pPr>
                </w:p>
              </w:tc>
              <w:tc>
                <w:tcPr>
                  <w:tcW w:w="403" w:type="pct"/>
                  <w:vMerge w:val="continue"/>
                  <w:tcBorders>
                    <w:tl2br w:val="nil"/>
                    <w:tr2bl w:val="nil"/>
                  </w:tcBorders>
                  <w:noWrap w:val="0"/>
                  <w:vAlign w:val="center"/>
                </w:tcPr>
                <w:p w14:paraId="347AA28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kern w:val="2"/>
                      <w:sz w:val="21"/>
                      <w:szCs w:val="21"/>
                      <w:highlight w:val="none"/>
                      <w:lang w:val="en-US" w:eastAsia="zh-CN" w:bidi="ar-SA"/>
                    </w:rPr>
                  </w:pPr>
                </w:p>
              </w:tc>
              <w:tc>
                <w:tcPr>
                  <w:tcW w:w="270" w:type="pct"/>
                  <w:vMerge w:val="continue"/>
                  <w:tcBorders>
                    <w:tl2br w:val="nil"/>
                    <w:tr2bl w:val="nil"/>
                  </w:tcBorders>
                  <w:noWrap w:val="0"/>
                  <w:vAlign w:val="center"/>
                </w:tcPr>
                <w:p w14:paraId="2B20BCA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kern w:val="2"/>
                      <w:sz w:val="21"/>
                      <w:szCs w:val="21"/>
                      <w:highlight w:val="none"/>
                      <w:lang w:val="en-US" w:eastAsia="zh-CN" w:bidi="ar-SA"/>
                    </w:rPr>
                  </w:pPr>
                </w:p>
              </w:tc>
              <w:tc>
                <w:tcPr>
                  <w:tcW w:w="270" w:type="pct"/>
                  <w:vMerge w:val="continue"/>
                  <w:tcBorders>
                    <w:tl2br w:val="nil"/>
                    <w:tr2bl w:val="nil"/>
                  </w:tcBorders>
                  <w:noWrap w:val="0"/>
                  <w:vAlign w:val="center"/>
                </w:tcPr>
                <w:p w14:paraId="51517D4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kern w:val="2"/>
                      <w:sz w:val="21"/>
                      <w:szCs w:val="21"/>
                      <w:highlight w:val="none"/>
                      <w:lang w:val="en-US" w:eastAsia="zh-CN" w:bidi="ar-SA"/>
                    </w:rPr>
                  </w:pPr>
                </w:p>
              </w:tc>
              <w:tc>
                <w:tcPr>
                  <w:tcW w:w="307" w:type="pct"/>
                  <w:tcBorders>
                    <w:tl2br w:val="nil"/>
                    <w:tr2bl w:val="nil"/>
                  </w:tcBorders>
                  <w:noWrap w:val="0"/>
                  <w:vAlign w:val="center"/>
                </w:tcPr>
                <w:p w14:paraId="5F48E365">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X</w:t>
                  </w:r>
                </w:p>
              </w:tc>
              <w:tc>
                <w:tcPr>
                  <w:tcW w:w="296" w:type="pct"/>
                  <w:tcBorders>
                    <w:tl2br w:val="nil"/>
                    <w:tr2bl w:val="nil"/>
                  </w:tcBorders>
                  <w:noWrap w:val="0"/>
                  <w:vAlign w:val="center"/>
                </w:tcPr>
                <w:p w14:paraId="3110AEF1">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Y</w:t>
                  </w:r>
                </w:p>
              </w:tc>
              <w:tc>
                <w:tcPr>
                  <w:tcW w:w="277" w:type="pct"/>
                  <w:tcBorders>
                    <w:tl2br w:val="nil"/>
                    <w:tr2bl w:val="nil"/>
                  </w:tcBorders>
                  <w:noWrap w:val="0"/>
                  <w:vAlign w:val="center"/>
                </w:tcPr>
                <w:p w14:paraId="4C6BF189">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Z</w:t>
                  </w:r>
                </w:p>
              </w:tc>
              <w:tc>
                <w:tcPr>
                  <w:tcW w:w="393" w:type="pct"/>
                  <w:tcBorders>
                    <w:tl2br w:val="nil"/>
                    <w:tr2bl w:val="nil"/>
                  </w:tcBorders>
                  <w:noWrap w:val="0"/>
                  <w:vAlign w:val="center"/>
                </w:tcPr>
                <w:p w14:paraId="722E255A">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东厂界</w:t>
                  </w:r>
                </w:p>
              </w:tc>
              <w:tc>
                <w:tcPr>
                  <w:tcW w:w="378" w:type="pct"/>
                  <w:tcBorders>
                    <w:tl2br w:val="nil"/>
                    <w:tr2bl w:val="nil"/>
                  </w:tcBorders>
                  <w:noWrap w:val="0"/>
                  <w:vAlign w:val="center"/>
                </w:tcPr>
                <w:p w14:paraId="29BE2E64">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南厂界</w:t>
                  </w:r>
                </w:p>
              </w:tc>
              <w:tc>
                <w:tcPr>
                  <w:tcW w:w="348" w:type="pct"/>
                  <w:tcBorders>
                    <w:tl2br w:val="nil"/>
                    <w:tr2bl w:val="nil"/>
                  </w:tcBorders>
                  <w:noWrap w:val="0"/>
                  <w:vAlign w:val="center"/>
                </w:tcPr>
                <w:p w14:paraId="081283EB">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西厂界</w:t>
                  </w:r>
                </w:p>
              </w:tc>
              <w:tc>
                <w:tcPr>
                  <w:tcW w:w="390" w:type="pct"/>
                  <w:tcBorders>
                    <w:tl2br w:val="nil"/>
                    <w:tr2bl w:val="nil"/>
                  </w:tcBorders>
                  <w:noWrap w:val="0"/>
                  <w:vAlign w:val="center"/>
                </w:tcPr>
                <w:p w14:paraId="2FB13351">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北厂界</w:t>
                  </w:r>
                </w:p>
              </w:tc>
            </w:tr>
            <w:tr w14:paraId="2BA37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250" w:type="pct"/>
                  <w:vMerge w:val="restart"/>
                  <w:tcBorders>
                    <w:tl2br w:val="nil"/>
                    <w:tr2bl w:val="nil"/>
                  </w:tcBorders>
                  <w:noWrap w:val="0"/>
                  <w:vAlign w:val="center"/>
                </w:tcPr>
                <w:p w14:paraId="39B970A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bottom"/>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bidi="ar"/>
                    </w:rPr>
                    <w:t>1</w:t>
                  </w:r>
                </w:p>
              </w:tc>
              <w:tc>
                <w:tcPr>
                  <w:tcW w:w="259" w:type="pct"/>
                  <w:vMerge w:val="restart"/>
                  <w:tcBorders>
                    <w:tl2br w:val="nil"/>
                    <w:tr2bl w:val="nil"/>
                  </w:tcBorders>
                  <w:noWrap w:val="0"/>
                  <w:vAlign w:val="center"/>
                </w:tcPr>
                <w:p w14:paraId="059C1C6F">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缠绕机</w:t>
                  </w:r>
                </w:p>
              </w:tc>
              <w:tc>
                <w:tcPr>
                  <w:tcW w:w="403" w:type="pct"/>
                  <w:vMerge w:val="restart"/>
                  <w:tcBorders>
                    <w:tl2br w:val="nil"/>
                    <w:tr2bl w:val="nil"/>
                  </w:tcBorders>
                  <w:noWrap w:val="0"/>
                  <w:vAlign w:val="center"/>
                </w:tcPr>
                <w:p w14:paraId="4FB697D0">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2</w:t>
                  </w:r>
                </w:p>
              </w:tc>
              <w:tc>
                <w:tcPr>
                  <w:tcW w:w="751" w:type="pct"/>
                  <w:vMerge w:val="restart"/>
                  <w:tcBorders>
                    <w:tl2br w:val="nil"/>
                    <w:tr2bl w:val="nil"/>
                  </w:tcBorders>
                  <w:noWrap w:val="0"/>
                  <w:vAlign w:val="center"/>
                </w:tcPr>
                <w:p w14:paraId="42ECDD8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70</w:t>
                  </w:r>
                </w:p>
              </w:tc>
              <w:tc>
                <w:tcPr>
                  <w:tcW w:w="403" w:type="pct"/>
                  <w:vMerge w:val="restart"/>
                  <w:tcBorders>
                    <w:tl2br w:val="nil"/>
                    <w:tr2bl w:val="nil"/>
                  </w:tcBorders>
                  <w:noWrap w:val="0"/>
                  <w:vAlign w:val="center"/>
                </w:tcPr>
                <w:p w14:paraId="4AC70E1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合理布局，隔声、减振等措施</w:t>
                  </w:r>
                </w:p>
              </w:tc>
              <w:tc>
                <w:tcPr>
                  <w:tcW w:w="270" w:type="pct"/>
                  <w:vMerge w:val="restart"/>
                  <w:tcBorders>
                    <w:tl2br w:val="nil"/>
                    <w:tr2bl w:val="nil"/>
                  </w:tcBorders>
                  <w:noWrap w:val="0"/>
                  <w:vAlign w:val="center"/>
                </w:tcPr>
                <w:p w14:paraId="43C4C0D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生产期间</w:t>
                  </w:r>
                </w:p>
              </w:tc>
              <w:tc>
                <w:tcPr>
                  <w:tcW w:w="270" w:type="pct"/>
                  <w:vMerge w:val="restart"/>
                  <w:tcBorders>
                    <w:tl2br w:val="nil"/>
                    <w:tr2bl w:val="nil"/>
                  </w:tcBorders>
                  <w:noWrap w:val="0"/>
                  <w:vAlign w:val="center"/>
                </w:tcPr>
                <w:p w14:paraId="6114484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2</w:t>
                  </w:r>
                  <w:r>
                    <w:rPr>
                      <w:rFonts w:hint="eastAsia" w:ascii="Times New Roman" w:hAnsi="Times New Roman" w:eastAsia="宋体" w:cs="Times New Roman"/>
                      <w:b w:val="0"/>
                      <w:bCs w:val="0"/>
                      <w:color w:val="auto"/>
                      <w:kern w:val="2"/>
                      <w:sz w:val="21"/>
                      <w:szCs w:val="21"/>
                      <w:highlight w:val="none"/>
                      <w:lang w:val="en-US" w:eastAsia="zh-CN" w:bidi="ar-SA"/>
                    </w:rPr>
                    <w:t>#生产车间</w:t>
                  </w:r>
                </w:p>
              </w:tc>
              <w:tc>
                <w:tcPr>
                  <w:tcW w:w="307" w:type="pct"/>
                  <w:tcBorders>
                    <w:tl2br w:val="nil"/>
                    <w:tr2bl w:val="nil"/>
                  </w:tcBorders>
                  <w:noWrap w:val="0"/>
                  <w:vAlign w:val="center"/>
                </w:tcPr>
                <w:p w14:paraId="571D3B7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31</w:t>
                  </w:r>
                </w:p>
              </w:tc>
              <w:tc>
                <w:tcPr>
                  <w:tcW w:w="296" w:type="pct"/>
                  <w:tcBorders>
                    <w:tl2br w:val="nil"/>
                    <w:tr2bl w:val="nil"/>
                  </w:tcBorders>
                  <w:noWrap w:val="0"/>
                  <w:vAlign w:val="center"/>
                </w:tcPr>
                <w:p w14:paraId="4177B5F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277" w:type="pct"/>
                  <w:tcBorders>
                    <w:tl2br w:val="nil"/>
                    <w:tr2bl w:val="nil"/>
                  </w:tcBorders>
                  <w:shd w:val="clear" w:color="auto" w:fill="auto"/>
                  <w:noWrap w:val="0"/>
                  <w:vAlign w:val="center"/>
                </w:tcPr>
                <w:p w14:paraId="1B94661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393" w:type="pct"/>
                  <w:tcBorders>
                    <w:tl2br w:val="nil"/>
                    <w:tr2bl w:val="nil"/>
                  </w:tcBorders>
                  <w:noWrap w:val="0"/>
                  <w:vAlign w:val="center"/>
                </w:tcPr>
                <w:p w14:paraId="077648A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119</w:t>
                  </w:r>
                </w:p>
              </w:tc>
              <w:tc>
                <w:tcPr>
                  <w:tcW w:w="378" w:type="pct"/>
                  <w:tcBorders>
                    <w:tl2br w:val="nil"/>
                    <w:tr2bl w:val="nil"/>
                  </w:tcBorders>
                  <w:noWrap w:val="0"/>
                  <w:vAlign w:val="center"/>
                </w:tcPr>
                <w:p w14:paraId="48466CA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348" w:type="pct"/>
                  <w:tcBorders>
                    <w:tl2br w:val="nil"/>
                    <w:tr2bl w:val="nil"/>
                  </w:tcBorders>
                  <w:noWrap w:val="0"/>
                  <w:vAlign w:val="center"/>
                </w:tcPr>
                <w:p w14:paraId="644E953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31</w:t>
                  </w:r>
                </w:p>
              </w:tc>
              <w:tc>
                <w:tcPr>
                  <w:tcW w:w="390" w:type="pct"/>
                  <w:tcBorders>
                    <w:tl2br w:val="nil"/>
                    <w:tr2bl w:val="nil"/>
                  </w:tcBorders>
                  <w:noWrap w:val="0"/>
                  <w:vAlign w:val="center"/>
                </w:tcPr>
                <w:p w14:paraId="3D7F79B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45</w:t>
                  </w:r>
                </w:p>
              </w:tc>
            </w:tr>
            <w:tr w14:paraId="48E46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250" w:type="pct"/>
                  <w:vMerge w:val="continue"/>
                  <w:tcBorders>
                    <w:tl2br w:val="nil"/>
                    <w:tr2bl w:val="nil"/>
                  </w:tcBorders>
                  <w:noWrap w:val="0"/>
                  <w:vAlign w:val="center"/>
                </w:tcPr>
                <w:p w14:paraId="0C18A9F8">
                  <w:pPr>
                    <w:keepNext w:val="0"/>
                    <w:keepLines w:val="0"/>
                    <w:widowControl/>
                    <w:suppressLineNumbers w:val="0"/>
                    <w:spacing w:before="0" w:beforeAutospacing="0" w:after="0" w:afterAutospacing="0"/>
                    <w:ind w:left="0" w:right="0"/>
                    <w:jc w:val="center"/>
                    <w:textAlignment w:val="center"/>
                    <w:rPr>
                      <w:rFonts w:hint="default"/>
                    </w:rPr>
                  </w:pPr>
                </w:p>
              </w:tc>
              <w:tc>
                <w:tcPr>
                  <w:tcW w:w="259" w:type="pct"/>
                  <w:vMerge w:val="continue"/>
                  <w:tcBorders>
                    <w:tl2br w:val="nil"/>
                    <w:tr2bl w:val="nil"/>
                  </w:tcBorders>
                  <w:noWrap w:val="0"/>
                  <w:vAlign w:val="center"/>
                </w:tcPr>
                <w:p w14:paraId="612970F2">
                  <w:pPr>
                    <w:keepNext w:val="0"/>
                    <w:keepLines w:val="0"/>
                    <w:widowControl/>
                    <w:suppressLineNumbers w:val="0"/>
                    <w:spacing w:before="0" w:beforeAutospacing="0" w:after="0" w:afterAutospacing="0"/>
                    <w:ind w:left="0" w:right="0"/>
                    <w:jc w:val="center"/>
                    <w:textAlignment w:val="center"/>
                    <w:rPr>
                      <w:rFonts w:hint="default"/>
                    </w:rPr>
                  </w:pPr>
                </w:p>
              </w:tc>
              <w:tc>
                <w:tcPr>
                  <w:tcW w:w="403" w:type="pct"/>
                  <w:vMerge w:val="continue"/>
                  <w:tcBorders>
                    <w:tl2br w:val="nil"/>
                    <w:tr2bl w:val="nil"/>
                  </w:tcBorders>
                  <w:noWrap w:val="0"/>
                  <w:vAlign w:val="center"/>
                </w:tcPr>
                <w:p w14:paraId="45223FAA">
                  <w:pPr>
                    <w:keepNext w:val="0"/>
                    <w:keepLines w:val="0"/>
                    <w:widowControl/>
                    <w:suppressLineNumbers w:val="0"/>
                    <w:spacing w:before="0" w:beforeAutospacing="0" w:after="0" w:afterAutospacing="0"/>
                    <w:ind w:left="0" w:right="0"/>
                    <w:jc w:val="center"/>
                    <w:textAlignment w:val="center"/>
                    <w:rPr>
                      <w:rFonts w:hint="default"/>
                    </w:rPr>
                  </w:pPr>
                </w:p>
              </w:tc>
              <w:tc>
                <w:tcPr>
                  <w:tcW w:w="751" w:type="pct"/>
                  <w:vMerge w:val="continue"/>
                  <w:tcBorders>
                    <w:tl2br w:val="nil"/>
                    <w:tr2bl w:val="nil"/>
                  </w:tcBorders>
                  <w:noWrap w:val="0"/>
                  <w:vAlign w:val="center"/>
                </w:tcPr>
                <w:p w14:paraId="68F4C179">
                  <w:pPr>
                    <w:keepNext w:val="0"/>
                    <w:keepLines w:val="0"/>
                    <w:widowControl/>
                    <w:suppressLineNumbers w:val="0"/>
                    <w:spacing w:before="0" w:beforeAutospacing="0" w:after="0" w:afterAutospacing="0"/>
                    <w:ind w:left="0" w:right="0"/>
                    <w:jc w:val="center"/>
                    <w:textAlignment w:val="center"/>
                    <w:rPr>
                      <w:rFonts w:hint="default"/>
                    </w:rPr>
                  </w:pPr>
                </w:p>
              </w:tc>
              <w:tc>
                <w:tcPr>
                  <w:tcW w:w="403" w:type="pct"/>
                  <w:vMerge w:val="continue"/>
                  <w:tcBorders>
                    <w:tl2br w:val="nil"/>
                    <w:tr2bl w:val="nil"/>
                  </w:tcBorders>
                  <w:noWrap w:val="0"/>
                  <w:vAlign w:val="center"/>
                </w:tcPr>
                <w:p w14:paraId="45B9225E">
                  <w:pPr>
                    <w:keepNext w:val="0"/>
                    <w:keepLines w:val="0"/>
                    <w:widowControl/>
                    <w:suppressLineNumbers w:val="0"/>
                    <w:spacing w:before="0" w:beforeAutospacing="0" w:after="0" w:afterAutospacing="0"/>
                    <w:ind w:left="0" w:right="0"/>
                    <w:jc w:val="center"/>
                    <w:textAlignment w:val="center"/>
                    <w:rPr>
                      <w:rFonts w:hint="default"/>
                    </w:rPr>
                  </w:pPr>
                </w:p>
              </w:tc>
              <w:tc>
                <w:tcPr>
                  <w:tcW w:w="270" w:type="pct"/>
                  <w:vMerge w:val="continue"/>
                  <w:tcBorders>
                    <w:tl2br w:val="nil"/>
                    <w:tr2bl w:val="nil"/>
                  </w:tcBorders>
                  <w:noWrap w:val="0"/>
                  <w:vAlign w:val="center"/>
                </w:tcPr>
                <w:p w14:paraId="2E4EA0EB">
                  <w:pPr>
                    <w:keepNext w:val="0"/>
                    <w:keepLines w:val="0"/>
                    <w:widowControl/>
                    <w:suppressLineNumbers w:val="0"/>
                    <w:spacing w:before="0" w:beforeAutospacing="0" w:after="0" w:afterAutospacing="0"/>
                    <w:ind w:left="0" w:right="0"/>
                    <w:jc w:val="center"/>
                    <w:textAlignment w:val="center"/>
                    <w:rPr>
                      <w:rFonts w:hint="default"/>
                    </w:rPr>
                  </w:pPr>
                </w:p>
              </w:tc>
              <w:tc>
                <w:tcPr>
                  <w:tcW w:w="270" w:type="pct"/>
                  <w:vMerge w:val="continue"/>
                  <w:tcBorders>
                    <w:tl2br w:val="nil"/>
                    <w:tr2bl w:val="nil"/>
                  </w:tcBorders>
                  <w:noWrap w:val="0"/>
                  <w:vAlign w:val="center"/>
                </w:tcPr>
                <w:p w14:paraId="774832AC">
                  <w:pPr>
                    <w:keepNext w:val="0"/>
                    <w:keepLines w:val="0"/>
                    <w:widowControl/>
                    <w:suppressLineNumbers w:val="0"/>
                    <w:spacing w:before="0" w:beforeAutospacing="0" w:after="0" w:afterAutospacing="0"/>
                    <w:ind w:left="0" w:right="0"/>
                    <w:jc w:val="center"/>
                    <w:textAlignment w:val="center"/>
                    <w:rPr>
                      <w:rFonts w:hint="default"/>
                    </w:rPr>
                  </w:pPr>
                </w:p>
              </w:tc>
              <w:tc>
                <w:tcPr>
                  <w:tcW w:w="307" w:type="pct"/>
                  <w:tcBorders>
                    <w:tl2br w:val="nil"/>
                    <w:tr2bl w:val="nil"/>
                  </w:tcBorders>
                  <w:noWrap w:val="0"/>
                  <w:vAlign w:val="center"/>
                </w:tcPr>
                <w:p w14:paraId="5CFB5F5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31</w:t>
                  </w:r>
                </w:p>
              </w:tc>
              <w:tc>
                <w:tcPr>
                  <w:tcW w:w="296" w:type="pct"/>
                  <w:tcBorders>
                    <w:tl2br w:val="nil"/>
                    <w:tr2bl w:val="nil"/>
                  </w:tcBorders>
                  <w:noWrap w:val="0"/>
                  <w:vAlign w:val="center"/>
                </w:tcPr>
                <w:p w14:paraId="0735AE3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277" w:type="pct"/>
                  <w:tcBorders>
                    <w:tl2br w:val="nil"/>
                    <w:tr2bl w:val="nil"/>
                  </w:tcBorders>
                  <w:shd w:val="clear" w:color="auto" w:fill="auto"/>
                  <w:noWrap w:val="0"/>
                  <w:vAlign w:val="center"/>
                </w:tcPr>
                <w:p w14:paraId="58E9080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393" w:type="pct"/>
                  <w:tcBorders>
                    <w:tl2br w:val="nil"/>
                    <w:tr2bl w:val="nil"/>
                  </w:tcBorders>
                  <w:noWrap w:val="0"/>
                  <w:vAlign w:val="center"/>
                </w:tcPr>
                <w:p w14:paraId="2E238A9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119</w:t>
                  </w:r>
                </w:p>
              </w:tc>
              <w:tc>
                <w:tcPr>
                  <w:tcW w:w="378" w:type="pct"/>
                  <w:tcBorders>
                    <w:tl2br w:val="nil"/>
                    <w:tr2bl w:val="nil"/>
                  </w:tcBorders>
                  <w:noWrap w:val="0"/>
                  <w:vAlign w:val="center"/>
                </w:tcPr>
                <w:p w14:paraId="4A69CEB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348" w:type="pct"/>
                  <w:tcBorders>
                    <w:tl2br w:val="nil"/>
                    <w:tr2bl w:val="nil"/>
                  </w:tcBorders>
                  <w:noWrap w:val="0"/>
                  <w:vAlign w:val="center"/>
                </w:tcPr>
                <w:p w14:paraId="096078E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31</w:t>
                  </w:r>
                </w:p>
              </w:tc>
              <w:tc>
                <w:tcPr>
                  <w:tcW w:w="390" w:type="pct"/>
                  <w:tcBorders>
                    <w:tl2br w:val="nil"/>
                    <w:tr2bl w:val="nil"/>
                  </w:tcBorders>
                  <w:noWrap w:val="0"/>
                  <w:vAlign w:val="center"/>
                </w:tcPr>
                <w:p w14:paraId="07EDEA1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35</w:t>
                  </w:r>
                </w:p>
              </w:tc>
            </w:tr>
            <w:tr w14:paraId="230EF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50" w:type="pct"/>
                  <w:vMerge w:val="restart"/>
                  <w:noWrap w:val="0"/>
                  <w:vAlign w:val="center"/>
                </w:tcPr>
                <w:p w14:paraId="0FA3B8E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bottom"/>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eastAsia="宋体" w:cs="Times New Roman"/>
                      <w:b w:val="0"/>
                      <w:bCs w:val="0"/>
                      <w:color w:val="auto"/>
                      <w:kern w:val="0"/>
                      <w:sz w:val="21"/>
                      <w:szCs w:val="21"/>
                      <w:highlight w:val="none"/>
                      <w:lang w:val="en-US" w:eastAsia="zh-CN" w:bidi="ar"/>
                    </w:rPr>
                    <w:t>2</w:t>
                  </w:r>
                </w:p>
              </w:tc>
              <w:tc>
                <w:tcPr>
                  <w:tcW w:w="259" w:type="pct"/>
                  <w:vMerge w:val="restart"/>
                  <w:noWrap w:val="0"/>
                  <w:vAlign w:val="center"/>
                </w:tcPr>
                <w:p w14:paraId="24D986F7">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挤出机</w:t>
                  </w:r>
                </w:p>
              </w:tc>
              <w:tc>
                <w:tcPr>
                  <w:tcW w:w="403" w:type="pct"/>
                  <w:vMerge w:val="restart"/>
                  <w:noWrap w:val="0"/>
                  <w:vAlign w:val="center"/>
                </w:tcPr>
                <w:p w14:paraId="18DBC80E">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6</w:t>
                  </w:r>
                </w:p>
              </w:tc>
              <w:tc>
                <w:tcPr>
                  <w:tcW w:w="751" w:type="pct"/>
                  <w:vMerge w:val="restart"/>
                  <w:noWrap w:val="0"/>
                  <w:vAlign w:val="center"/>
                </w:tcPr>
                <w:p w14:paraId="447DA9F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80</w:t>
                  </w:r>
                </w:p>
              </w:tc>
              <w:tc>
                <w:tcPr>
                  <w:tcW w:w="403" w:type="pct"/>
                  <w:vMerge w:val="continue"/>
                  <w:noWrap w:val="0"/>
                  <w:vAlign w:val="top"/>
                </w:tcPr>
                <w:p w14:paraId="5BC161F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p>
              </w:tc>
              <w:tc>
                <w:tcPr>
                  <w:tcW w:w="270" w:type="pct"/>
                  <w:vMerge w:val="continue"/>
                  <w:noWrap w:val="0"/>
                  <w:vAlign w:val="top"/>
                </w:tcPr>
                <w:p w14:paraId="3E80EB0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p>
              </w:tc>
              <w:tc>
                <w:tcPr>
                  <w:tcW w:w="270" w:type="pct"/>
                  <w:vMerge w:val="restart"/>
                  <w:noWrap w:val="0"/>
                  <w:vAlign w:val="center"/>
                </w:tcPr>
                <w:p w14:paraId="66515AE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2</w:t>
                  </w:r>
                  <w:r>
                    <w:rPr>
                      <w:rFonts w:hint="eastAsia" w:ascii="Times New Roman" w:hAnsi="Times New Roman" w:eastAsia="宋体" w:cs="Times New Roman"/>
                      <w:b w:val="0"/>
                      <w:bCs w:val="0"/>
                      <w:color w:val="auto"/>
                      <w:kern w:val="2"/>
                      <w:sz w:val="21"/>
                      <w:szCs w:val="21"/>
                      <w:highlight w:val="none"/>
                      <w:lang w:val="en-US" w:eastAsia="zh-CN" w:bidi="ar-SA"/>
                    </w:rPr>
                    <w:t>#生产车间</w:t>
                  </w:r>
                </w:p>
              </w:tc>
              <w:tc>
                <w:tcPr>
                  <w:tcW w:w="307" w:type="pct"/>
                  <w:shd w:val="clear" w:color="auto" w:fill="auto"/>
                  <w:noWrap w:val="0"/>
                  <w:vAlign w:val="center"/>
                </w:tcPr>
                <w:p w14:paraId="6EC237E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32</w:t>
                  </w:r>
                </w:p>
              </w:tc>
              <w:tc>
                <w:tcPr>
                  <w:tcW w:w="296" w:type="pct"/>
                  <w:noWrap w:val="0"/>
                  <w:vAlign w:val="center"/>
                </w:tcPr>
                <w:p w14:paraId="1EB98E3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27</w:t>
                  </w:r>
                </w:p>
              </w:tc>
              <w:tc>
                <w:tcPr>
                  <w:tcW w:w="277" w:type="pct"/>
                  <w:shd w:val="clear" w:color="auto" w:fill="auto"/>
                  <w:noWrap w:val="0"/>
                  <w:vAlign w:val="center"/>
                </w:tcPr>
                <w:p w14:paraId="70E087A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393" w:type="pct"/>
                  <w:noWrap w:val="0"/>
                  <w:vAlign w:val="center"/>
                </w:tcPr>
                <w:p w14:paraId="6FF4E03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118</w:t>
                  </w:r>
                </w:p>
              </w:tc>
              <w:tc>
                <w:tcPr>
                  <w:tcW w:w="378" w:type="pct"/>
                  <w:noWrap w:val="0"/>
                  <w:vAlign w:val="center"/>
                </w:tcPr>
                <w:p w14:paraId="7C6D6D0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27</w:t>
                  </w:r>
                </w:p>
              </w:tc>
              <w:tc>
                <w:tcPr>
                  <w:tcW w:w="348" w:type="pct"/>
                  <w:noWrap w:val="0"/>
                  <w:vAlign w:val="center"/>
                </w:tcPr>
                <w:p w14:paraId="238DD8D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32</w:t>
                  </w:r>
                </w:p>
              </w:tc>
              <w:tc>
                <w:tcPr>
                  <w:tcW w:w="390" w:type="pct"/>
                  <w:noWrap w:val="0"/>
                  <w:vAlign w:val="center"/>
                </w:tcPr>
                <w:p w14:paraId="005D47EE">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43</w:t>
                  </w:r>
                </w:p>
              </w:tc>
            </w:tr>
            <w:tr w14:paraId="2D0CC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0" w:type="pct"/>
                  <w:vMerge w:val="continue"/>
                  <w:noWrap w:val="0"/>
                  <w:vAlign w:val="center"/>
                </w:tcPr>
                <w:p w14:paraId="7A1B1045">
                  <w:pPr>
                    <w:keepNext w:val="0"/>
                    <w:keepLines w:val="0"/>
                    <w:widowControl/>
                    <w:suppressLineNumbers w:val="0"/>
                    <w:spacing w:before="0" w:beforeAutospacing="0" w:after="0" w:afterAutospacing="0"/>
                    <w:ind w:left="0" w:right="0"/>
                    <w:jc w:val="center"/>
                    <w:textAlignment w:val="center"/>
                    <w:rPr>
                      <w:rFonts w:hint="default"/>
                    </w:rPr>
                  </w:pPr>
                </w:p>
              </w:tc>
              <w:tc>
                <w:tcPr>
                  <w:tcW w:w="259" w:type="pct"/>
                  <w:vMerge w:val="continue"/>
                  <w:noWrap w:val="0"/>
                  <w:vAlign w:val="center"/>
                </w:tcPr>
                <w:p w14:paraId="4623B4A9">
                  <w:pPr>
                    <w:keepNext w:val="0"/>
                    <w:keepLines w:val="0"/>
                    <w:widowControl/>
                    <w:suppressLineNumbers w:val="0"/>
                    <w:spacing w:before="0" w:beforeAutospacing="0" w:after="0" w:afterAutospacing="0"/>
                    <w:ind w:left="0" w:right="0"/>
                    <w:jc w:val="center"/>
                    <w:textAlignment w:val="center"/>
                    <w:rPr>
                      <w:rFonts w:hint="default"/>
                    </w:rPr>
                  </w:pPr>
                </w:p>
              </w:tc>
              <w:tc>
                <w:tcPr>
                  <w:tcW w:w="403" w:type="pct"/>
                  <w:vMerge w:val="continue"/>
                  <w:noWrap w:val="0"/>
                  <w:vAlign w:val="center"/>
                </w:tcPr>
                <w:p w14:paraId="32BF2285">
                  <w:pPr>
                    <w:keepNext w:val="0"/>
                    <w:keepLines w:val="0"/>
                    <w:widowControl/>
                    <w:suppressLineNumbers w:val="0"/>
                    <w:spacing w:before="0" w:beforeAutospacing="0" w:after="0" w:afterAutospacing="0"/>
                    <w:ind w:left="0" w:right="0"/>
                    <w:jc w:val="center"/>
                    <w:textAlignment w:val="center"/>
                    <w:rPr>
                      <w:rFonts w:hint="default"/>
                    </w:rPr>
                  </w:pPr>
                </w:p>
              </w:tc>
              <w:tc>
                <w:tcPr>
                  <w:tcW w:w="751" w:type="pct"/>
                  <w:vMerge w:val="continue"/>
                  <w:noWrap w:val="0"/>
                  <w:vAlign w:val="center"/>
                </w:tcPr>
                <w:p w14:paraId="1E2F4409">
                  <w:pPr>
                    <w:keepNext w:val="0"/>
                    <w:keepLines w:val="0"/>
                    <w:widowControl/>
                    <w:suppressLineNumbers w:val="0"/>
                    <w:spacing w:before="0" w:beforeAutospacing="0" w:after="0" w:afterAutospacing="0"/>
                    <w:ind w:left="0" w:right="0"/>
                    <w:jc w:val="center"/>
                    <w:textAlignment w:val="center"/>
                    <w:rPr>
                      <w:rFonts w:hint="default"/>
                    </w:rPr>
                  </w:pPr>
                </w:p>
              </w:tc>
              <w:tc>
                <w:tcPr>
                  <w:tcW w:w="403" w:type="pct"/>
                  <w:vMerge w:val="continue"/>
                  <w:noWrap w:val="0"/>
                  <w:vAlign w:val="top"/>
                </w:tcPr>
                <w:p w14:paraId="04C6722D">
                  <w:pPr>
                    <w:keepNext w:val="0"/>
                    <w:keepLines w:val="0"/>
                    <w:widowControl/>
                    <w:suppressLineNumbers w:val="0"/>
                    <w:spacing w:before="0" w:beforeAutospacing="0" w:after="0" w:afterAutospacing="0"/>
                    <w:ind w:left="0" w:right="0"/>
                    <w:jc w:val="center"/>
                    <w:textAlignment w:val="center"/>
                    <w:rPr>
                      <w:rFonts w:hint="default"/>
                    </w:rPr>
                  </w:pPr>
                </w:p>
              </w:tc>
              <w:tc>
                <w:tcPr>
                  <w:tcW w:w="270" w:type="pct"/>
                  <w:vMerge w:val="continue"/>
                  <w:noWrap w:val="0"/>
                  <w:vAlign w:val="top"/>
                </w:tcPr>
                <w:p w14:paraId="4E50AAB5">
                  <w:pPr>
                    <w:keepNext w:val="0"/>
                    <w:keepLines w:val="0"/>
                    <w:widowControl/>
                    <w:suppressLineNumbers w:val="0"/>
                    <w:spacing w:before="0" w:beforeAutospacing="0" w:after="0" w:afterAutospacing="0"/>
                    <w:ind w:left="0" w:right="0"/>
                    <w:jc w:val="center"/>
                    <w:textAlignment w:val="center"/>
                    <w:rPr>
                      <w:rFonts w:hint="default"/>
                    </w:rPr>
                  </w:pPr>
                </w:p>
              </w:tc>
              <w:tc>
                <w:tcPr>
                  <w:tcW w:w="270" w:type="pct"/>
                  <w:vMerge w:val="continue"/>
                  <w:noWrap w:val="0"/>
                  <w:vAlign w:val="center"/>
                </w:tcPr>
                <w:p w14:paraId="405C30F7">
                  <w:pPr>
                    <w:keepNext w:val="0"/>
                    <w:keepLines w:val="0"/>
                    <w:widowControl/>
                    <w:suppressLineNumbers w:val="0"/>
                    <w:spacing w:before="0" w:beforeAutospacing="0" w:after="0" w:afterAutospacing="0"/>
                    <w:ind w:left="0" w:right="0"/>
                    <w:jc w:val="center"/>
                    <w:textAlignment w:val="center"/>
                    <w:rPr>
                      <w:rFonts w:hint="default"/>
                    </w:rPr>
                  </w:pPr>
                </w:p>
              </w:tc>
              <w:tc>
                <w:tcPr>
                  <w:tcW w:w="307" w:type="pct"/>
                  <w:shd w:val="clear" w:color="auto" w:fill="auto"/>
                  <w:noWrap w:val="0"/>
                  <w:vAlign w:val="center"/>
                </w:tcPr>
                <w:p w14:paraId="71AE56E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32</w:t>
                  </w:r>
                </w:p>
              </w:tc>
              <w:tc>
                <w:tcPr>
                  <w:tcW w:w="296" w:type="pct"/>
                  <w:noWrap w:val="0"/>
                  <w:vAlign w:val="center"/>
                </w:tcPr>
                <w:p w14:paraId="7851C7C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37</w:t>
                  </w:r>
                </w:p>
              </w:tc>
              <w:tc>
                <w:tcPr>
                  <w:tcW w:w="277" w:type="pct"/>
                  <w:shd w:val="clear" w:color="auto" w:fill="auto"/>
                  <w:noWrap w:val="0"/>
                  <w:vAlign w:val="center"/>
                </w:tcPr>
                <w:p w14:paraId="7E82826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393" w:type="pct"/>
                  <w:noWrap w:val="0"/>
                  <w:vAlign w:val="center"/>
                </w:tcPr>
                <w:p w14:paraId="1B0BE9A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118</w:t>
                  </w:r>
                </w:p>
              </w:tc>
              <w:tc>
                <w:tcPr>
                  <w:tcW w:w="378" w:type="pct"/>
                  <w:noWrap w:val="0"/>
                  <w:vAlign w:val="center"/>
                </w:tcPr>
                <w:p w14:paraId="5DFFFA9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37</w:t>
                  </w:r>
                </w:p>
              </w:tc>
              <w:tc>
                <w:tcPr>
                  <w:tcW w:w="348" w:type="pct"/>
                  <w:noWrap w:val="0"/>
                  <w:vAlign w:val="center"/>
                </w:tcPr>
                <w:p w14:paraId="689042A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32</w:t>
                  </w:r>
                </w:p>
              </w:tc>
              <w:tc>
                <w:tcPr>
                  <w:tcW w:w="390" w:type="pct"/>
                  <w:noWrap w:val="0"/>
                  <w:vAlign w:val="center"/>
                </w:tcPr>
                <w:p w14:paraId="68F061B7">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33</w:t>
                  </w:r>
                </w:p>
              </w:tc>
            </w:tr>
            <w:tr w14:paraId="6235C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0" w:type="pct"/>
                  <w:vMerge w:val="continue"/>
                  <w:noWrap w:val="0"/>
                  <w:vAlign w:val="center"/>
                </w:tcPr>
                <w:p w14:paraId="11F2C188">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p>
              </w:tc>
              <w:tc>
                <w:tcPr>
                  <w:tcW w:w="259" w:type="pct"/>
                  <w:vMerge w:val="continue"/>
                  <w:noWrap w:val="0"/>
                  <w:vAlign w:val="center"/>
                </w:tcPr>
                <w:p w14:paraId="1B0188A5">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p>
              </w:tc>
              <w:tc>
                <w:tcPr>
                  <w:tcW w:w="403" w:type="pct"/>
                  <w:vMerge w:val="continue"/>
                  <w:noWrap w:val="0"/>
                  <w:vAlign w:val="center"/>
                </w:tcPr>
                <w:p w14:paraId="7C1C80C8">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p>
              </w:tc>
              <w:tc>
                <w:tcPr>
                  <w:tcW w:w="751" w:type="pct"/>
                  <w:vMerge w:val="continue"/>
                  <w:noWrap w:val="0"/>
                  <w:vAlign w:val="center"/>
                </w:tcPr>
                <w:p w14:paraId="1F93ACDD">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p>
              </w:tc>
              <w:tc>
                <w:tcPr>
                  <w:tcW w:w="403" w:type="pct"/>
                  <w:vMerge w:val="continue"/>
                  <w:noWrap w:val="0"/>
                  <w:vAlign w:val="top"/>
                </w:tcPr>
                <w:p w14:paraId="7F453DE2">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p>
              </w:tc>
              <w:tc>
                <w:tcPr>
                  <w:tcW w:w="270" w:type="pct"/>
                  <w:vMerge w:val="continue"/>
                  <w:noWrap w:val="0"/>
                  <w:vAlign w:val="top"/>
                </w:tcPr>
                <w:p w14:paraId="35151692">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p>
              </w:tc>
              <w:tc>
                <w:tcPr>
                  <w:tcW w:w="270" w:type="pct"/>
                  <w:vMerge w:val="continue"/>
                  <w:noWrap w:val="0"/>
                  <w:vAlign w:val="center"/>
                </w:tcPr>
                <w:p w14:paraId="6AE414F7">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p>
              </w:tc>
              <w:tc>
                <w:tcPr>
                  <w:tcW w:w="307" w:type="pct"/>
                  <w:shd w:val="clear" w:color="auto" w:fill="auto"/>
                  <w:noWrap w:val="0"/>
                  <w:vAlign w:val="center"/>
                </w:tcPr>
                <w:p w14:paraId="0B5384B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40</w:t>
                  </w:r>
                </w:p>
              </w:tc>
              <w:tc>
                <w:tcPr>
                  <w:tcW w:w="296" w:type="pct"/>
                  <w:noWrap w:val="0"/>
                  <w:vAlign w:val="center"/>
                </w:tcPr>
                <w:p w14:paraId="0DF7DF2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33</w:t>
                  </w:r>
                </w:p>
              </w:tc>
              <w:tc>
                <w:tcPr>
                  <w:tcW w:w="277" w:type="pct"/>
                  <w:shd w:val="clear" w:color="auto" w:fill="auto"/>
                  <w:noWrap w:val="0"/>
                  <w:vAlign w:val="center"/>
                </w:tcPr>
                <w:p w14:paraId="408D7FB5">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393" w:type="pct"/>
                  <w:noWrap w:val="0"/>
                  <w:vAlign w:val="center"/>
                </w:tcPr>
                <w:p w14:paraId="799676E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110</w:t>
                  </w:r>
                </w:p>
              </w:tc>
              <w:tc>
                <w:tcPr>
                  <w:tcW w:w="378" w:type="pct"/>
                  <w:noWrap w:val="0"/>
                  <w:vAlign w:val="center"/>
                </w:tcPr>
                <w:p w14:paraId="4E4086C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33</w:t>
                  </w:r>
                </w:p>
              </w:tc>
              <w:tc>
                <w:tcPr>
                  <w:tcW w:w="348" w:type="pct"/>
                  <w:noWrap w:val="0"/>
                  <w:vAlign w:val="center"/>
                </w:tcPr>
                <w:p w14:paraId="12A503F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40</w:t>
                  </w:r>
                </w:p>
              </w:tc>
              <w:tc>
                <w:tcPr>
                  <w:tcW w:w="390" w:type="pct"/>
                  <w:noWrap w:val="0"/>
                  <w:vAlign w:val="center"/>
                </w:tcPr>
                <w:p w14:paraId="55D27D4B">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37</w:t>
                  </w:r>
                </w:p>
              </w:tc>
            </w:tr>
            <w:tr w14:paraId="00389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0" w:type="pct"/>
                  <w:vMerge w:val="continue"/>
                  <w:noWrap w:val="0"/>
                  <w:vAlign w:val="center"/>
                </w:tcPr>
                <w:p w14:paraId="3FD93A26">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p>
              </w:tc>
              <w:tc>
                <w:tcPr>
                  <w:tcW w:w="259" w:type="pct"/>
                  <w:vMerge w:val="continue"/>
                  <w:noWrap w:val="0"/>
                  <w:vAlign w:val="center"/>
                </w:tcPr>
                <w:p w14:paraId="7C301EEE">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p>
              </w:tc>
              <w:tc>
                <w:tcPr>
                  <w:tcW w:w="403" w:type="pct"/>
                  <w:vMerge w:val="continue"/>
                  <w:noWrap w:val="0"/>
                  <w:vAlign w:val="center"/>
                </w:tcPr>
                <w:p w14:paraId="066C0EEE">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p>
              </w:tc>
              <w:tc>
                <w:tcPr>
                  <w:tcW w:w="751" w:type="pct"/>
                  <w:vMerge w:val="continue"/>
                  <w:noWrap w:val="0"/>
                  <w:vAlign w:val="center"/>
                </w:tcPr>
                <w:p w14:paraId="276FB084">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p>
              </w:tc>
              <w:tc>
                <w:tcPr>
                  <w:tcW w:w="403" w:type="pct"/>
                  <w:vMerge w:val="continue"/>
                  <w:noWrap w:val="0"/>
                  <w:vAlign w:val="top"/>
                </w:tcPr>
                <w:p w14:paraId="0EFD7ED3">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p>
              </w:tc>
              <w:tc>
                <w:tcPr>
                  <w:tcW w:w="270" w:type="pct"/>
                  <w:vMerge w:val="continue"/>
                  <w:noWrap w:val="0"/>
                  <w:vAlign w:val="top"/>
                </w:tcPr>
                <w:p w14:paraId="60A258DB">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p>
              </w:tc>
              <w:tc>
                <w:tcPr>
                  <w:tcW w:w="270" w:type="pct"/>
                  <w:vMerge w:val="continue"/>
                  <w:noWrap w:val="0"/>
                  <w:vAlign w:val="center"/>
                </w:tcPr>
                <w:p w14:paraId="2BE984B5">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p>
              </w:tc>
              <w:tc>
                <w:tcPr>
                  <w:tcW w:w="307" w:type="pct"/>
                  <w:noWrap w:val="0"/>
                  <w:vAlign w:val="center"/>
                </w:tcPr>
                <w:p w14:paraId="4A780AE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45</w:t>
                  </w:r>
                </w:p>
              </w:tc>
              <w:tc>
                <w:tcPr>
                  <w:tcW w:w="296" w:type="pct"/>
                  <w:noWrap w:val="0"/>
                  <w:vAlign w:val="center"/>
                </w:tcPr>
                <w:p w14:paraId="05E503B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33</w:t>
                  </w:r>
                </w:p>
              </w:tc>
              <w:tc>
                <w:tcPr>
                  <w:tcW w:w="277" w:type="pct"/>
                  <w:shd w:val="clear" w:color="auto" w:fill="auto"/>
                  <w:noWrap w:val="0"/>
                  <w:vAlign w:val="center"/>
                </w:tcPr>
                <w:p w14:paraId="61EBC69A">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393" w:type="pct"/>
                  <w:noWrap w:val="0"/>
                  <w:vAlign w:val="center"/>
                </w:tcPr>
                <w:p w14:paraId="7E21A9F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105</w:t>
                  </w:r>
                </w:p>
              </w:tc>
              <w:tc>
                <w:tcPr>
                  <w:tcW w:w="378" w:type="pct"/>
                  <w:noWrap w:val="0"/>
                  <w:vAlign w:val="center"/>
                </w:tcPr>
                <w:p w14:paraId="18269C9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33</w:t>
                  </w:r>
                </w:p>
              </w:tc>
              <w:tc>
                <w:tcPr>
                  <w:tcW w:w="348" w:type="pct"/>
                  <w:noWrap w:val="0"/>
                  <w:vAlign w:val="center"/>
                </w:tcPr>
                <w:p w14:paraId="12D81D3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45</w:t>
                  </w:r>
                </w:p>
              </w:tc>
              <w:tc>
                <w:tcPr>
                  <w:tcW w:w="390" w:type="pct"/>
                  <w:noWrap w:val="0"/>
                  <w:vAlign w:val="center"/>
                </w:tcPr>
                <w:p w14:paraId="1A73D727">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37</w:t>
                  </w:r>
                </w:p>
              </w:tc>
            </w:tr>
            <w:tr w14:paraId="52BA6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0" w:type="pct"/>
                  <w:vMerge w:val="continue"/>
                  <w:noWrap w:val="0"/>
                  <w:vAlign w:val="center"/>
                </w:tcPr>
                <w:p w14:paraId="0BEC8271">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p>
              </w:tc>
              <w:tc>
                <w:tcPr>
                  <w:tcW w:w="259" w:type="pct"/>
                  <w:vMerge w:val="continue"/>
                  <w:noWrap w:val="0"/>
                  <w:vAlign w:val="center"/>
                </w:tcPr>
                <w:p w14:paraId="7930143F">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p>
              </w:tc>
              <w:tc>
                <w:tcPr>
                  <w:tcW w:w="403" w:type="pct"/>
                  <w:vMerge w:val="continue"/>
                  <w:noWrap w:val="0"/>
                  <w:vAlign w:val="center"/>
                </w:tcPr>
                <w:p w14:paraId="08E0953C">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p>
              </w:tc>
              <w:tc>
                <w:tcPr>
                  <w:tcW w:w="751" w:type="pct"/>
                  <w:vMerge w:val="continue"/>
                  <w:noWrap w:val="0"/>
                  <w:vAlign w:val="center"/>
                </w:tcPr>
                <w:p w14:paraId="5694A748">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p>
              </w:tc>
              <w:tc>
                <w:tcPr>
                  <w:tcW w:w="403" w:type="pct"/>
                  <w:vMerge w:val="continue"/>
                  <w:noWrap w:val="0"/>
                  <w:vAlign w:val="top"/>
                </w:tcPr>
                <w:p w14:paraId="3968ED9A">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p>
              </w:tc>
              <w:tc>
                <w:tcPr>
                  <w:tcW w:w="270" w:type="pct"/>
                  <w:vMerge w:val="continue"/>
                  <w:noWrap w:val="0"/>
                  <w:vAlign w:val="top"/>
                </w:tcPr>
                <w:p w14:paraId="7CCBB04B">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p>
              </w:tc>
              <w:tc>
                <w:tcPr>
                  <w:tcW w:w="270" w:type="pct"/>
                  <w:vMerge w:val="continue"/>
                  <w:noWrap w:val="0"/>
                  <w:vAlign w:val="center"/>
                </w:tcPr>
                <w:p w14:paraId="4966321E">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p>
              </w:tc>
              <w:tc>
                <w:tcPr>
                  <w:tcW w:w="307" w:type="pct"/>
                  <w:noWrap w:val="0"/>
                  <w:vAlign w:val="center"/>
                </w:tcPr>
                <w:p w14:paraId="4CDBE65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296" w:type="pct"/>
                  <w:noWrap w:val="0"/>
                  <w:vAlign w:val="center"/>
                </w:tcPr>
                <w:p w14:paraId="4E7A523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277" w:type="pct"/>
                  <w:shd w:val="clear" w:color="auto" w:fill="auto"/>
                  <w:noWrap w:val="0"/>
                  <w:vAlign w:val="center"/>
                </w:tcPr>
                <w:p w14:paraId="6AEC0C20">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393" w:type="pct"/>
                  <w:noWrap w:val="0"/>
                  <w:vAlign w:val="center"/>
                </w:tcPr>
                <w:p w14:paraId="386E1A5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378" w:type="pct"/>
                  <w:noWrap w:val="0"/>
                  <w:vAlign w:val="center"/>
                </w:tcPr>
                <w:p w14:paraId="59A28C0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348" w:type="pct"/>
                  <w:noWrap w:val="0"/>
                  <w:vAlign w:val="center"/>
                </w:tcPr>
                <w:p w14:paraId="62F69ED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390" w:type="pct"/>
                  <w:noWrap w:val="0"/>
                  <w:vAlign w:val="center"/>
                </w:tcPr>
                <w:p w14:paraId="1BB0EDB2">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40</w:t>
                  </w:r>
                </w:p>
              </w:tc>
            </w:tr>
            <w:tr w14:paraId="19D3E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0" w:type="pct"/>
                  <w:vMerge w:val="continue"/>
                  <w:noWrap w:val="0"/>
                  <w:vAlign w:val="center"/>
                </w:tcPr>
                <w:p w14:paraId="1ACCA7B4">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p>
              </w:tc>
              <w:tc>
                <w:tcPr>
                  <w:tcW w:w="259" w:type="pct"/>
                  <w:vMerge w:val="continue"/>
                  <w:noWrap w:val="0"/>
                  <w:vAlign w:val="center"/>
                </w:tcPr>
                <w:p w14:paraId="78EEEA42">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p>
              </w:tc>
              <w:tc>
                <w:tcPr>
                  <w:tcW w:w="403" w:type="pct"/>
                  <w:vMerge w:val="continue"/>
                  <w:noWrap w:val="0"/>
                  <w:vAlign w:val="center"/>
                </w:tcPr>
                <w:p w14:paraId="5971CD7C">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p>
              </w:tc>
              <w:tc>
                <w:tcPr>
                  <w:tcW w:w="751" w:type="pct"/>
                  <w:vMerge w:val="continue"/>
                  <w:noWrap w:val="0"/>
                  <w:vAlign w:val="center"/>
                </w:tcPr>
                <w:p w14:paraId="23598187">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p>
              </w:tc>
              <w:tc>
                <w:tcPr>
                  <w:tcW w:w="403" w:type="pct"/>
                  <w:vMerge w:val="continue"/>
                  <w:noWrap w:val="0"/>
                  <w:vAlign w:val="top"/>
                </w:tcPr>
                <w:p w14:paraId="2ED32916">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p>
              </w:tc>
              <w:tc>
                <w:tcPr>
                  <w:tcW w:w="270" w:type="pct"/>
                  <w:vMerge w:val="continue"/>
                  <w:noWrap w:val="0"/>
                  <w:vAlign w:val="top"/>
                </w:tcPr>
                <w:p w14:paraId="56D40B7E">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p>
              </w:tc>
              <w:tc>
                <w:tcPr>
                  <w:tcW w:w="270" w:type="pct"/>
                  <w:vMerge w:val="continue"/>
                  <w:noWrap w:val="0"/>
                  <w:vAlign w:val="center"/>
                </w:tcPr>
                <w:p w14:paraId="241CB746">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p>
              </w:tc>
              <w:tc>
                <w:tcPr>
                  <w:tcW w:w="307" w:type="pct"/>
                  <w:noWrap w:val="0"/>
                  <w:vAlign w:val="center"/>
                </w:tcPr>
                <w:p w14:paraId="0A20E07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55</w:t>
                  </w:r>
                </w:p>
              </w:tc>
              <w:tc>
                <w:tcPr>
                  <w:tcW w:w="296" w:type="pct"/>
                  <w:noWrap w:val="0"/>
                  <w:vAlign w:val="center"/>
                </w:tcPr>
                <w:p w14:paraId="0455C74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277" w:type="pct"/>
                  <w:shd w:val="clear" w:color="auto" w:fill="auto"/>
                  <w:noWrap w:val="0"/>
                  <w:vAlign w:val="center"/>
                </w:tcPr>
                <w:p w14:paraId="63F9E01B">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393" w:type="pct"/>
                  <w:noWrap w:val="0"/>
                  <w:vAlign w:val="center"/>
                </w:tcPr>
                <w:p w14:paraId="4EBE990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95</w:t>
                  </w:r>
                </w:p>
              </w:tc>
              <w:tc>
                <w:tcPr>
                  <w:tcW w:w="378" w:type="pct"/>
                  <w:noWrap w:val="0"/>
                  <w:vAlign w:val="center"/>
                </w:tcPr>
                <w:p w14:paraId="53683CB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348" w:type="pct"/>
                  <w:noWrap w:val="0"/>
                  <w:vAlign w:val="center"/>
                </w:tcPr>
                <w:p w14:paraId="62476BD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55</w:t>
                  </w:r>
                </w:p>
              </w:tc>
              <w:tc>
                <w:tcPr>
                  <w:tcW w:w="390" w:type="pct"/>
                  <w:noWrap w:val="0"/>
                  <w:vAlign w:val="center"/>
                </w:tcPr>
                <w:p w14:paraId="7CC05B8A">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40</w:t>
                  </w:r>
                </w:p>
              </w:tc>
            </w:tr>
            <w:tr w14:paraId="0365B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250" w:type="pct"/>
                  <w:vMerge w:val="restart"/>
                  <w:noWrap w:val="0"/>
                  <w:vAlign w:val="center"/>
                </w:tcPr>
                <w:p w14:paraId="08472E4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eastAsia="宋体" w:cs="Times New Roman"/>
                      <w:b w:val="0"/>
                      <w:bCs w:val="0"/>
                      <w:color w:val="auto"/>
                      <w:kern w:val="0"/>
                      <w:sz w:val="21"/>
                      <w:szCs w:val="21"/>
                      <w:highlight w:val="none"/>
                      <w:lang w:val="en-US" w:eastAsia="zh-CN" w:bidi="ar"/>
                    </w:rPr>
                    <w:t>3</w:t>
                  </w:r>
                </w:p>
              </w:tc>
              <w:tc>
                <w:tcPr>
                  <w:tcW w:w="259" w:type="pct"/>
                  <w:vMerge w:val="restart"/>
                  <w:noWrap w:val="0"/>
                  <w:vAlign w:val="center"/>
                </w:tcPr>
                <w:p w14:paraId="58683A8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注塑机</w:t>
                  </w:r>
                </w:p>
              </w:tc>
              <w:tc>
                <w:tcPr>
                  <w:tcW w:w="403" w:type="pct"/>
                  <w:vMerge w:val="restart"/>
                  <w:noWrap w:val="0"/>
                  <w:vAlign w:val="center"/>
                </w:tcPr>
                <w:p w14:paraId="00B81B8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5</w:t>
                  </w:r>
                </w:p>
              </w:tc>
              <w:tc>
                <w:tcPr>
                  <w:tcW w:w="751" w:type="pct"/>
                  <w:vMerge w:val="restart"/>
                  <w:noWrap w:val="0"/>
                  <w:vAlign w:val="center"/>
                </w:tcPr>
                <w:p w14:paraId="4AF5EFD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75</w:t>
                  </w:r>
                </w:p>
              </w:tc>
              <w:tc>
                <w:tcPr>
                  <w:tcW w:w="403" w:type="pct"/>
                  <w:vMerge w:val="continue"/>
                  <w:noWrap w:val="0"/>
                  <w:vAlign w:val="top"/>
                </w:tcPr>
                <w:p w14:paraId="1BA3243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p>
              </w:tc>
              <w:tc>
                <w:tcPr>
                  <w:tcW w:w="270" w:type="pct"/>
                  <w:vMerge w:val="continue"/>
                  <w:noWrap w:val="0"/>
                  <w:vAlign w:val="top"/>
                </w:tcPr>
                <w:p w14:paraId="656E126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p>
              </w:tc>
              <w:tc>
                <w:tcPr>
                  <w:tcW w:w="270" w:type="pct"/>
                  <w:vMerge w:val="restart"/>
                  <w:noWrap w:val="0"/>
                  <w:vAlign w:val="center"/>
                </w:tcPr>
                <w:p w14:paraId="2C6E0D7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1</w:t>
                  </w:r>
                  <w:r>
                    <w:rPr>
                      <w:rFonts w:hint="eastAsia" w:ascii="Times New Roman" w:hAnsi="Times New Roman" w:eastAsia="宋体" w:cs="Times New Roman"/>
                      <w:b w:val="0"/>
                      <w:bCs w:val="0"/>
                      <w:color w:val="auto"/>
                      <w:kern w:val="2"/>
                      <w:sz w:val="21"/>
                      <w:szCs w:val="21"/>
                      <w:highlight w:val="none"/>
                      <w:lang w:val="en-US" w:eastAsia="zh-CN" w:bidi="ar-SA"/>
                    </w:rPr>
                    <w:t>#生产车间</w:t>
                  </w:r>
                </w:p>
              </w:tc>
              <w:tc>
                <w:tcPr>
                  <w:tcW w:w="307" w:type="pct"/>
                  <w:noWrap w:val="0"/>
                  <w:vAlign w:val="center"/>
                </w:tcPr>
                <w:p w14:paraId="56D522E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296" w:type="pct"/>
                  <w:noWrap w:val="0"/>
                  <w:vAlign w:val="center"/>
                </w:tcPr>
                <w:p w14:paraId="6FB0557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277" w:type="pct"/>
                  <w:shd w:val="clear" w:color="auto" w:fill="auto"/>
                  <w:noWrap w:val="0"/>
                  <w:vAlign w:val="center"/>
                </w:tcPr>
                <w:p w14:paraId="5B8D968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393" w:type="pct"/>
                  <w:noWrap w:val="0"/>
                  <w:vAlign w:val="center"/>
                </w:tcPr>
                <w:p w14:paraId="44526E7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378" w:type="pct"/>
                  <w:noWrap w:val="0"/>
                  <w:vAlign w:val="center"/>
                </w:tcPr>
                <w:p w14:paraId="1E57F7C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348" w:type="pct"/>
                  <w:noWrap w:val="0"/>
                  <w:vAlign w:val="center"/>
                </w:tcPr>
                <w:p w14:paraId="4B84E57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390" w:type="pct"/>
                  <w:noWrap w:val="0"/>
                  <w:vAlign w:val="center"/>
                </w:tcPr>
                <w:p w14:paraId="6268CFE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58</w:t>
                  </w:r>
                </w:p>
              </w:tc>
            </w:tr>
            <w:tr w14:paraId="7D10E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250" w:type="pct"/>
                  <w:vMerge w:val="continue"/>
                  <w:noWrap w:val="0"/>
                  <w:vAlign w:val="center"/>
                </w:tcPr>
                <w:p w14:paraId="5C4400C7">
                  <w:pPr>
                    <w:keepNext w:val="0"/>
                    <w:keepLines w:val="0"/>
                    <w:widowControl/>
                    <w:suppressLineNumbers w:val="0"/>
                    <w:spacing w:before="0" w:beforeAutospacing="0" w:after="0" w:afterAutospacing="0"/>
                    <w:ind w:left="0" w:right="0"/>
                    <w:jc w:val="center"/>
                    <w:textAlignment w:val="center"/>
                    <w:rPr>
                      <w:rFonts w:hint="default"/>
                    </w:rPr>
                  </w:pPr>
                </w:p>
              </w:tc>
              <w:tc>
                <w:tcPr>
                  <w:tcW w:w="259" w:type="pct"/>
                  <w:vMerge w:val="continue"/>
                  <w:noWrap w:val="0"/>
                  <w:vAlign w:val="center"/>
                </w:tcPr>
                <w:p w14:paraId="066FBABA">
                  <w:pPr>
                    <w:keepNext w:val="0"/>
                    <w:keepLines w:val="0"/>
                    <w:widowControl/>
                    <w:suppressLineNumbers w:val="0"/>
                    <w:spacing w:before="0" w:beforeAutospacing="0" w:after="0" w:afterAutospacing="0"/>
                    <w:ind w:left="0" w:right="0"/>
                    <w:jc w:val="center"/>
                    <w:textAlignment w:val="center"/>
                    <w:rPr>
                      <w:rFonts w:hint="default"/>
                    </w:rPr>
                  </w:pPr>
                </w:p>
              </w:tc>
              <w:tc>
                <w:tcPr>
                  <w:tcW w:w="403" w:type="pct"/>
                  <w:vMerge w:val="continue"/>
                  <w:noWrap w:val="0"/>
                  <w:vAlign w:val="center"/>
                </w:tcPr>
                <w:p w14:paraId="3CC9EDFF">
                  <w:pPr>
                    <w:keepNext w:val="0"/>
                    <w:keepLines w:val="0"/>
                    <w:widowControl/>
                    <w:suppressLineNumbers w:val="0"/>
                    <w:spacing w:before="0" w:beforeAutospacing="0" w:after="0" w:afterAutospacing="0"/>
                    <w:ind w:left="0" w:right="0"/>
                    <w:jc w:val="center"/>
                    <w:textAlignment w:val="center"/>
                    <w:rPr>
                      <w:rFonts w:hint="default"/>
                    </w:rPr>
                  </w:pPr>
                </w:p>
              </w:tc>
              <w:tc>
                <w:tcPr>
                  <w:tcW w:w="751" w:type="pct"/>
                  <w:vMerge w:val="continue"/>
                  <w:noWrap w:val="0"/>
                  <w:vAlign w:val="center"/>
                </w:tcPr>
                <w:p w14:paraId="4FD4B505">
                  <w:pPr>
                    <w:keepNext w:val="0"/>
                    <w:keepLines w:val="0"/>
                    <w:widowControl/>
                    <w:suppressLineNumbers w:val="0"/>
                    <w:spacing w:before="0" w:beforeAutospacing="0" w:after="0" w:afterAutospacing="0"/>
                    <w:ind w:left="0" w:right="0"/>
                    <w:jc w:val="center"/>
                    <w:textAlignment w:val="center"/>
                    <w:rPr>
                      <w:rFonts w:hint="default"/>
                    </w:rPr>
                  </w:pPr>
                </w:p>
              </w:tc>
              <w:tc>
                <w:tcPr>
                  <w:tcW w:w="403" w:type="pct"/>
                  <w:vMerge w:val="continue"/>
                  <w:noWrap w:val="0"/>
                  <w:vAlign w:val="top"/>
                </w:tcPr>
                <w:p w14:paraId="4FA13A17">
                  <w:pPr>
                    <w:keepNext w:val="0"/>
                    <w:keepLines w:val="0"/>
                    <w:widowControl/>
                    <w:suppressLineNumbers w:val="0"/>
                    <w:spacing w:before="0" w:beforeAutospacing="0" w:after="0" w:afterAutospacing="0"/>
                    <w:ind w:left="0" w:right="0"/>
                    <w:jc w:val="center"/>
                    <w:textAlignment w:val="center"/>
                    <w:rPr>
                      <w:rFonts w:hint="default"/>
                    </w:rPr>
                  </w:pPr>
                </w:p>
              </w:tc>
              <w:tc>
                <w:tcPr>
                  <w:tcW w:w="270" w:type="pct"/>
                  <w:vMerge w:val="continue"/>
                  <w:noWrap w:val="0"/>
                  <w:vAlign w:val="top"/>
                </w:tcPr>
                <w:p w14:paraId="08D32140">
                  <w:pPr>
                    <w:keepNext w:val="0"/>
                    <w:keepLines w:val="0"/>
                    <w:widowControl/>
                    <w:suppressLineNumbers w:val="0"/>
                    <w:spacing w:before="0" w:beforeAutospacing="0" w:after="0" w:afterAutospacing="0"/>
                    <w:ind w:left="0" w:right="0"/>
                    <w:jc w:val="center"/>
                    <w:textAlignment w:val="center"/>
                    <w:rPr>
                      <w:rFonts w:hint="default"/>
                    </w:rPr>
                  </w:pPr>
                </w:p>
              </w:tc>
              <w:tc>
                <w:tcPr>
                  <w:tcW w:w="270" w:type="pct"/>
                  <w:vMerge w:val="continue"/>
                  <w:noWrap w:val="0"/>
                  <w:vAlign w:val="center"/>
                </w:tcPr>
                <w:p w14:paraId="5E63C5FA">
                  <w:pPr>
                    <w:keepNext w:val="0"/>
                    <w:keepLines w:val="0"/>
                    <w:widowControl/>
                    <w:suppressLineNumbers w:val="0"/>
                    <w:spacing w:before="0" w:beforeAutospacing="0" w:after="0" w:afterAutospacing="0"/>
                    <w:ind w:left="0" w:right="0"/>
                    <w:jc w:val="center"/>
                    <w:textAlignment w:val="center"/>
                    <w:rPr>
                      <w:rFonts w:hint="default"/>
                    </w:rPr>
                  </w:pPr>
                </w:p>
              </w:tc>
              <w:tc>
                <w:tcPr>
                  <w:tcW w:w="307" w:type="pct"/>
                  <w:noWrap w:val="0"/>
                  <w:vAlign w:val="center"/>
                </w:tcPr>
                <w:p w14:paraId="17C40A3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296" w:type="pct"/>
                  <w:noWrap w:val="0"/>
                  <w:vAlign w:val="center"/>
                </w:tcPr>
                <w:p w14:paraId="410F16C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18</w:t>
                  </w:r>
                </w:p>
              </w:tc>
              <w:tc>
                <w:tcPr>
                  <w:tcW w:w="277" w:type="pct"/>
                  <w:shd w:val="clear" w:color="auto" w:fill="auto"/>
                  <w:noWrap w:val="0"/>
                  <w:vAlign w:val="center"/>
                </w:tcPr>
                <w:p w14:paraId="5D818BE6">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393" w:type="pct"/>
                  <w:noWrap w:val="0"/>
                  <w:vAlign w:val="center"/>
                </w:tcPr>
                <w:p w14:paraId="49258A4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378" w:type="pct"/>
                  <w:noWrap w:val="0"/>
                  <w:vAlign w:val="center"/>
                </w:tcPr>
                <w:p w14:paraId="6EB35E4A">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18</w:t>
                  </w:r>
                </w:p>
              </w:tc>
              <w:tc>
                <w:tcPr>
                  <w:tcW w:w="348" w:type="pct"/>
                  <w:noWrap w:val="0"/>
                  <w:vAlign w:val="center"/>
                </w:tcPr>
                <w:p w14:paraId="4001F74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390" w:type="pct"/>
                  <w:noWrap w:val="0"/>
                  <w:vAlign w:val="center"/>
                </w:tcPr>
                <w:p w14:paraId="40170EDF">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52</w:t>
                  </w:r>
                </w:p>
              </w:tc>
            </w:tr>
            <w:tr w14:paraId="5CD4E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250" w:type="pct"/>
                  <w:vMerge w:val="continue"/>
                  <w:noWrap w:val="0"/>
                  <w:vAlign w:val="center"/>
                </w:tcPr>
                <w:p w14:paraId="4B175B1D">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p>
              </w:tc>
              <w:tc>
                <w:tcPr>
                  <w:tcW w:w="259" w:type="pct"/>
                  <w:vMerge w:val="continue"/>
                  <w:noWrap w:val="0"/>
                  <w:vAlign w:val="center"/>
                </w:tcPr>
                <w:p w14:paraId="5F07EABD">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p>
              </w:tc>
              <w:tc>
                <w:tcPr>
                  <w:tcW w:w="403" w:type="pct"/>
                  <w:vMerge w:val="continue"/>
                  <w:noWrap w:val="0"/>
                  <w:vAlign w:val="center"/>
                </w:tcPr>
                <w:p w14:paraId="2FCB84A5">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p>
              </w:tc>
              <w:tc>
                <w:tcPr>
                  <w:tcW w:w="751" w:type="pct"/>
                  <w:vMerge w:val="continue"/>
                  <w:noWrap w:val="0"/>
                  <w:vAlign w:val="center"/>
                </w:tcPr>
                <w:p w14:paraId="6CCA5CBC">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p>
              </w:tc>
              <w:tc>
                <w:tcPr>
                  <w:tcW w:w="403" w:type="pct"/>
                  <w:vMerge w:val="continue"/>
                  <w:noWrap w:val="0"/>
                  <w:vAlign w:val="top"/>
                </w:tcPr>
                <w:p w14:paraId="08661B66">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p>
              </w:tc>
              <w:tc>
                <w:tcPr>
                  <w:tcW w:w="270" w:type="pct"/>
                  <w:vMerge w:val="continue"/>
                  <w:noWrap w:val="0"/>
                  <w:vAlign w:val="top"/>
                </w:tcPr>
                <w:p w14:paraId="422F284F">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p>
              </w:tc>
              <w:tc>
                <w:tcPr>
                  <w:tcW w:w="270" w:type="pct"/>
                  <w:vMerge w:val="continue"/>
                  <w:noWrap w:val="0"/>
                  <w:vAlign w:val="center"/>
                </w:tcPr>
                <w:p w14:paraId="73FA72C4">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p>
              </w:tc>
              <w:tc>
                <w:tcPr>
                  <w:tcW w:w="307" w:type="pct"/>
                  <w:noWrap w:val="0"/>
                  <w:vAlign w:val="center"/>
                </w:tcPr>
                <w:p w14:paraId="665599C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296" w:type="pct"/>
                  <w:noWrap w:val="0"/>
                  <w:vAlign w:val="center"/>
                </w:tcPr>
                <w:p w14:paraId="514DACC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24</w:t>
                  </w:r>
                </w:p>
              </w:tc>
              <w:tc>
                <w:tcPr>
                  <w:tcW w:w="277" w:type="pct"/>
                  <w:shd w:val="clear" w:color="auto" w:fill="auto"/>
                  <w:noWrap w:val="0"/>
                  <w:vAlign w:val="center"/>
                </w:tcPr>
                <w:p w14:paraId="6CA6FFA9">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393" w:type="pct"/>
                  <w:noWrap w:val="0"/>
                  <w:vAlign w:val="center"/>
                </w:tcPr>
                <w:p w14:paraId="31A2F3E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378" w:type="pct"/>
                  <w:noWrap w:val="0"/>
                  <w:vAlign w:val="center"/>
                </w:tcPr>
                <w:p w14:paraId="3A6BB54C">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24</w:t>
                  </w:r>
                </w:p>
              </w:tc>
              <w:tc>
                <w:tcPr>
                  <w:tcW w:w="348" w:type="pct"/>
                  <w:noWrap w:val="0"/>
                  <w:vAlign w:val="center"/>
                </w:tcPr>
                <w:p w14:paraId="5D70AEB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390" w:type="pct"/>
                  <w:noWrap w:val="0"/>
                  <w:vAlign w:val="center"/>
                </w:tcPr>
                <w:p w14:paraId="1F05CBB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46</w:t>
                  </w:r>
                </w:p>
              </w:tc>
            </w:tr>
            <w:tr w14:paraId="7DD62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250" w:type="pct"/>
                  <w:vMerge w:val="continue"/>
                  <w:noWrap w:val="0"/>
                  <w:vAlign w:val="center"/>
                </w:tcPr>
                <w:p w14:paraId="45FFF7E3">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p>
              </w:tc>
              <w:tc>
                <w:tcPr>
                  <w:tcW w:w="259" w:type="pct"/>
                  <w:vMerge w:val="continue"/>
                  <w:noWrap w:val="0"/>
                  <w:vAlign w:val="center"/>
                </w:tcPr>
                <w:p w14:paraId="15B5DD45">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p>
              </w:tc>
              <w:tc>
                <w:tcPr>
                  <w:tcW w:w="403" w:type="pct"/>
                  <w:vMerge w:val="continue"/>
                  <w:noWrap w:val="0"/>
                  <w:vAlign w:val="center"/>
                </w:tcPr>
                <w:p w14:paraId="2951C042">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p>
              </w:tc>
              <w:tc>
                <w:tcPr>
                  <w:tcW w:w="751" w:type="pct"/>
                  <w:vMerge w:val="continue"/>
                  <w:noWrap w:val="0"/>
                  <w:vAlign w:val="center"/>
                </w:tcPr>
                <w:p w14:paraId="29B6AEB5">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p>
              </w:tc>
              <w:tc>
                <w:tcPr>
                  <w:tcW w:w="403" w:type="pct"/>
                  <w:vMerge w:val="continue"/>
                  <w:noWrap w:val="0"/>
                  <w:vAlign w:val="top"/>
                </w:tcPr>
                <w:p w14:paraId="674BA175">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p>
              </w:tc>
              <w:tc>
                <w:tcPr>
                  <w:tcW w:w="270" w:type="pct"/>
                  <w:vMerge w:val="continue"/>
                  <w:noWrap w:val="0"/>
                  <w:vAlign w:val="top"/>
                </w:tcPr>
                <w:p w14:paraId="6879D887">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p>
              </w:tc>
              <w:tc>
                <w:tcPr>
                  <w:tcW w:w="270" w:type="pct"/>
                  <w:vMerge w:val="continue"/>
                  <w:noWrap w:val="0"/>
                  <w:vAlign w:val="center"/>
                </w:tcPr>
                <w:p w14:paraId="49BD2995">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p>
              </w:tc>
              <w:tc>
                <w:tcPr>
                  <w:tcW w:w="307" w:type="pct"/>
                  <w:noWrap w:val="0"/>
                  <w:vAlign w:val="center"/>
                </w:tcPr>
                <w:p w14:paraId="67485DB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110</w:t>
                  </w:r>
                </w:p>
              </w:tc>
              <w:tc>
                <w:tcPr>
                  <w:tcW w:w="296" w:type="pct"/>
                  <w:noWrap w:val="0"/>
                  <w:vAlign w:val="center"/>
                </w:tcPr>
                <w:p w14:paraId="5AC05E0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277" w:type="pct"/>
                  <w:shd w:val="clear" w:color="auto" w:fill="auto"/>
                  <w:noWrap w:val="0"/>
                  <w:vAlign w:val="center"/>
                </w:tcPr>
                <w:p w14:paraId="35F36175">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393" w:type="pct"/>
                  <w:noWrap w:val="0"/>
                  <w:vAlign w:val="center"/>
                </w:tcPr>
                <w:p w14:paraId="6EF3FE8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40</w:t>
                  </w:r>
                </w:p>
              </w:tc>
              <w:tc>
                <w:tcPr>
                  <w:tcW w:w="378" w:type="pct"/>
                  <w:noWrap w:val="0"/>
                  <w:vAlign w:val="center"/>
                </w:tcPr>
                <w:p w14:paraId="3182EF6B">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348" w:type="pct"/>
                  <w:noWrap w:val="0"/>
                  <w:vAlign w:val="center"/>
                </w:tcPr>
                <w:p w14:paraId="217756D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110</w:t>
                  </w:r>
                </w:p>
              </w:tc>
              <w:tc>
                <w:tcPr>
                  <w:tcW w:w="390" w:type="pct"/>
                  <w:noWrap w:val="0"/>
                  <w:vAlign w:val="center"/>
                </w:tcPr>
                <w:p w14:paraId="743D32A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40</w:t>
                  </w:r>
                </w:p>
              </w:tc>
            </w:tr>
            <w:tr w14:paraId="2BA24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250" w:type="pct"/>
                  <w:vMerge w:val="continue"/>
                  <w:noWrap w:val="0"/>
                  <w:vAlign w:val="center"/>
                </w:tcPr>
                <w:p w14:paraId="2D04511F">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p>
              </w:tc>
              <w:tc>
                <w:tcPr>
                  <w:tcW w:w="259" w:type="pct"/>
                  <w:vMerge w:val="continue"/>
                  <w:noWrap w:val="0"/>
                  <w:vAlign w:val="center"/>
                </w:tcPr>
                <w:p w14:paraId="750E7477">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p>
              </w:tc>
              <w:tc>
                <w:tcPr>
                  <w:tcW w:w="403" w:type="pct"/>
                  <w:vMerge w:val="continue"/>
                  <w:noWrap w:val="0"/>
                  <w:vAlign w:val="center"/>
                </w:tcPr>
                <w:p w14:paraId="65D9172E">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p>
              </w:tc>
              <w:tc>
                <w:tcPr>
                  <w:tcW w:w="751" w:type="pct"/>
                  <w:vMerge w:val="continue"/>
                  <w:noWrap w:val="0"/>
                  <w:vAlign w:val="center"/>
                </w:tcPr>
                <w:p w14:paraId="26116749">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p>
              </w:tc>
              <w:tc>
                <w:tcPr>
                  <w:tcW w:w="403" w:type="pct"/>
                  <w:vMerge w:val="continue"/>
                  <w:noWrap w:val="0"/>
                  <w:vAlign w:val="top"/>
                </w:tcPr>
                <w:p w14:paraId="253EA438">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p>
              </w:tc>
              <w:tc>
                <w:tcPr>
                  <w:tcW w:w="270" w:type="pct"/>
                  <w:vMerge w:val="continue"/>
                  <w:noWrap w:val="0"/>
                  <w:vAlign w:val="top"/>
                </w:tcPr>
                <w:p w14:paraId="23F74B65">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p>
              </w:tc>
              <w:tc>
                <w:tcPr>
                  <w:tcW w:w="270" w:type="pct"/>
                  <w:vMerge w:val="continue"/>
                  <w:noWrap w:val="0"/>
                  <w:vAlign w:val="center"/>
                </w:tcPr>
                <w:p w14:paraId="1D6F8B91">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p>
              </w:tc>
              <w:tc>
                <w:tcPr>
                  <w:tcW w:w="307" w:type="pct"/>
                  <w:noWrap w:val="0"/>
                  <w:vAlign w:val="center"/>
                </w:tcPr>
                <w:p w14:paraId="198EF2D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110</w:t>
                  </w:r>
                </w:p>
              </w:tc>
              <w:tc>
                <w:tcPr>
                  <w:tcW w:w="296" w:type="pct"/>
                  <w:noWrap w:val="0"/>
                  <w:vAlign w:val="center"/>
                </w:tcPr>
                <w:p w14:paraId="5A7B10F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36</w:t>
                  </w:r>
                </w:p>
              </w:tc>
              <w:tc>
                <w:tcPr>
                  <w:tcW w:w="277" w:type="pct"/>
                  <w:shd w:val="clear" w:color="auto" w:fill="auto"/>
                  <w:noWrap w:val="0"/>
                  <w:vAlign w:val="center"/>
                </w:tcPr>
                <w:p w14:paraId="4142EC2D">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393" w:type="pct"/>
                  <w:noWrap w:val="0"/>
                  <w:vAlign w:val="center"/>
                </w:tcPr>
                <w:p w14:paraId="757CE52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40</w:t>
                  </w:r>
                </w:p>
              </w:tc>
              <w:tc>
                <w:tcPr>
                  <w:tcW w:w="378" w:type="pct"/>
                  <w:noWrap w:val="0"/>
                  <w:vAlign w:val="center"/>
                </w:tcPr>
                <w:p w14:paraId="506152FD">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36</w:t>
                  </w:r>
                </w:p>
              </w:tc>
              <w:tc>
                <w:tcPr>
                  <w:tcW w:w="348" w:type="pct"/>
                  <w:noWrap w:val="0"/>
                  <w:vAlign w:val="center"/>
                </w:tcPr>
                <w:p w14:paraId="58E3A52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110</w:t>
                  </w:r>
                </w:p>
              </w:tc>
              <w:tc>
                <w:tcPr>
                  <w:tcW w:w="390" w:type="pct"/>
                  <w:noWrap w:val="0"/>
                  <w:vAlign w:val="center"/>
                </w:tcPr>
                <w:p w14:paraId="71D0BE5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34</w:t>
                  </w:r>
                </w:p>
              </w:tc>
            </w:tr>
            <w:tr w14:paraId="405DA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250" w:type="pct"/>
                  <w:vMerge w:val="restart"/>
                  <w:noWrap w:val="0"/>
                  <w:vAlign w:val="center"/>
                </w:tcPr>
                <w:p w14:paraId="23B0ABEC">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bottom"/>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4</w:t>
                  </w:r>
                </w:p>
              </w:tc>
              <w:tc>
                <w:tcPr>
                  <w:tcW w:w="259" w:type="pct"/>
                  <w:vMerge w:val="restart"/>
                  <w:noWrap w:val="0"/>
                  <w:vAlign w:val="center"/>
                </w:tcPr>
                <w:p w14:paraId="08FBFA3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干燥机</w:t>
                  </w:r>
                </w:p>
              </w:tc>
              <w:tc>
                <w:tcPr>
                  <w:tcW w:w="403" w:type="pct"/>
                  <w:vMerge w:val="restart"/>
                  <w:noWrap w:val="0"/>
                  <w:vAlign w:val="center"/>
                </w:tcPr>
                <w:p w14:paraId="4E25889B">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5</w:t>
                  </w:r>
                </w:p>
              </w:tc>
              <w:tc>
                <w:tcPr>
                  <w:tcW w:w="751" w:type="pct"/>
                  <w:vMerge w:val="restart"/>
                  <w:noWrap w:val="0"/>
                  <w:vAlign w:val="center"/>
                </w:tcPr>
                <w:p w14:paraId="3BF6BCE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70</w:t>
                  </w:r>
                </w:p>
              </w:tc>
              <w:tc>
                <w:tcPr>
                  <w:tcW w:w="403" w:type="pct"/>
                  <w:vMerge w:val="continue"/>
                  <w:noWrap w:val="0"/>
                  <w:vAlign w:val="top"/>
                </w:tcPr>
                <w:p w14:paraId="73EEA70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p>
              </w:tc>
              <w:tc>
                <w:tcPr>
                  <w:tcW w:w="270" w:type="pct"/>
                  <w:vMerge w:val="continue"/>
                  <w:noWrap w:val="0"/>
                  <w:vAlign w:val="top"/>
                </w:tcPr>
                <w:p w14:paraId="1633711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p>
              </w:tc>
              <w:tc>
                <w:tcPr>
                  <w:tcW w:w="270" w:type="pct"/>
                  <w:vMerge w:val="restart"/>
                  <w:noWrap w:val="0"/>
                  <w:vAlign w:val="center"/>
                </w:tcPr>
                <w:p w14:paraId="3C72FF5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2#生产车间</w:t>
                  </w:r>
                </w:p>
              </w:tc>
              <w:tc>
                <w:tcPr>
                  <w:tcW w:w="307" w:type="pct"/>
                  <w:noWrap w:val="0"/>
                  <w:vAlign w:val="center"/>
                </w:tcPr>
                <w:p w14:paraId="27589B3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296" w:type="pct"/>
                  <w:noWrap w:val="0"/>
                  <w:vAlign w:val="center"/>
                </w:tcPr>
                <w:p w14:paraId="4CC350B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277" w:type="pct"/>
                  <w:shd w:val="clear" w:color="auto" w:fill="auto"/>
                  <w:noWrap w:val="0"/>
                  <w:vAlign w:val="center"/>
                </w:tcPr>
                <w:p w14:paraId="4D574A9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393" w:type="pct"/>
                  <w:noWrap w:val="0"/>
                  <w:vAlign w:val="center"/>
                </w:tcPr>
                <w:p w14:paraId="587D55B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120</w:t>
                  </w:r>
                </w:p>
              </w:tc>
              <w:tc>
                <w:tcPr>
                  <w:tcW w:w="378" w:type="pct"/>
                  <w:noWrap w:val="0"/>
                  <w:vAlign w:val="center"/>
                </w:tcPr>
                <w:p w14:paraId="1F31A19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348" w:type="pct"/>
                  <w:noWrap w:val="0"/>
                  <w:vAlign w:val="center"/>
                </w:tcPr>
                <w:p w14:paraId="6225E7A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390" w:type="pct"/>
                  <w:noWrap w:val="0"/>
                  <w:vAlign w:val="center"/>
                </w:tcPr>
                <w:p w14:paraId="704A5F4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40</w:t>
                  </w:r>
                </w:p>
              </w:tc>
            </w:tr>
            <w:tr w14:paraId="4E671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250" w:type="pct"/>
                  <w:vMerge w:val="continue"/>
                  <w:noWrap w:val="0"/>
                  <w:vAlign w:val="center"/>
                </w:tcPr>
                <w:p w14:paraId="24DC835D">
                  <w:pPr>
                    <w:keepNext w:val="0"/>
                    <w:keepLines w:val="0"/>
                    <w:widowControl/>
                    <w:suppressLineNumbers w:val="0"/>
                    <w:spacing w:before="0" w:beforeAutospacing="0" w:after="0" w:afterAutospacing="0"/>
                    <w:ind w:left="0" w:right="0"/>
                    <w:jc w:val="center"/>
                    <w:textAlignment w:val="center"/>
                    <w:rPr>
                      <w:rFonts w:hint="default"/>
                    </w:rPr>
                  </w:pPr>
                </w:p>
              </w:tc>
              <w:tc>
                <w:tcPr>
                  <w:tcW w:w="259" w:type="pct"/>
                  <w:vMerge w:val="continue"/>
                  <w:noWrap w:val="0"/>
                  <w:vAlign w:val="center"/>
                </w:tcPr>
                <w:p w14:paraId="7BBA4500">
                  <w:pPr>
                    <w:keepNext w:val="0"/>
                    <w:keepLines w:val="0"/>
                    <w:widowControl/>
                    <w:suppressLineNumbers w:val="0"/>
                    <w:spacing w:before="0" w:beforeAutospacing="0" w:after="0" w:afterAutospacing="0"/>
                    <w:ind w:left="0" w:right="0"/>
                    <w:jc w:val="center"/>
                    <w:textAlignment w:val="center"/>
                    <w:rPr>
                      <w:rFonts w:hint="default"/>
                    </w:rPr>
                  </w:pPr>
                </w:p>
              </w:tc>
              <w:tc>
                <w:tcPr>
                  <w:tcW w:w="403" w:type="pct"/>
                  <w:vMerge w:val="continue"/>
                  <w:noWrap w:val="0"/>
                  <w:vAlign w:val="center"/>
                </w:tcPr>
                <w:p w14:paraId="1B1E76F9">
                  <w:pPr>
                    <w:keepNext w:val="0"/>
                    <w:keepLines w:val="0"/>
                    <w:widowControl/>
                    <w:suppressLineNumbers w:val="0"/>
                    <w:spacing w:before="0" w:beforeAutospacing="0" w:after="0" w:afterAutospacing="0"/>
                    <w:ind w:left="0" w:right="0"/>
                    <w:jc w:val="center"/>
                    <w:textAlignment w:val="center"/>
                    <w:rPr>
                      <w:rFonts w:hint="default"/>
                    </w:rPr>
                  </w:pPr>
                </w:p>
              </w:tc>
              <w:tc>
                <w:tcPr>
                  <w:tcW w:w="751" w:type="pct"/>
                  <w:vMerge w:val="continue"/>
                  <w:noWrap w:val="0"/>
                  <w:vAlign w:val="center"/>
                </w:tcPr>
                <w:p w14:paraId="39063F0A">
                  <w:pPr>
                    <w:keepNext w:val="0"/>
                    <w:keepLines w:val="0"/>
                    <w:widowControl/>
                    <w:suppressLineNumbers w:val="0"/>
                    <w:spacing w:before="0" w:beforeAutospacing="0" w:after="0" w:afterAutospacing="0"/>
                    <w:ind w:left="0" w:right="0"/>
                    <w:jc w:val="center"/>
                    <w:textAlignment w:val="center"/>
                    <w:rPr>
                      <w:rFonts w:hint="default"/>
                    </w:rPr>
                  </w:pPr>
                </w:p>
              </w:tc>
              <w:tc>
                <w:tcPr>
                  <w:tcW w:w="403" w:type="pct"/>
                  <w:vMerge w:val="continue"/>
                  <w:noWrap w:val="0"/>
                  <w:vAlign w:val="top"/>
                </w:tcPr>
                <w:p w14:paraId="231190C6">
                  <w:pPr>
                    <w:keepNext w:val="0"/>
                    <w:keepLines w:val="0"/>
                    <w:widowControl/>
                    <w:suppressLineNumbers w:val="0"/>
                    <w:spacing w:before="0" w:beforeAutospacing="0" w:after="0" w:afterAutospacing="0"/>
                    <w:ind w:left="0" w:right="0"/>
                    <w:jc w:val="center"/>
                    <w:textAlignment w:val="center"/>
                    <w:rPr>
                      <w:rFonts w:hint="default"/>
                    </w:rPr>
                  </w:pPr>
                </w:p>
              </w:tc>
              <w:tc>
                <w:tcPr>
                  <w:tcW w:w="270" w:type="pct"/>
                  <w:vMerge w:val="continue"/>
                  <w:noWrap w:val="0"/>
                  <w:vAlign w:val="top"/>
                </w:tcPr>
                <w:p w14:paraId="71D25242">
                  <w:pPr>
                    <w:keepNext w:val="0"/>
                    <w:keepLines w:val="0"/>
                    <w:widowControl/>
                    <w:suppressLineNumbers w:val="0"/>
                    <w:spacing w:before="0" w:beforeAutospacing="0" w:after="0" w:afterAutospacing="0"/>
                    <w:ind w:left="0" w:right="0"/>
                    <w:jc w:val="center"/>
                    <w:textAlignment w:val="center"/>
                    <w:rPr>
                      <w:rFonts w:hint="default"/>
                    </w:rPr>
                  </w:pPr>
                </w:p>
              </w:tc>
              <w:tc>
                <w:tcPr>
                  <w:tcW w:w="270" w:type="pct"/>
                  <w:vMerge w:val="continue"/>
                  <w:noWrap w:val="0"/>
                  <w:vAlign w:val="center"/>
                </w:tcPr>
                <w:p w14:paraId="7440DC47">
                  <w:pPr>
                    <w:keepNext w:val="0"/>
                    <w:keepLines w:val="0"/>
                    <w:widowControl/>
                    <w:suppressLineNumbers w:val="0"/>
                    <w:spacing w:before="0" w:beforeAutospacing="0" w:after="0" w:afterAutospacing="0"/>
                    <w:ind w:left="0" w:right="0"/>
                    <w:jc w:val="center"/>
                    <w:textAlignment w:val="center"/>
                    <w:rPr>
                      <w:rFonts w:hint="default"/>
                    </w:rPr>
                  </w:pPr>
                </w:p>
              </w:tc>
              <w:tc>
                <w:tcPr>
                  <w:tcW w:w="307" w:type="pct"/>
                  <w:shd w:val="clear" w:color="auto" w:fill="auto"/>
                  <w:noWrap w:val="0"/>
                  <w:vAlign w:val="center"/>
                </w:tcPr>
                <w:p w14:paraId="76B3A65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40</w:t>
                  </w:r>
                </w:p>
              </w:tc>
              <w:tc>
                <w:tcPr>
                  <w:tcW w:w="296" w:type="pct"/>
                  <w:noWrap w:val="0"/>
                  <w:vAlign w:val="center"/>
                </w:tcPr>
                <w:p w14:paraId="365DB69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34</w:t>
                  </w:r>
                </w:p>
              </w:tc>
              <w:tc>
                <w:tcPr>
                  <w:tcW w:w="277" w:type="pct"/>
                  <w:shd w:val="clear" w:color="auto" w:fill="auto"/>
                  <w:noWrap w:val="0"/>
                  <w:vAlign w:val="center"/>
                </w:tcPr>
                <w:p w14:paraId="798C685A">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393" w:type="pct"/>
                  <w:noWrap w:val="0"/>
                  <w:vAlign w:val="center"/>
                </w:tcPr>
                <w:p w14:paraId="0AC24A4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110</w:t>
                  </w:r>
                </w:p>
              </w:tc>
              <w:tc>
                <w:tcPr>
                  <w:tcW w:w="378" w:type="pct"/>
                  <w:noWrap w:val="0"/>
                  <w:vAlign w:val="center"/>
                </w:tcPr>
                <w:p w14:paraId="4A65E71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34</w:t>
                  </w:r>
                </w:p>
              </w:tc>
              <w:tc>
                <w:tcPr>
                  <w:tcW w:w="348" w:type="pct"/>
                  <w:noWrap w:val="0"/>
                  <w:vAlign w:val="center"/>
                </w:tcPr>
                <w:p w14:paraId="00D0D3D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40</w:t>
                  </w:r>
                </w:p>
              </w:tc>
              <w:tc>
                <w:tcPr>
                  <w:tcW w:w="390" w:type="pct"/>
                  <w:noWrap w:val="0"/>
                  <w:vAlign w:val="center"/>
                </w:tcPr>
                <w:p w14:paraId="63D8783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36</w:t>
                  </w:r>
                </w:p>
              </w:tc>
            </w:tr>
            <w:tr w14:paraId="15E29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250" w:type="pct"/>
                  <w:vMerge w:val="continue"/>
                  <w:noWrap w:val="0"/>
                  <w:vAlign w:val="center"/>
                </w:tcPr>
                <w:p w14:paraId="736BB99F">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p>
              </w:tc>
              <w:tc>
                <w:tcPr>
                  <w:tcW w:w="259" w:type="pct"/>
                  <w:vMerge w:val="continue"/>
                  <w:noWrap w:val="0"/>
                  <w:vAlign w:val="center"/>
                </w:tcPr>
                <w:p w14:paraId="0CACEDD2">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p>
              </w:tc>
              <w:tc>
                <w:tcPr>
                  <w:tcW w:w="403" w:type="pct"/>
                  <w:vMerge w:val="continue"/>
                  <w:noWrap w:val="0"/>
                  <w:vAlign w:val="center"/>
                </w:tcPr>
                <w:p w14:paraId="68684C51">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p>
              </w:tc>
              <w:tc>
                <w:tcPr>
                  <w:tcW w:w="751" w:type="pct"/>
                  <w:vMerge w:val="continue"/>
                  <w:noWrap w:val="0"/>
                  <w:vAlign w:val="center"/>
                </w:tcPr>
                <w:p w14:paraId="0919AAD5">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p>
              </w:tc>
              <w:tc>
                <w:tcPr>
                  <w:tcW w:w="403" w:type="pct"/>
                  <w:vMerge w:val="continue"/>
                  <w:noWrap w:val="0"/>
                  <w:vAlign w:val="top"/>
                </w:tcPr>
                <w:p w14:paraId="08D7AA28">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p>
              </w:tc>
              <w:tc>
                <w:tcPr>
                  <w:tcW w:w="270" w:type="pct"/>
                  <w:vMerge w:val="continue"/>
                  <w:noWrap w:val="0"/>
                  <w:vAlign w:val="top"/>
                </w:tcPr>
                <w:p w14:paraId="27420F34">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p>
              </w:tc>
              <w:tc>
                <w:tcPr>
                  <w:tcW w:w="270" w:type="pct"/>
                  <w:vMerge w:val="continue"/>
                  <w:noWrap w:val="0"/>
                  <w:vAlign w:val="center"/>
                </w:tcPr>
                <w:p w14:paraId="18B22115">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p>
              </w:tc>
              <w:tc>
                <w:tcPr>
                  <w:tcW w:w="307" w:type="pct"/>
                  <w:shd w:val="clear" w:color="auto" w:fill="auto"/>
                  <w:noWrap w:val="0"/>
                  <w:vAlign w:val="center"/>
                </w:tcPr>
                <w:p w14:paraId="01A22AA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45</w:t>
                  </w:r>
                </w:p>
              </w:tc>
              <w:tc>
                <w:tcPr>
                  <w:tcW w:w="296" w:type="pct"/>
                  <w:noWrap w:val="0"/>
                  <w:vAlign w:val="center"/>
                </w:tcPr>
                <w:p w14:paraId="195BCFB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34</w:t>
                  </w:r>
                </w:p>
              </w:tc>
              <w:tc>
                <w:tcPr>
                  <w:tcW w:w="277" w:type="pct"/>
                  <w:shd w:val="clear" w:color="auto" w:fill="auto"/>
                  <w:noWrap w:val="0"/>
                  <w:vAlign w:val="center"/>
                </w:tcPr>
                <w:p w14:paraId="5CB28E59">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393" w:type="pct"/>
                  <w:noWrap w:val="0"/>
                  <w:vAlign w:val="center"/>
                </w:tcPr>
                <w:p w14:paraId="56CF9EA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105</w:t>
                  </w:r>
                </w:p>
              </w:tc>
              <w:tc>
                <w:tcPr>
                  <w:tcW w:w="378" w:type="pct"/>
                  <w:noWrap w:val="0"/>
                  <w:vAlign w:val="center"/>
                </w:tcPr>
                <w:p w14:paraId="5535EFC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34</w:t>
                  </w:r>
                </w:p>
              </w:tc>
              <w:tc>
                <w:tcPr>
                  <w:tcW w:w="348" w:type="pct"/>
                  <w:noWrap w:val="0"/>
                  <w:vAlign w:val="center"/>
                </w:tcPr>
                <w:p w14:paraId="6B1128F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45</w:t>
                  </w:r>
                </w:p>
              </w:tc>
              <w:tc>
                <w:tcPr>
                  <w:tcW w:w="390" w:type="pct"/>
                  <w:noWrap w:val="0"/>
                  <w:vAlign w:val="center"/>
                </w:tcPr>
                <w:p w14:paraId="634227A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36</w:t>
                  </w:r>
                </w:p>
              </w:tc>
            </w:tr>
            <w:tr w14:paraId="46B4E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250" w:type="pct"/>
                  <w:vMerge w:val="continue"/>
                  <w:noWrap w:val="0"/>
                  <w:vAlign w:val="center"/>
                </w:tcPr>
                <w:p w14:paraId="3CF5482D">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p>
              </w:tc>
              <w:tc>
                <w:tcPr>
                  <w:tcW w:w="259" w:type="pct"/>
                  <w:vMerge w:val="continue"/>
                  <w:noWrap w:val="0"/>
                  <w:vAlign w:val="center"/>
                </w:tcPr>
                <w:p w14:paraId="4938FA0B">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p>
              </w:tc>
              <w:tc>
                <w:tcPr>
                  <w:tcW w:w="403" w:type="pct"/>
                  <w:vMerge w:val="continue"/>
                  <w:noWrap w:val="0"/>
                  <w:vAlign w:val="center"/>
                </w:tcPr>
                <w:p w14:paraId="17E83CBE">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p>
              </w:tc>
              <w:tc>
                <w:tcPr>
                  <w:tcW w:w="751" w:type="pct"/>
                  <w:vMerge w:val="continue"/>
                  <w:noWrap w:val="0"/>
                  <w:vAlign w:val="center"/>
                </w:tcPr>
                <w:p w14:paraId="47C67E43">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p>
              </w:tc>
              <w:tc>
                <w:tcPr>
                  <w:tcW w:w="403" w:type="pct"/>
                  <w:vMerge w:val="continue"/>
                  <w:noWrap w:val="0"/>
                  <w:vAlign w:val="top"/>
                </w:tcPr>
                <w:p w14:paraId="31754C63">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p>
              </w:tc>
              <w:tc>
                <w:tcPr>
                  <w:tcW w:w="270" w:type="pct"/>
                  <w:vMerge w:val="continue"/>
                  <w:noWrap w:val="0"/>
                  <w:vAlign w:val="top"/>
                </w:tcPr>
                <w:p w14:paraId="2CA8A239">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p>
              </w:tc>
              <w:tc>
                <w:tcPr>
                  <w:tcW w:w="270" w:type="pct"/>
                  <w:vMerge w:val="continue"/>
                  <w:noWrap w:val="0"/>
                  <w:vAlign w:val="center"/>
                </w:tcPr>
                <w:p w14:paraId="4A251E8C">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p>
              </w:tc>
              <w:tc>
                <w:tcPr>
                  <w:tcW w:w="307" w:type="pct"/>
                  <w:shd w:val="clear" w:color="auto" w:fill="auto"/>
                  <w:noWrap w:val="0"/>
                  <w:vAlign w:val="center"/>
                </w:tcPr>
                <w:p w14:paraId="6B21D66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296" w:type="pct"/>
                  <w:noWrap w:val="0"/>
                  <w:vAlign w:val="center"/>
                </w:tcPr>
                <w:p w14:paraId="32A168F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31</w:t>
                  </w:r>
                </w:p>
              </w:tc>
              <w:tc>
                <w:tcPr>
                  <w:tcW w:w="277" w:type="pct"/>
                  <w:shd w:val="clear" w:color="auto" w:fill="auto"/>
                  <w:noWrap w:val="0"/>
                  <w:vAlign w:val="center"/>
                </w:tcPr>
                <w:p w14:paraId="68089EE5">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393" w:type="pct"/>
                  <w:noWrap w:val="0"/>
                  <w:vAlign w:val="center"/>
                </w:tcPr>
                <w:p w14:paraId="0A136D4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378" w:type="pct"/>
                  <w:noWrap w:val="0"/>
                  <w:vAlign w:val="center"/>
                </w:tcPr>
                <w:p w14:paraId="51E300E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31</w:t>
                  </w:r>
                </w:p>
              </w:tc>
              <w:tc>
                <w:tcPr>
                  <w:tcW w:w="348" w:type="pct"/>
                  <w:noWrap w:val="0"/>
                  <w:vAlign w:val="center"/>
                </w:tcPr>
                <w:p w14:paraId="1F2D9B6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390" w:type="pct"/>
                  <w:noWrap w:val="0"/>
                  <w:vAlign w:val="center"/>
                </w:tcPr>
                <w:p w14:paraId="2AE5F29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39</w:t>
                  </w:r>
                </w:p>
              </w:tc>
            </w:tr>
            <w:tr w14:paraId="33BD4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250" w:type="pct"/>
                  <w:vMerge w:val="continue"/>
                  <w:noWrap w:val="0"/>
                  <w:vAlign w:val="center"/>
                </w:tcPr>
                <w:p w14:paraId="00DF2D75">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p>
              </w:tc>
              <w:tc>
                <w:tcPr>
                  <w:tcW w:w="259" w:type="pct"/>
                  <w:vMerge w:val="continue"/>
                  <w:noWrap w:val="0"/>
                  <w:vAlign w:val="center"/>
                </w:tcPr>
                <w:p w14:paraId="3A31642B">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p>
              </w:tc>
              <w:tc>
                <w:tcPr>
                  <w:tcW w:w="403" w:type="pct"/>
                  <w:vMerge w:val="continue"/>
                  <w:noWrap w:val="0"/>
                  <w:vAlign w:val="center"/>
                </w:tcPr>
                <w:p w14:paraId="2494E274">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p>
              </w:tc>
              <w:tc>
                <w:tcPr>
                  <w:tcW w:w="751" w:type="pct"/>
                  <w:vMerge w:val="continue"/>
                  <w:noWrap w:val="0"/>
                  <w:vAlign w:val="center"/>
                </w:tcPr>
                <w:p w14:paraId="5F77B45A">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p>
              </w:tc>
              <w:tc>
                <w:tcPr>
                  <w:tcW w:w="403" w:type="pct"/>
                  <w:vMerge w:val="continue"/>
                  <w:noWrap w:val="0"/>
                  <w:vAlign w:val="top"/>
                </w:tcPr>
                <w:p w14:paraId="5667D666">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p>
              </w:tc>
              <w:tc>
                <w:tcPr>
                  <w:tcW w:w="270" w:type="pct"/>
                  <w:vMerge w:val="continue"/>
                  <w:noWrap w:val="0"/>
                  <w:vAlign w:val="top"/>
                </w:tcPr>
                <w:p w14:paraId="0A144340">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p>
              </w:tc>
              <w:tc>
                <w:tcPr>
                  <w:tcW w:w="270" w:type="pct"/>
                  <w:vMerge w:val="continue"/>
                  <w:noWrap w:val="0"/>
                  <w:vAlign w:val="center"/>
                </w:tcPr>
                <w:p w14:paraId="103AE3BB">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p>
              </w:tc>
              <w:tc>
                <w:tcPr>
                  <w:tcW w:w="307" w:type="pct"/>
                  <w:shd w:val="clear" w:color="auto" w:fill="auto"/>
                  <w:noWrap w:val="0"/>
                  <w:vAlign w:val="center"/>
                </w:tcPr>
                <w:p w14:paraId="231C3D3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55</w:t>
                  </w:r>
                </w:p>
              </w:tc>
              <w:tc>
                <w:tcPr>
                  <w:tcW w:w="296" w:type="pct"/>
                  <w:noWrap w:val="0"/>
                  <w:vAlign w:val="center"/>
                </w:tcPr>
                <w:p w14:paraId="33CB0E2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31</w:t>
                  </w:r>
                </w:p>
              </w:tc>
              <w:tc>
                <w:tcPr>
                  <w:tcW w:w="277" w:type="pct"/>
                  <w:shd w:val="clear" w:color="auto" w:fill="auto"/>
                  <w:noWrap w:val="0"/>
                  <w:vAlign w:val="center"/>
                </w:tcPr>
                <w:p w14:paraId="47701556">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393" w:type="pct"/>
                  <w:noWrap w:val="0"/>
                  <w:vAlign w:val="center"/>
                </w:tcPr>
                <w:p w14:paraId="2467CAC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95</w:t>
                  </w:r>
                </w:p>
              </w:tc>
              <w:tc>
                <w:tcPr>
                  <w:tcW w:w="378" w:type="pct"/>
                  <w:noWrap w:val="0"/>
                  <w:vAlign w:val="center"/>
                </w:tcPr>
                <w:p w14:paraId="0DE1DD9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31</w:t>
                  </w:r>
                </w:p>
              </w:tc>
              <w:tc>
                <w:tcPr>
                  <w:tcW w:w="348" w:type="pct"/>
                  <w:noWrap w:val="0"/>
                  <w:vAlign w:val="center"/>
                </w:tcPr>
                <w:p w14:paraId="2EB4D81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55</w:t>
                  </w:r>
                </w:p>
              </w:tc>
              <w:tc>
                <w:tcPr>
                  <w:tcW w:w="390" w:type="pct"/>
                  <w:noWrap w:val="0"/>
                  <w:vAlign w:val="center"/>
                </w:tcPr>
                <w:p w14:paraId="42D6416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39</w:t>
                  </w:r>
                </w:p>
              </w:tc>
            </w:tr>
            <w:tr w14:paraId="134E6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250" w:type="pct"/>
                  <w:vMerge w:val="restart"/>
                  <w:noWrap w:val="0"/>
                  <w:vAlign w:val="center"/>
                </w:tcPr>
                <w:p w14:paraId="1E6F0A1B">
                  <w:pPr>
                    <w:keepNext w:val="0"/>
                    <w:keepLines w:val="0"/>
                    <w:widowControl/>
                    <w:suppressLineNumbers w:val="0"/>
                    <w:spacing w:before="0" w:beforeAutospacing="0" w:after="0" w:afterAutospacing="0" w:line="240" w:lineRule="auto"/>
                    <w:ind w:left="0" w:right="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p>
              </w:tc>
              <w:tc>
                <w:tcPr>
                  <w:tcW w:w="259" w:type="pct"/>
                  <w:vMerge w:val="restart"/>
                  <w:noWrap w:val="0"/>
                  <w:vAlign w:val="center"/>
                </w:tcPr>
                <w:p w14:paraId="73E948A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牵引机</w:t>
                  </w:r>
                </w:p>
              </w:tc>
              <w:tc>
                <w:tcPr>
                  <w:tcW w:w="403" w:type="pct"/>
                  <w:vMerge w:val="restart"/>
                  <w:noWrap w:val="0"/>
                  <w:vAlign w:val="center"/>
                </w:tcPr>
                <w:p w14:paraId="1410417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w:t>
                  </w:r>
                </w:p>
              </w:tc>
              <w:tc>
                <w:tcPr>
                  <w:tcW w:w="751" w:type="pct"/>
                  <w:vMerge w:val="restart"/>
                  <w:noWrap w:val="0"/>
                  <w:vAlign w:val="center"/>
                </w:tcPr>
                <w:p w14:paraId="79254F8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70</w:t>
                  </w:r>
                </w:p>
              </w:tc>
              <w:tc>
                <w:tcPr>
                  <w:tcW w:w="403" w:type="pct"/>
                  <w:vMerge w:val="continue"/>
                  <w:noWrap w:val="0"/>
                  <w:vAlign w:val="center"/>
                </w:tcPr>
                <w:p w14:paraId="3136B4A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p>
              </w:tc>
              <w:tc>
                <w:tcPr>
                  <w:tcW w:w="270" w:type="pct"/>
                  <w:vMerge w:val="continue"/>
                  <w:noWrap w:val="0"/>
                  <w:vAlign w:val="center"/>
                </w:tcPr>
                <w:p w14:paraId="7C2429D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p>
              </w:tc>
              <w:tc>
                <w:tcPr>
                  <w:tcW w:w="270" w:type="pct"/>
                  <w:vMerge w:val="restart"/>
                  <w:noWrap w:val="0"/>
                  <w:vAlign w:val="center"/>
                </w:tcPr>
                <w:p w14:paraId="1220187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2#车间</w:t>
                  </w:r>
                </w:p>
              </w:tc>
              <w:tc>
                <w:tcPr>
                  <w:tcW w:w="307" w:type="pct"/>
                  <w:noWrap w:val="0"/>
                  <w:vAlign w:val="center"/>
                </w:tcPr>
                <w:p w14:paraId="0265418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41</w:t>
                  </w:r>
                </w:p>
              </w:tc>
              <w:tc>
                <w:tcPr>
                  <w:tcW w:w="296" w:type="pct"/>
                  <w:noWrap w:val="0"/>
                  <w:vAlign w:val="center"/>
                </w:tcPr>
                <w:p w14:paraId="3511DA6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277" w:type="pct"/>
                  <w:shd w:val="clear" w:color="auto" w:fill="auto"/>
                  <w:noWrap w:val="0"/>
                  <w:vAlign w:val="center"/>
                </w:tcPr>
                <w:p w14:paraId="25B0E3F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393" w:type="pct"/>
                  <w:noWrap w:val="0"/>
                  <w:vAlign w:val="center"/>
                </w:tcPr>
                <w:p w14:paraId="3EA2087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109</w:t>
                  </w:r>
                </w:p>
              </w:tc>
              <w:tc>
                <w:tcPr>
                  <w:tcW w:w="378" w:type="pct"/>
                  <w:noWrap w:val="0"/>
                  <w:vAlign w:val="center"/>
                </w:tcPr>
                <w:p w14:paraId="33BCD66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348" w:type="pct"/>
                  <w:noWrap w:val="0"/>
                  <w:vAlign w:val="center"/>
                </w:tcPr>
                <w:p w14:paraId="5162F44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41</w:t>
                  </w:r>
                </w:p>
              </w:tc>
              <w:tc>
                <w:tcPr>
                  <w:tcW w:w="390" w:type="pct"/>
                  <w:noWrap w:val="0"/>
                  <w:vAlign w:val="center"/>
                </w:tcPr>
                <w:p w14:paraId="03C4963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48</w:t>
                  </w:r>
                </w:p>
              </w:tc>
            </w:tr>
            <w:tr w14:paraId="1AB0D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250" w:type="pct"/>
                  <w:vMerge w:val="continue"/>
                  <w:noWrap w:val="0"/>
                  <w:vAlign w:val="center"/>
                </w:tcPr>
                <w:p w14:paraId="513D0F29">
                  <w:pPr>
                    <w:keepNext w:val="0"/>
                    <w:keepLines w:val="0"/>
                    <w:widowControl/>
                    <w:suppressLineNumbers w:val="0"/>
                    <w:spacing w:before="0" w:beforeAutospacing="0" w:after="0" w:afterAutospacing="0"/>
                    <w:ind w:left="0" w:right="0"/>
                    <w:jc w:val="center"/>
                    <w:textAlignment w:val="center"/>
                    <w:rPr>
                      <w:rFonts w:hint="default"/>
                    </w:rPr>
                  </w:pPr>
                </w:p>
              </w:tc>
              <w:tc>
                <w:tcPr>
                  <w:tcW w:w="259" w:type="pct"/>
                  <w:vMerge w:val="continue"/>
                  <w:noWrap w:val="0"/>
                  <w:vAlign w:val="center"/>
                </w:tcPr>
                <w:p w14:paraId="0AE62483">
                  <w:pPr>
                    <w:keepNext w:val="0"/>
                    <w:keepLines w:val="0"/>
                    <w:widowControl/>
                    <w:suppressLineNumbers w:val="0"/>
                    <w:spacing w:before="0" w:beforeAutospacing="0" w:after="0" w:afterAutospacing="0"/>
                    <w:ind w:left="0" w:right="0"/>
                    <w:jc w:val="center"/>
                    <w:textAlignment w:val="center"/>
                    <w:rPr>
                      <w:rFonts w:hint="default"/>
                    </w:rPr>
                  </w:pPr>
                </w:p>
              </w:tc>
              <w:tc>
                <w:tcPr>
                  <w:tcW w:w="403" w:type="pct"/>
                  <w:vMerge w:val="continue"/>
                  <w:noWrap w:val="0"/>
                  <w:vAlign w:val="center"/>
                </w:tcPr>
                <w:p w14:paraId="0FC8DC45">
                  <w:pPr>
                    <w:keepNext w:val="0"/>
                    <w:keepLines w:val="0"/>
                    <w:widowControl/>
                    <w:suppressLineNumbers w:val="0"/>
                    <w:spacing w:before="0" w:beforeAutospacing="0" w:after="0" w:afterAutospacing="0"/>
                    <w:ind w:left="0" w:right="0"/>
                    <w:jc w:val="center"/>
                    <w:textAlignment w:val="center"/>
                    <w:rPr>
                      <w:rFonts w:hint="default"/>
                    </w:rPr>
                  </w:pPr>
                </w:p>
              </w:tc>
              <w:tc>
                <w:tcPr>
                  <w:tcW w:w="751" w:type="pct"/>
                  <w:vMerge w:val="continue"/>
                  <w:noWrap w:val="0"/>
                  <w:vAlign w:val="center"/>
                </w:tcPr>
                <w:p w14:paraId="505FE3D4">
                  <w:pPr>
                    <w:keepNext w:val="0"/>
                    <w:keepLines w:val="0"/>
                    <w:widowControl/>
                    <w:suppressLineNumbers w:val="0"/>
                    <w:spacing w:before="0" w:beforeAutospacing="0" w:after="0" w:afterAutospacing="0"/>
                    <w:ind w:left="0" w:right="0"/>
                    <w:jc w:val="center"/>
                    <w:textAlignment w:val="center"/>
                    <w:rPr>
                      <w:rFonts w:hint="default"/>
                    </w:rPr>
                  </w:pPr>
                </w:p>
              </w:tc>
              <w:tc>
                <w:tcPr>
                  <w:tcW w:w="403" w:type="pct"/>
                  <w:vMerge w:val="continue"/>
                  <w:noWrap w:val="0"/>
                  <w:vAlign w:val="center"/>
                </w:tcPr>
                <w:p w14:paraId="5AC6229A">
                  <w:pPr>
                    <w:keepNext w:val="0"/>
                    <w:keepLines w:val="0"/>
                    <w:widowControl/>
                    <w:suppressLineNumbers w:val="0"/>
                    <w:spacing w:before="0" w:beforeAutospacing="0" w:after="0" w:afterAutospacing="0"/>
                    <w:ind w:left="0" w:right="0"/>
                    <w:jc w:val="center"/>
                    <w:textAlignment w:val="center"/>
                    <w:rPr>
                      <w:rFonts w:hint="default"/>
                    </w:rPr>
                  </w:pPr>
                </w:p>
              </w:tc>
              <w:tc>
                <w:tcPr>
                  <w:tcW w:w="270" w:type="pct"/>
                  <w:vMerge w:val="continue"/>
                  <w:noWrap w:val="0"/>
                  <w:vAlign w:val="center"/>
                </w:tcPr>
                <w:p w14:paraId="6387011C">
                  <w:pPr>
                    <w:keepNext w:val="0"/>
                    <w:keepLines w:val="0"/>
                    <w:widowControl/>
                    <w:suppressLineNumbers w:val="0"/>
                    <w:spacing w:before="0" w:beforeAutospacing="0" w:after="0" w:afterAutospacing="0"/>
                    <w:ind w:left="0" w:right="0"/>
                    <w:jc w:val="center"/>
                    <w:textAlignment w:val="center"/>
                    <w:rPr>
                      <w:rFonts w:hint="default"/>
                    </w:rPr>
                  </w:pPr>
                </w:p>
              </w:tc>
              <w:tc>
                <w:tcPr>
                  <w:tcW w:w="270" w:type="pct"/>
                  <w:vMerge w:val="continue"/>
                  <w:noWrap w:val="0"/>
                  <w:vAlign w:val="center"/>
                </w:tcPr>
                <w:p w14:paraId="656AB5A7">
                  <w:pPr>
                    <w:keepNext w:val="0"/>
                    <w:keepLines w:val="0"/>
                    <w:widowControl/>
                    <w:suppressLineNumbers w:val="0"/>
                    <w:spacing w:before="0" w:beforeAutospacing="0" w:after="0" w:afterAutospacing="0"/>
                    <w:ind w:left="0" w:right="0"/>
                    <w:jc w:val="center"/>
                    <w:textAlignment w:val="center"/>
                    <w:rPr>
                      <w:rFonts w:hint="default"/>
                    </w:rPr>
                  </w:pPr>
                </w:p>
              </w:tc>
              <w:tc>
                <w:tcPr>
                  <w:tcW w:w="307" w:type="pct"/>
                  <w:noWrap w:val="0"/>
                  <w:vAlign w:val="center"/>
                </w:tcPr>
                <w:p w14:paraId="20F3B88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46</w:t>
                  </w:r>
                </w:p>
              </w:tc>
              <w:tc>
                <w:tcPr>
                  <w:tcW w:w="296" w:type="pct"/>
                  <w:noWrap w:val="0"/>
                  <w:vAlign w:val="center"/>
                </w:tcPr>
                <w:p w14:paraId="2CC404D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277" w:type="pct"/>
                  <w:shd w:val="clear" w:color="auto" w:fill="auto"/>
                  <w:noWrap w:val="0"/>
                  <w:vAlign w:val="center"/>
                </w:tcPr>
                <w:p w14:paraId="290CF5E0">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393" w:type="pct"/>
                  <w:noWrap w:val="0"/>
                  <w:vAlign w:val="center"/>
                </w:tcPr>
                <w:p w14:paraId="743A226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104</w:t>
                  </w:r>
                </w:p>
              </w:tc>
              <w:tc>
                <w:tcPr>
                  <w:tcW w:w="378" w:type="pct"/>
                  <w:noWrap w:val="0"/>
                  <w:vAlign w:val="center"/>
                </w:tcPr>
                <w:p w14:paraId="1AFAA3B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348" w:type="pct"/>
                  <w:noWrap w:val="0"/>
                  <w:vAlign w:val="center"/>
                </w:tcPr>
                <w:p w14:paraId="50F6BF0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46</w:t>
                  </w:r>
                </w:p>
              </w:tc>
              <w:tc>
                <w:tcPr>
                  <w:tcW w:w="390" w:type="pct"/>
                  <w:noWrap w:val="0"/>
                  <w:vAlign w:val="center"/>
                </w:tcPr>
                <w:p w14:paraId="3F9F175F">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40</w:t>
                  </w:r>
                </w:p>
              </w:tc>
            </w:tr>
            <w:tr w14:paraId="70E57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250" w:type="pct"/>
                  <w:vMerge w:val="continue"/>
                  <w:noWrap w:val="0"/>
                  <w:vAlign w:val="center"/>
                </w:tcPr>
                <w:p w14:paraId="0E83F9C2">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259" w:type="pct"/>
                  <w:vMerge w:val="continue"/>
                  <w:noWrap w:val="0"/>
                  <w:vAlign w:val="center"/>
                </w:tcPr>
                <w:p w14:paraId="01A88A68">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403" w:type="pct"/>
                  <w:vMerge w:val="continue"/>
                  <w:noWrap w:val="0"/>
                  <w:vAlign w:val="center"/>
                </w:tcPr>
                <w:p w14:paraId="24E34167">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751" w:type="pct"/>
                  <w:vMerge w:val="continue"/>
                  <w:noWrap w:val="0"/>
                  <w:vAlign w:val="center"/>
                </w:tcPr>
                <w:p w14:paraId="073E082F">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403" w:type="pct"/>
                  <w:vMerge w:val="continue"/>
                  <w:noWrap w:val="0"/>
                  <w:vAlign w:val="center"/>
                </w:tcPr>
                <w:p w14:paraId="115DD3EF">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270" w:type="pct"/>
                  <w:vMerge w:val="continue"/>
                  <w:noWrap w:val="0"/>
                  <w:vAlign w:val="center"/>
                </w:tcPr>
                <w:p w14:paraId="3D587058">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270" w:type="pct"/>
                  <w:vMerge w:val="continue"/>
                  <w:noWrap w:val="0"/>
                  <w:vAlign w:val="center"/>
                </w:tcPr>
                <w:p w14:paraId="215E1E3F">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307" w:type="pct"/>
                  <w:noWrap w:val="0"/>
                  <w:vAlign w:val="center"/>
                </w:tcPr>
                <w:p w14:paraId="3E313AB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52</w:t>
                  </w:r>
                </w:p>
              </w:tc>
              <w:tc>
                <w:tcPr>
                  <w:tcW w:w="296" w:type="pct"/>
                  <w:noWrap w:val="0"/>
                  <w:vAlign w:val="center"/>
                </w:tcPr>
                <w:p w14:paraId="576900A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32</w:t>
                  </w:r>
                </w:p>
              </w:tc>
              <w:tc>
                <w:tcPr>
                  <w:tcW w:w="277" w:type="pct"/>
                  <w:shd w:val="clear" w:color="auto" w:fill="auto"/>
                  <w:noWrap w:val="0"/>
                  <w:vAlign w:val="center"/>
                </w:tcPr>
                <w:p w14:paraId="0277AD54">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393" w:type="pct"/>
                  <w:noWrap w:val="0"/>
                  <w:vAlign w:val="center"/>
                </w:tcPr>
                <w:p w14:paraId="6D1AFB8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98</w:t>
                  </w:r>
                </w:p>
              </w:tc>
              <w:tc>
                <w:tcPr>
                  <w:tcW w:w="378" w:type="pct"/>
                  <w:noWrap w:val="0"/>
                  <w:vAlign w:val="center"/>
                </w:tcPr>
                <w:p w14:paraId="12156D9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32</w:t>
                  </w:r>
                </w:p>
              </w:tc>
              <w:tc>
                <w:tcPr>
                  <w:tcW w:w="348" w:type="pct"/>
                  <w:noWrap w:val="0"/>
                  <w:vAlign w:val="center"/>
                </w:tcPr>
                <w:p w14:paraId="777534A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52</w:t>
                  </w:r>
                </w:p>
              </w:tc>
              <w:tc>
                <w:tcPr>
                  <w:tcW w:w="390" w:type="pct"/>
                  <w:noWrap w:val="0"/>
                  <w:vAlign w:val="center"/>
                </w:tcPr>
                <w:p w14:paraId="73CD730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38</w:t>
                  </w:r>
                </w:p>
              </w:tc>
            </w:tr>
            <w:tr w14:paraId="18DE1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0" w:type="pct"/>
                  <w:vMerge w:val="restart"/>
                  <w:noWrap w:val="0"/>
                  <w:vAlign w:val="center"/>
                </w:tcPr>
                <w:p w14:paraId="59C5A1C1">
                  <w:pPr>
                    <w:keepNext w:val="0"/>
                    <w:keepLines w:val="0"/>
                    <w:widowControl/>
                    <w:suppressLineNumbers w:val="0"/>
                    <w:spacing w:before="0" w:beforeAutospacing="0" w:after="0" w:afterAutospacing="0" w:line="240" w:lineRule="auto"/>
                    <w:ind w:left="0" w:right="0"/>
                    <w:jc w:val="center"/>
                    <w:textAlignment w:val="bottom"/>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w:t>
                  </w:r>
                </w:p>
              </w:tc>
              <w:tc>
                <w:tcPr>
                  <w:tcW w:w="259" w:type="pct"/>
                  <w:vMerge w:val="restart"/>
                  <w:noWrap w:val="0"/>
                  <w:vAlign w:val="center"/>
                </w:tcPr>
                <w:p w14:paraId="27BE070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切割机</w:t>
                  </w:r>
                </w:p>
              </w:tc>
              <w:tc>
                <w:tcPr>
                  <w:tcW w:w="403" w:type="pct"/>
                  <w:vMerge w:val="restart"/>
                  <w:noWrap w:val="0"/>
                  <w:vAlign w:val="center"/>
                </w:tcPr>
                <w:p w14:paraId="5725C89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w:t>
                  </w:r>
                  <w:r>
                    <w:rPr>
                      <w:rFonts w:hint="eastAsia" w:ascii="Times New Roman" w:hAnsi="Times New Roman" w:eastAsia="宋体" w:cs="Times New Roman"/>
                      <w:color w:val="auto"/>
                      <w:kern w:val="2"/>
                      <w:sz w:val="21"/>
                      <w:szCs w:val="21"/>
                      <w:highlight w:val="none"/>
                      <w:lang w:val="en-US" w:eastAsia="zh-CN" w:bidi="ar-SA"/>
                    </w:rPr>
                    <w:t>3</w:t>
                  </w:r>
                </w:p>
              </w:tc>
              <w:tc>
                <w:tcPr>
                  <w:tcW w:w="751" w:type="pct"/>
                  <w:vMerge w:val="restart"/>
                  <w:noWrap w:val="0"/>
                  <w:vAlign w:val="center"/>
                </w:tcPr>
                <w:p w14:paraId="4FFB2DD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80</w:t>
                  </w:r>
                </w:p>
              </w:tc>
              <w:tc>
                <w:tcPr>
                  <w:tcW w:w="403" w:type="pct"/>
                  <w:vMerge w:val="continue"/>
                  <w:noWrap w:val="0"/>
                  <w:vAlign w:val="center"/>
                </w:tcPr>
                <w:p w14:paraId="7766ACD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p>
              </w:tc>
              <w:tc>
                <w:tcPr>
                  <w:tcW w:w="270" w:type="pct"/>
                  <w:vMerge w:val="continue"/>
                  <w:noWrap w:val="0"/>
                  <w:vAlign w:val="center"/>
                </w:tcPr>
                <w:p w14:paraId="5D7B075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p>
              </w:tc>
              <w:tc>
                <w:tcPr>
                  <w:tcW w:w="270" w:type="pct"/>
                  <w:vMerge w:val="restart"/>
                  <w:noWrap w:val="0"/>
                  <w:vAlign w:val="center"/>
                </w:tcPr>
                <w:p w14:paraId="37D569D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1#、2</w:t>
                  </w:r>
                  <w:r>
                    <w:rPr>
                      <w:rFonts w:hint="eastAsia" w:ascii="Times New Roman" w:hAnsi="Times New Roman" w:eastAsia="宋体" w:cs="Times New Roman"/>
                      <w:b w:val="0"/>
                      <w:bCs w:val="0"/>
                      <w:color w:val="auto"/>
                      <w:kern w:val="2"/>
                      <w:sz w:val="21"/>
                      <w:szCs w:val="21"/>
                      <w:highlight w:val="none"/>
                      <w:lang w:val="en-US" w:eastAsia="zh-CN" w:bidi="ar-SA"/>
                    </w:rPr>
                    <w:t>#生产车间</w:t>
                  </w:r>
                </w:p>
              </w:tc>
              <w:tc>
                <w:tcPr>
                  <w:tcW w:w="307" w:type="pct"/>
                  <w:noWrap w:val="0"/>
                  <w:vAlign w:val="center"/>
                </w:tcPr>
                <w:p w14:paraId="59E01BE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42</w:t>
                  </w:r>
                </w:p>
              </w:tc>
              <w:tc>
                <w:tcPr>
                  <w:tcW w:w="296" w:type="pct"/>
                  <w:noWrap w:val="0"/>
                  <w:vAlign w:val="center"/>
                </w:tcPr>
                <w:p w14:paraId="0C53920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277" w:type="pct"/>
                  <w:shd w:val="clear" w:color="auto" w:fill="auto"/>
                  <w:noWrap w:val="0"/>
                  <w:vAlign w:val="center"/>
                </w:tcPr>
                <w:p w14:paraId="7065365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393" w:type="pct"/>
                  <w:noWrap w:val="0"/>
                  <w:vAlign w:val="center"/>
                </w:tcPr>
                <w:p w14:paraId="3D9FD4D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108</w:t>
                  </w:r>
                </w:p>
              </w:tc>
              <w:tc>
                <w:tcPr>
                  <w:tcW w:w="378" w:type="pct"/>
                  <w:noWrap w:val="0"/>
                  <w:vAlign w:val="center"/>
                </w:tcPr>
                <w:p w14:paraId="560DA1C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348" w:type="pct"/>
                  <w:noWrap w:val="0"/>
                  <w:vAlign w:val="center"/>
                </w:tcPr>
                <w:p w14:paraId="123168D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42</w:t>
                  </w:r>
                </w:p>
              </w:tc>
              <w:tc>
                <w:tcPr>
                  <w:tcW w:w="390" w:type="pct"/>
                  <w:noWrap w:val="0"/>
                  <w:vAlign w:val="center"/>
                </w:tcPr>
                <w:p w14:paraId="02791D3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58</w:t>
                  </w:r>
                </w:p>
              </w:tc>
            </w:tr>
            <w:tr w14:paraId="72FCA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0" w:type="pct"/>
                  <w:vMerge w:val="continue"/>
                  <w:noWrap w:val="0"/>
                  <w:vAlign w:val="center"/>
                </w:tcPr>
                <w:p w14:paraId="443FBC9F">
                  <w:pPr>
                    <w:keepNext w:val="0"/>
                    <w:keepLines w:val="0"/>
                    <w:widowControl/>
                    <w:suppressLineNumbers w:val="0"/>
                    <w:spacing w:before="0" w:beforeAutospacing="0" w:after="0" w:afterAutospacing="0"/>
                    <w:ind w:left="0" w:right="0"/>
                    <w:jc w:val="center"/>
                    <w:textAlignment w:val="center"/>
                    <w:rPr>
                      <w:rFonts w:hint="default"/>
                    </w:rPr>
                  </w:pPr>
                </w:p>
              </w:tc>
              <w:tc>
                <w:tcPr>
                  <w:tcW w:w="259" w:type="pct"/>
                  <w:vMerge w:val="continue"/>
                  <w:noWrap w:val="0"/>
                  <w:vAlign w:val="center"/>
                </w:tcPr>
                <w:p w14:paraId="6FD1A27A">
                  <w:pPr>
                    <w:keepNext w:val="0"/>
                    <w:keepLines w:val="0"/>
                    <w:widowControl/>
                    <w:suppressLineNumbers w:val="0"/>
                    <w:spacing w:before="0" w:beforeAutospacing="0" w:after="0" w:afterAutospacing="0"/>
                    <w:ind w:left="0" w:right="0"/>
                    <w:jc w:val="center"/>
                    <w:textAlignment w:val="center"/>
                    <w:rPr>
                      <w:rFonts w:hint="default"/>
                    </w:rPr>
                  </w:pPr>
                </w:p>
              </w:tc>
              <w:tc>
                <w:tcPr>
                  <w:tcW w:w="403" w:type="pct"/>
                  <w:vMerge w:val="continue"/>
                  <w:noWrap w:val="0"/>
                  <w:vAlign w:val="center"/>
                </w:tcPr>
                <w:p w14:paraId="5E0F4D95">
                  <w:pPr>
                    <w:keepNext w:val="0"/>
                    <w:keepLines w:val="0"/>
                    <w:widowControl/>
                    <w:suppressLineNumbers w:val="0"/>
                    <w:spacing w:before="0" w:beforeAutospacing="0" w:after="0" w:afterAutospacing="0"/>
                    <w:ind w:left="0" w:right="0"/>
                    <w:jc w:val="center"/>
                    <w:textAlignment w:val="center"/>
                    <w:rPr>
                      <w:rFonts w:hint="default"/>
                    </w:rPr>
                  </w:pPr>
                </w:p>
              </w:tc>
              <w:tc>
                <w:tcPr>
                  <w:tcW w:w="751" w:type="pct"/>
                  <w:vMerge w:val="continue"/>
                  <w:noWrap w:val="0"/>
                  <w:vAlign w:val="center"/>
                </w:tcPr>
                <w:p w14:paraId="3A51ED52">
                  <w:pPr>
                    <w:keepNext w:val="0"/>
                    <w:keepLines w:val="0"/>
                    <w:widowControl/>
                    <w:suppressLineNumbers w:val="0"/>
                    <w:spacing w:before="0" w:beforeAutospacing="0" w:after="0" w:afterAutospacing="0"/>
                    <w:ind w:left="0" w:right="0"/>
                    <w:jc w:val="center"/>
                    <w:textAlignment w:val="center"/>
                    <w:rPr>
                      <w:rFonts w:hint="default"/>
                    </w:rPr>
                  </w:pPr>
                </w:p>
              </w:tc>
              <w:tc>
                <w:tcPr>
                  <w:tcW w:w="403" w:type="pct"/>
                  <w:vMerge w:val="continue"/>
                  <w:noWrap w:val="0"/>
                  <w:vAlign w:val="center"/>
                </w:tcPr>
                <w:p w14:paraId="6DD55C3F">
                  <w:pPr>
                    <w:keepNext w:val="0"/>
                    <w:keepLines w:val="0"/>
                    <w:widowControl/>
                    <w:suppressLineNumbers w:val="0"/>
                    <w:spacing w:before="0" w:beforeAutospacing="0" w:after="0" w:afterAutospacing="0"/>
                    <w:ind w:left="0" w:right="0"/>
                    <w:jc w:val="center"/>
                    <w:textAlignment w:val="center"/>
                    <w:rPr>
                      <w:rFonts w:hint="default"/>
                    </w:rPr>
                  </w:pPr>
                </w:p>
              </w:tc>
              <w:tc>
                <w:tcPr>
                  <w:tcW w:w="270" w:type="pct"/>
                  <w:vMerge w:val="continue"/>
                  <w:noWrap w:val="0"/>
                  <w:vAlign w:val="center"/>
                </w:tcPr>
                <w:p w14:paraId="2BCDA13A">
                  <w:pPr>
                    <w:keepNext w:val="0"/>
                    <w:keepLines w:val="0"/>
                    <w:widowControl/>
                    <w:suppressLineNumbers w:val="0"/>
                    <w:spacing w:before="0" w:beforeAutospacing="0" w:after="0" w:afterAutospacing="0"/>
                    <w:ind w:left="0" w:right="0"/>
                    <w:jc w:val="center"/>
                    <w:textAlignment w:val="center"/>
                    <w:rPr>
                      <w:rFonts w:hint="default"/>
                    </w:rPr>
                  </w:pPr>
                </w:p>
              </w:tc>
              <w:tc>
                <w:tcPr>
                  <w:tcW w:w="270" w:type="pct"/>
                  <w:vMerge w:val="continue"/>
                  <w:noWrap w:val="0"/>
                  <w:vAlign w:val="center"/>
                </w:tcPr>
                <w:p w14:paraId="36274AAA">
                  <w:pPr>
                    <w:keepNext w:val="0"/>
                    <w:keepLines w:val="0"/>
                    <w:widowControl/>
                    <w:suppressLineNumbers w:val="0"/>
                    <w:spacing w:before="0" w:beforeAutospacing="0" w:after="0" w:afterAutospacing="0"/>
                    <w:ind w:left="0" w:right="0"/>
                    <w:jc w:val="center"/>
                    <w:textAlignment w:val="center"/>
                    <w:rPr>
                      <w:rFonts w:hint="default"/>
                    </w:rPr>
                  </w:pPr>
                </w:p>
              </w:tc>
              <w:tc>
                <w:tcPr>
                  <w:tcW w:w="307" w:type="pct"/>
                  <w:noWrap w:val="0"/>
                  <w:vAlign w:val="center"/>
                </w:tcPr>
                <w:p w14:paraId="7BE90E7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47</w:t>
                  </w:r>
                </w:p>
              </w:tc>
              <w:tc>
                <w:tcPr>
                  <w:tcW w:w="296" w:type="pct"/>
                  <w:noWrap w:val="0"/>
                  <w:vAlign w:val="center"/>
                </w:tcPr>
                <w:p w14:paraId="0C0E8B8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277" w:type="pct"/>
                  <w:shd w:val="clear" w:color="auto" w:fill="auto"/>
                  <w:noWrap w:val="0"/>
                  <w:vAlign w:val="center"/>
                </w:tcPr>
                <w:p w14:paraId="18F98CC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393" w:type="pct"/>
                  <w:noWrap w:val="0"/>
                  <w:vAlign w:val="center"/>
                </w:tcPr>
                <w:p w14:paraId="24457AE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103</w:t>
                  </w:r>
                </w:p>
              </w:tc>
              <w:tc>
                <w:tcPr>
                  <w:tcW w:w="378" w:type="pct"/>
                  <w:noWrap w:val="0"/>
                  <w:vAlign w:val="center"/>
                </w:tcPr>
                <w:p w14:paraId="76F695E0">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348" w:type="pct"/>
                  <w:noWrap w:val="0"/>
                  <w:vAlign w:val="center"/>
                </w:tcPr>
                <w:p w14:paraId="47F82EC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47</w:t>
                  </w:r>
                </w:p>
              </w:tc>
              <w:tc>
                <w:tcPr>
                  <w:tcW w:w="390" w:type="pct"/>
                  <w:noWrap w:val="0"/>
                  <w:vAlign w:val="center"/>
                </w:tcPr>
                <w:p w14:paraId="5CFC1D0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56</w:t>
                  </w:r>
                </w:p>
              </w:tc>
            </w:tr>
            <w:tr w14:paraId="2514E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0" w:type="pct"/>
                  <w:vMerge w:val="continue"/>
                  <w:noWrap w:val="0"/>
                  <w:vAlign w:val="center"/>
                </w:tcPr>
                <w:p w14:paraId="73040456">
                  <w:pPr>
                    <w:keepNext w:val="0"/>
                    <w:keepLines w:val="0"/>
                    <w:widowControl/>
                    <w:suppressLineNumbers w:val="0"/>
                    <w:spacing w:before="0" w:beforeAutospacing="0" w:after="0" w:afterAutospacing="0"/>
                    <w:ind w:left="0" w:right="0"/>
                    <w:jc w:val="center"/>
                    <w:textAlignment w:val="center"/>
                    <w:rPr>
                      <w:rFonts w:hint="default"/>
                    </w:rPr>
                  </w:pPr>
                </w:p>
              </w:tc>
              <w:tc>
                <w:tcPr>
                  <w:tcW w:w="259" w:type="pct"/>
                  <w:vMerge w:val="continue"/>
                  <w:noWrap w:val="0"/>
                  <w:vAlign w:val="center"/>
                </w:tcPr>
                <w:p w14:paraId="0881E84C">
                  <w:pPr>
                    <w:keepNext w:val="0"/>
                    <w:keepLines w:val="0"/>
                    <w:widowControl/>
                    <w:suppressLineNumbers w:val="0"/>
                    <w:spacing w:before="0" w:beforeAutospacing="0" w:after="0" w:afterAutospacing="0"/>
                    <w:ind w:left="0" w:right="0"/>
                    <w:jc w:val="center"/>
                    <w:textAlignment w:val="center"/>
                    <w:rPr>
                      <w:rFonts w:hint="default"/>
                    </w:rPr>
                  </w:pPr>
                </w:p>
              </w:tc>
              <w:tc>
                <w:tcPr>
                  <w:tcW w:w="403" w:type="pct"/>
                  <w:vMerge w:val="continue"/>
                  <w:noWrap w:val="0"/>
                  <w:vAlign w:val="center"/>
                </w:tcPr>
                <w:p w14:paraId="2B0451E5">
                  <w:pPr>
                    <w:keepNext w:val="0"/>
                    <w:keepLines w:val="0"/>
                    <w:widowControl/>
                    <w:suppressLineNumbers w:val="0"/>
                    <w:spacing w:before="0" w:beforeAutospacing="0" w:after="0" w:afterAutospacing="0"/>
                    <w:ind w:left="0" w:right="0"/>
                    <w:jc w:val="center"/>
                    <w:textAlignment w:val="center"/>
                    <w:rPr>
                      <w:rFonts w:hint="default"/>
                    </w:rPr>
                  </w:pPr>
                </w:p>
              </w:tc>
              <w:tc>
                <w:tcPr>
                  <w:tcW w:w="751" w:type="pct"/>
                  <w:vMerge w:val="continue"/>
                  <w:noWrap w:val="0"/>
                  <w:vAlign w:val="center"/>
                </w:tcPr>
                <w:p w14:paraId="24FD67B9">
                  <w:pPr>
                    <w:keepNext w:val="0"/>
                    <w:keepLines w:val="0"/>
                    <w:widowControl/>
                    <w:suppressLineNumbers w:val="0"/>
                    <w:spacing w:before="0" w:beforeAutospacing="0" w:after="0" w:afterAutospacing="0"/>
                    <w:ind w:left="0" w:right="0"/>
                    <w:jc w:val="center"/>
                    <w:textAlignment w:val="center"/>
                    <w:rPr>
                      <w:rFonts w:hint="default"/>
                    </w:rPr>
                  </w:pPr>
                </w:p>
              </w:tc>
              <w:tc>
                <w:tcPr>
                  <w:tcW w:w="403" w:type="pct"/>
                  <w:vMerge w:val="continue"/>
                  <w:noWrap w:val="0"/>
                  <w:vAlign w:val="center"/>
                </w:tcPr>
                <w:p w14:paraId="5E54D422">
                  <w:pPr>
                    <w:keepNext w:val="0"/>
                    <w:keepLines w:val="0"/>
                    <w:widowControl/>
                    <w:suppressLineNumbers w:val="0"/>
                    <w:spacing w:before="0" w:beforeAutospacing="0" w:after="0" w:afterAutospacing="0"/>
                    <w:ind w:left="0" w:right="0"/>
                    <w:jc w:val="center"/>
                    <w:textAlignment w:val="center"/>
                    <w:rPr>
                      <w:rFonts w:hint="default"/>
                    </w:rPr>
                  </w:pPr>
                </w:p>
              </w:tc>
              <w:tc>
                <w:tcPr>
                  <w:tcW w:w="270" w:type="pct"/>
                  <w:vMerge w:val="continue"/>
                  <w:noWrap w:val="0"/>
                  <w:vAlign w:val="center"/>
                </w:tcPr>
                <w:p w14:paraId="11BFCB65">
                  <w:pPr>
                    <w:keepNext w:val="0"/>
                    <w:keepLines w:val="0"/>
                    <w:widowControl/>
                    <w:suppressLineNumbers w:val="0"/>
                    <w:spacing w:before="0" w:beforeAutospacing="0" w:after="0" w:afterAutospacing="0"/>
                    <w:ind w:left="0" w:right="0"/>
                    <w:jc w:val="center"/>
                    <w:textAlignment w:val="center"/>
                    <w:rPr>
                      <w:rFonts w:hint="default"/>
                    </w:rPr>
                  </w:pPr>
                </w:p>
              </w:tc>
              <w:tc>
                <w:tcPr>
                  <w:tcW w:w="270" w:type="pct"/>
                  <w:vMerge w:val="continue"/>
                  <w:noWrap w:val="0"/>
                  <w:vAlign w:val="center"/>
                </w:tcPr>
                <w:p w14:paraId="60ED249F">
                  <w:pPr>
                    <w:keepNext w:val="0"/>
                    <w:keepLines w:val="0"/>
                    <w:widowControl/>
                    <w:suppressLineNumbers w:val="0"/>
                    <w:spacing w:before="0" w:beforeAutospacing="0" w:after="0" w:afterAutospacing="0"/>
                    <w:ind w:left="0" w:right="0"/>
                    <w:jc w:val="center"/>
                    <w:textAlignment w:val="center"/>
                    <w:rPr>
                      <w:rFonts w:hint="default"/>
                    </w:rPr>
                  </w:pPr>
                </w:p>
              </w:tc>
              <w:tc>
                <w:tcPr>
                  <w:tcW w:w="307" w:type="pct"/>
                  <w:shd w:val="clear" w:color="auto" w:fill="auto"/>
                  <w:noWrap w:val="0"/>
                  <w:vAlign w:val="center"/>
                </w:tcPr>
                <w:p w14:paraId="45ED923B">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53</w:t>
                  </w:r>
                </w:p>
              </w:tc>
              <w:tc>
                <w:tcPr>
                  <w:tcW w:w="296" w:type="pct"/>
                  <w:shd w:val="clear" w:color="auto" w:fill="auto"/>
                  <w:noWrap w:val="0"/>
                  <w:vAlign w:val="center"/>
                </w:tcPr>
                <w:p w14:paraId="2465A5DD">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277" w:type="pct"/>
                  <w:shd w:val="clear" w:color="auto" w:fill="auto"/>
                  <w:noWrap w:val="0"/>
                  <w:vAlign w:val="center"/>
                </w:tcPr>
                <w:p w14:paraId="1F49942B">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393" w:type="pct"/>
                  <w:noWrap w:val="0"/>
                  <w:vAlign w:val="center"/>
                </w:tcPr>
                <w:p w14:paraId="2A6E994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97</w:t>
                  </w:r>
                </w:p>
              </w:tc>
              <w:tc>
                <w:tcPr>
                  <w:tcW w:w="378" w:type="pct"/>
                  <w:noWrap w:val="0"/>
                  <w:vAlign w:val="center"/>
                </w:tcPr>
                <w:p w14:paraId="4164A5A3">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348" w:type="pct"/>
                  <w:noWrap w:val="0"/>
                  <w:vAlign w:val="center"/>
                </w:tcPr>
                <w:p w14:paraId="4F2EBE2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53</w:t>
                  </w:r>
                </w:p>
              </w:tc>
              <w:tc>
                <w:tcPr>
                  <w:tcW w:w="390" w:type="pct"/>
                  <w:noWrap w:val="0"/>
                  <w:vAlign w:val="center"/>
                </w:tcPr>
                <w:p w14:paraId="561A27D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54</w:t>
                  </w:r>
                </w:p>
              </w:tc>
            </w:tr>
            <w:tr w14:paraId="1B084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0" w:type="pct"/>
                  <w:vMerge w:val="continue"/>
                  <w:noWrap w:val="0"/>
                  <w:vAlign w:val="center"/>
                </w:tcPr>
                <w:p w14:paraId="77508FB0">
                  <w:pPr>
                    <w:keepNext w:val="0"/>
                    <w:keepLines w:val="0"/>
                    <w:widowControl/>
                    <w:suppressLineNumbers w:val="0"/>
                    <w:spacing w:before="0" w:beforeAutospacing="0" w:after="0" w:afterAutospacing="0"/>
                    <w:ind w:left="0" w:right="0"/>
                    <w:jc w:val="center"/>
                    <w:textAlignment w:val="center"/>
                    <w:rPr>
                      <w:rFonts w:hint="default"/>
                    </w:rPr>
                  </w:pPr>
                </w:p>
              </w:tc>
              <w:tc>
                <w:tcPr>
                  <w:tcW w:w="259" w:type="pct"/>
                  <w:vMerge w:val="continue"/>
                  <w:noWrap w:val="0"/>
                  <w:vAlign w:val="center"/>
                </w:tcPr>
                <w:p w14:paraId="70A57228">
                  <w:pPr>
                    <w:keepNext w:val="0"/>
                    <w:keepLines w:val="0"/>
                    <w:widowControl/>
                    <w:suppressLineNumbers w:val="0"/>
                    <w:spacing w:before="0" w:beforeAutospacing="0" w:after="0" w:afterAutospacing="0"/>
                    <w:ind w:left="0" w:right="0"/>
                    <w:jc w:val="center"/>
                    <w:textAlignment w:val="center"/>
                    <w:rPr>
                      <w:rFonts w:hint="default"/>
                    </w:rPr>
                  </w:pPr>
                </w:p>
              </w:tc>
              <w:tc>
                <w:tcPr>
                  <w:tcW w:w="403" w:type="pct"/>
                  <w:vMerge w:val="continue"/>
                  <w:noWrap w:val="0"/>
                  <w:vAlign w:val="center"/>
                </w:tcPr>
                <w:p w14:paraId="3BB94CE9">
                  <w:pPr>
                    <w:keepNext w:val="0"/>
                    <w:keepLines w:val="0"/>
                    <w:widowControl/>
                    <w:suppressLineNumbers w:val="0"/>
                    <w:spacing w:before="0" w:beforeAutospacing="0" w:after="0" w:afterAutospacing="0"/>
                    <w:ind w:left="0" w:right="0"/>
                    <w:jc w:val="center"/>
                    <w:textAlignment w:val="center"/>
                    <w:rPr>
                      <w:rFonts w:hint="default"/>
                    </w:rPr>
                  </w:pPr>
                </w:p>
              </w:tc>
              <w:tc>
                <w:tcPr>
                  <w:tcW w:w="751" w:type="pct"/>
                  <w:vMerge w:val="continue"/>
                  <w:noWrap w:val="0"/>
                  <w:vAlign w:val="center"/>
                </w:tcPr>
                <w:p w14:paraId="4A25001D">
                  <w:pPr>
                    <w:keepNext w:val="0"/>
                    <w:keepLines w:val="0"/>
                    <w:widowControl/>
                    <w:suppressLineNumbers w:val="0"/>
                    <w:spacing w:before="0" w:beforeAutospacing="0" w:after="0" w:afterAutospacing="0"/>
                    <w:ind w:left="0" w:right="0"/>
                    <w:jc w:val="center"/>
                    <w:textAlignment w:val="center"/>
                    <w:rPr>
                      <w:rFonts w:hint="default"/>
                    </w:rPr>
                  </w:pPr>
                </w:p>
              </w:tc>
              <w:tc>
                <w:tcPr>
                  <w:tcW w:w="403" w:type="pct"/>
                  <w:vMerge w:val="continue"/>
                  <w:noWrap w:val="0"/>
                  <w:vAlign w:val="center"/>
                </w:tcPr>
                <w:p w14:paraId="404EDAD8">
                  <w:pPr>
                    <w:keepNext w:val="0"/>
                    <w:keepLines w:val="0"/>
                    <w:widowControl/>
                    <w:suppressLineNumbers w:val="0"/>
                    <w:spacing w:before="0" w:beforeAutospacing="0" w:after="0" w:afterAutospacing="0"/>
                    <w:ind w:left="0" w:right="0"/>
                    <w:jc w:val="center"/>
                    <w:textAlignment w:val="center"/>
                    <w:rPr>
                      <w:rFonts w:hint="default"/>
                    </w:rPr>
                  </w:pPr>
                </w:p>
              </w:tc>
              <w:tc>
                <w:tcPr>
                  <w:tcW w:w="270" w:type="pct"/>
                  <w:vMerge w:val="continue"/>
                  <w:noWrap w:val="0"/>
                  <w:vAlign w:val="center"/>
                </w:tcPr>
                <w:p w14:paraId="3DDBA05F">
                  <w:pPr>
                    <w:keepNext w:val="0"/>
                    <w:keepLines w:val="0"/>
                    <w:widowControl/>
                    <w:suppressLineNumbers w:val="0"/>
                    <w:spacing w:before="0" w:beforeAutospacing="0" w:after="0" w:afterAutospacing="0"/>
                    <w:ind w:left="0" w:right="0"/>
                    <w:jc w:val="center"/>
                    <w:textAlignment w:val="center"/>
                    <w:rPr>
                      <w:rFonts w:hint="default"/>
                    </w:rPr>
                  </w:pPr>
                </w:p>
              </w:tc>
              <w:tc>
                <w:tcPr>
                  <w:tcW w:w="270" w:type="pct"/>
                  <w:vMerge w:val="continue"/>
                  <w:noWrap w:val="0"/>
                  <w:vAlign w:val="center"/>
                </w:tcPr>
                <w:p w14:paraId="202376E7">
                  <w:pPr>
                    <w:keepNext w:val="0"/>
                    <w:keepLines w:val="0"/>
                    <w:widowControl/>
                    <w:suppressLineNumbers w:val="0"/>
                    <w:spacing w:before="0" w:beforeAutospacing="0" w:after="0" w:afterAutospacing="0"/>
                    <w:ind w:left="0" w:right="0"/>
                    <w:jc w:val="center"/>
                    <w:textAlignment w:val="center"/>
                    <w:rPr>
                      <w:rFonts w:hint="default"/>
                    </w:rPr>
                  </w:pPr>
                </w:p>
              </w:tc>
              <w:tc>
                <w:tcPr>
                  <w:tcW w:w="307" w:type="pct"/>
                  <w:noWrap w:val="0"/>
                  <w:vAlign w:val="center"/>
                </w:tcPr>
                <w:p w14:paraId="7AA978C9">
                  <w:pPr>
                    <w:keepNext w:val="0"/>
                    <w:keepLines w:val="0"/>
                    <w:widowControl/>
                    <w:suppressLineNumbers w:val="0"/>
                    <w:jc w:val="center"/>
                    <w:textAlignment w:val="center"/>
                    <w:rPr>
                      <w:rFonts w:hint="default"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85</w:t>
                  </w:r>
                </w:p>
              </w:tc>
              <w:tc>
                <w:tcPr>
                  <w:tcW w:w="296" w:type="pct"/>
                  <w:noWrap w:val="0"/>
                  <w:vAlign w:val="center"/>
                </w:tcPr>
                <w:p w14:paraId="13D2F482">
                  <w:pPr>
                    <w:keepNext w:val="0"/>
                    <w:keepLines w:val="0"/>
                    <w:widowControl/>
                    <w:suppressLineNumbers w:val="0"/>
                    <w:jc w:val="center"/>
                    <w:textAlignment w:val="center"/>
                    <w:rPr>
                      <w:rFonts w:hint="default"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277" w:type="pct"/>
                  <w:shd w:val="clear" w:color="auto" w:fill="auto"/>
                  <w:noWrap w:val="0"/>
                  <w:vAlign w:val="center"/>
                </w:tcPr>
                <w:p w14:paraId="0D786B53">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393" w:type="pct"/>
                  <w:noWrap w:val="0"/>
                  <w:vAlign w:val="center"/>
                </w:tcPr>
                <w:p w14:paraId="5A356FB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65</w:t>
                  </w:r>
                </w:p>
              </w:tc>
              <w:tc>
                <w:tcPr>
                  <w:tcW w:w="378" w:type="pct"/>
                  <w:noWrap w:val="0"/>
                  <w:vAlign w:val="center"/>
                </w:tcPr>
                <w:p w14:paraId="7716AFCD">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348" w:type="pct"/>
                  <w:noWrap w:val="0"/>
                  <w:vAlign w:val="center"/>
                </w:tcPr>
                <w:p w14:paraId="4B9D4B1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85</w:t>
                  </w:r>
                </w:p>
              </w:tc>
              <w:tc>
                <w:tcPr>
                  <w:tcW w:w="390" w:type="pct"/>
                  <w:noWrap w:val="0"/>
                  <w:vAlign w:val="center"/>
                </w:tcPr>
                <w:p w14:paraId="0B6EEEB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48</w:t>
                  </w:r>
                </w:p>
              </w:tc>
            </w:tr>
            <w:tr w14:paraId="20C37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0" w:type="pct"/>
                  <w:vMerge w:val="continue"/>
                  <w:noWrap w:val="0"/>
                  <w:vAlign w:val="center"/>
                </w:tcPr>
                <w:p w14:paraId="2AAA6396">
                  <w:pPr>
                    <w:keepNext w:val="0"/>
                    <w:keepLines w:val="0"/>
                    <w:widowControl/>
                    <w:suppressLineNumbers w:val="0"/>
                    <w:spacing w:before="0" w:beforeAutospacing="0" w:after="0" w:afterAutospacing="0"/>
                    <w:ind w:left="0" w:right="0"/>
                    <w:jc w:val="center"/>
                    <w:textAlignment w:val="center"/>
                    <w:rPr>
                      <w:rFonts w:hint="default"/>
                    </w:rPr>
                  </w:pPr>
                </w:p>
              </w:tc>
              <w:tc>
                <w:tcPr>
                  <w:tcW w:w="259" w:type="pct"/>
                  <w:vMerge w:val="continue"/>
                  <w:noWrap w:val="0"/>
                  <w:vAlign w:val="center"/>
                </w:tcPr>
                <w:p w14:paraId="6FCA72F9">
                  <w:pPr>
                    <w:keepNext w:val="0"/>
                    <w:keepLines w:val="0"/>
                    <w:widowControl/>
                    <w:suppressLineNumbers w:val="0"/>
                    <w:spacing w:before="0" w:beforeAutospacing="0" w:after="0" w:afterAutospacing="0"/>
                    <w:ind w:left="0" w:right="0"/>
                    <w:jc w:val="center"/>
                    <w:textAlignment w:val="center"/>
                    <w:rPr>
                      <w:rFonts w:hint="default"/>
                    </w:rPr>
                  </w:pPr>
                </w:p>
              </w:tc>
              <w:tc>
                <w:tcPr>
                  <w:tcW w:w="403" w:type="pct"/>
                  <w:vMerge w:val="continue"/>
                  <w:noWrap w:val="0"/>
                  <w:vAlign w:val="center"/>
                </w:tcPr>
                <w:p w14:paraId="63502E5C">
                  <w:pPr>
                    <w:keepNext w:val="0"/>
                    <w:keepLines w:val="0"/>
                    <w:widowControl/>
                    <w:suppressLineNumbers w:val="0"/>
                    <w:spacing w:before="0" w:beforeAutospacing="0" w:after="0" w:afterAutospacing="0"/>
                    <w:ind w:left="0" w:right="0"/>
                    <w:jc w:val="center"/>
                    <w:textAlignment w:val="center"/>
                    <w:rPr>
                      <w:rFonts w:hint="default"/>
                    </w:rPr>
                  </w:pPr>
                </w:p>
              </w:tc>
              <w:tc>
                <w:tcPr>
                  <w:tcW w:w="751" w:type="pct"/>
                  <w:vMerge w:val="continue"/>
                  <w:noWrap w:val="0"/>
                  <w:vAlign w:val="center"/>
                </w:tcPr>
                <w:p w14:paraId="3DF94A58">
                  <w:pPr>
                    <w:keepNext w:val="0"/>
                    <w:keepLines w:val="0"/>
                    <w:widowControl/>
                    <w:suppressLineNumbers w:val="0"/>
                    <w:spacing w:before="0" w:beforeAutospacing="0" w:after="0" w:afterAutospacing="0"/>
                    <w:ind w:left="0" w:right="0"/>
                    <w:jc w:val="center"/>
                    <w:textAlignment w:val="center"/>
                    <w:rPr>
                      <w:rFonts w:hint="default"/>
                    </w:rPr>
                  </w:pPr>
                </w:p>
              </w:tc>
              <w:tc>
                <w:tcPr>
                  <w:tcW w:w="403" w:type="pct"/>
                  <w:vMerge w:val="continue"/>
                  <w:noWrap w:val="0"/>
                  <w:vAlign w:val="center"/>
                </w:tcPr>
                <w:p w14:paraId="7E4F665D">
                  <w:pPr>
                    <w:keepNext w:val="0"/>
                    <w:keepLines w:val="0"/>
                    <w:widowControl/>
                    <w:suppressLineNumbers w:val="0"/>
                    <w:spacing w:before="0" w:beforeAutospacing="0" w:after="0" w:afterAutospacing="0"/>
                    <w:ind w:left="0" w:right="0"/>
                    <w:jc w:val="center"/>
                    <w:textAlignment w:val="center"/>
                    <w:rPr>
                      <w:rFonts w:hint="default"/>
                    </w:rPr>
                  </w:pPr>
                </w:p>
              </w:tc>
              <w:tc>
                <w:tcPr>
                  <w:tcW w:w="270" w:type="pct"/>
                  <w:vMerge w:val="continue"/>
                  <w:noWrap w:val="0"/>
                  <w:vAlign w:val="center"/>
                </w:tcPr>
                <w:p w14:paraId="08A3ECF9">
                  <w:pPr>
                    <w:keepNext w:val="0"/>
                    <w:keepLines w:val="0"/>
                    <w:widowControl/>
                    <w:suppressLineNumbers w:val="0"/>
                    <w:spacing w:before="0" w:beforeAutospacing="0" w:after="0" w:afterAutospacing="0"/>
                    <w:ind w:left="0" w:right="0"/>
                    <w:jc w:val="center"/>
                    <w:textAlignment w:val="center"/>
                    <w:rPr>
                      <w:rFonts w:hint="default"/>
                    </w:rPr>
                  </w:pPr>
                </w:p>
              </w:tc>
              <w:tc>
                <w:tcPr>
                  <w:tcW w:w="270" w:type="pct"/>
                  <w:vMerge w:val="continue"/>
                  <w:noWrap w:val="0"/>
                  <w:vAlign w:val="center"/>
                </w:tcPr>
                <w:p w14:paraId="5A176143">
                  <w:pPr>
                    <w:keepNext w:val="0"/>
                    <w:keepLines w:val="0"/>
                    <w:widowControl/>
                    <w:suppressLineNumbers w:val="0"/>
                    <w:spacing w:before="0" w:beforeAutospacing="0" w:after="0" w:afterAutospacing="0"/>
                    <w:ind w:left="0" w:right="0"/>
                    <w:jc w:val="center"/>
                    <w:textAlignment w:val="center"/>
                    <w:rPr>
                      <w:rFonts w:hint="default"/>
                    </w:rPr>
                  </w:pPr>
                </w:p>
              </w:tc>
              <w:tc>
                <w:tcPr>
                  <w:tcW w:w="307" w:type="pct"/>
                  <w:noWrap w:val="0"/>
                  <w:vAlign w:val="center"/>
                </w:tcPr>
                <w:p w14:paraId="699AF21D">
                  <w:pPr>
                    <w:keepNext w:val="0"/>
                    <w:keepLines w:val="0"/>
                    <w:widowControl/>
                    <w:suppressLineNumbers w:val="0"/>
                    <w:jc w:val="center"/>
                    <w:textAlignment w:val="center"/>
                    <w:rPr>
                      <w:rFonts w:hint="default"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87</w:t>
                  </w:r>
                </w:p>
              </w:tc>
              <w:tc>
                <w:tcPr>
                  <w:tcW w:w="296" w:type="pct"/>
                  <w:noWrap w:val="0"/>
                  <w:vAlign w:val="center"/>
                </w:tcPr>
                <w:p w14:paraId="22B0785B">
                  <w:pPr>
                    <w:keepNext w:val="0"/>
                    <w:keepLines w:val="0"/>
                    <w:widowControl/>
                    <w:suppressLineNumbers w:val="0"/>
                    <w:jc w:val="center"/>
                    <w:textAlignment w:val="center"/>
                    <w:rPr>
                      <w:rFonts w:hint="default"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277" w:type="pct"/>
                  <w:shd w:val="clear" w:color="auto" w:fill="auto"/>
                  <w:noWrap w:val="0"/>
                  <w:vAlign w:val="center"/>
                </w:tcPr>
                <w:p w14:paraId="2066D71A">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393" w:type="pct"/>
                  <w:noWrap w:val="0"/>
                  <w:vAlign w:val="center"/>
                </w:tcPr>
                <w:p w14:paraId="5AD6A23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63</w:t>
                  </w:r>
                </w:p>
              </w:tc>
              <w:tc>
                <w:tcPr>
                  <w:tcW w:w="378" w:type="pct"/>
                  <w:noWrap w:val="0"/>
                  <w:vAlign w:val="center"/>
                </w:tcPr>
                <w:p w14:paraId="6B87ACAD">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348" w:type="pct"/>
                  <w:noWrap w:val="0"/>
                  <w:vAlign w:val="center"/>
                </w:tcPr>
                <w:p w14:paraId="0B4B8E6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87</w:t>
                  </w:r>
                </w:p>
              </w:tc>
              <w:tc>
                <w:tcPr>
                  <w:tcW w:w="390" w:type="pct"/>
                  <w:noWrap w:val="0"/>
                  <w:vAlign w:val="center"/>
                </w:tcPr>
                <w:p w14:paraId="4BCA71B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48</w:t>
                  </w:r>
                </w:p>
              </w:tc>
            </w:tr>
            <w:tr w14:paraId="6F7BA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0" w:type="pct"/>
                  <w:vMerge w:val="continue"/>
                  <w:noWrap w:val="0"/>
                  <w:vAlign w:val="center"/>
                </w:tcPr>
                <w:p w14:paraId="154FC07A">
                  <w:pPr>
                    <w:keepNext w:val="0"/>
                    <w:keepLines w:val="0"/>
                    <w:widowControl/>
                    <w:suppressLineNumbers w:val="0"/>
                    <w:spacing w:before="0" w:beforeAutospacing="0" w:after="0" w:afterAutospacing="0"/>
                    <w:ind w:left="0" w:right="0"/>
                    <w:jc w:val="center"/>
                    <w:textAlignment w:val="center"/>
                    <w:rPr>
                      <w:rFonts w:hint="default"/>
                    </w:rPr>
                  </w:pPr>
                </w:p>
              </w:tc>
              <w:tc>
                <w:tcPr>
                  <w:tcW w:w="259" w:type="pct"/>
                  <w:vMerge w:val="continue"/>
                  <w:noWrap w:val="0"/>
                  <w:vAlign w:val="center"/>
                </w:tcPr>
                <w:p w14:paraId="64921F2A">
                  <w:pPr>
                    <w:keepNext w:val="0"/>
                    <w:keepLines w:val="0"/>
                    <w:widowControl/>
                    <w:suppressLineNumbers w:val="0"/>
                    <w:spacing w:before="0" w:beforeAutospacing="0" w:after="0" w:afterAutospacing="0"/>
                    <w:ind w:left="0" w:right="0"/>
                    <w:jc w:val="center"/>
                    <w:textAlignment w:val="center"/>
                    <w:rPr>
                      <w:rFonts w:hint="default"/>
                    </w:rPr>
                  </w:pPr>
                </w:p>
              </w:tc>
              <w:tc>
                <w:tcPr>
                  <w:tcW w:w="403" w:type="pct"/>
                  <w:vMerge w:val="continue"/>
                  <w:noWrap w:val="0"/>
                  <w:vAlign w:val="center"/>
                </w:tcPr>
                <w:p w14:paraId="6CC711AE">
                  <w:pPr>
                    <w:keepNext w:val="0"/>
                    <w:keepLines w:val="0"/>
                    <w:widowControl/>
                    <w:suppressLineNumbers w:val="0"/>
                    <w:spacing w:before="0" w:beforeAutospacing="0" w:after="0" w:afterAutospacing="0"/>
                    <w:ind w:left="0" w:right="0"/>
                    <w:jc w:val="center"/>
                    <w:textAlignment w:val="center"/>
                    <w:rPr>
                      <w:rFonts w:hint="default"/>
                    </w:rPr>
                  </w:pPr>
                </w:p>
              </w:tc>
              <w:tc>
                <w:tcPr>
                  <w:tcW w:w="751" w:type="pct"/>
                  <w:vMerge w:val="continue"/>
                  <w:noWrap w:val="0"/>
                  <w:vAlign w:val="center"/>
                </w:tcPr>
                <w:p w14:paraId="1685F308">
                  <w:pPr>
                    <w:keepNext w:val="0"/>
                    <w:keepLines w:val="0"/>
                    <w:widowControl/>
                    <w:suppressLineNumbers w:val="0"/>
                    <w:spacing w:before="0" w:beforeAutospacing="0" w:after="0" w:afterAutospacing="0"/>
                    <w:ind w:left="0" w:right="0"/>
                    <w:jc w:val="center"/>
                    <w:textAlignment w:val="center"/>
                    <w:rPr>
                      <w:rFonts w:hint="default"/>
                    </w:rPr>
                  </w:pPr>
                </w:p>
              </w:tc>
              <w:tc>
                <w:tcPr>
                  <w:tcW w:w="403" w:type="pct"/>
                  <w:vMerge w:val="continue"/>
                  <w:noWrap w:val="0"/>
                  <w:vAlign w:val="center"/>
                </w:tcPr>
                <w:p w14:paraId="4FBC5DAA">
                  <w:pPr>
                    <w:keepNext w:val="0"/>
                    <w:keepLines w:val="0"/>
                    <w:widowControl/>
                    <w:suppressLineNumbers w:val="0"/>
                    <w:spacing w:before="0" w:beforeAutospacing="0" w:after="0" w:afterAutospacing="0"/>
                    <w:ind w:left="0" w:right="0"/>
                    <w:jc w:val="center"/>
                    <w:textAlignment w:val="center"/>
                    <w:rPr>
                      <w:rFonts w:hint="default"/>
                    </w:rPr>
                  </w:pPr>
                </w:p>
              </w:tc>
              <w:tc>
                <w:tcPr>
                  <w:tcW w:w="270" w:type="pct"/>
                  <w:vMerge w:val="continue"/>
                  <w:noWrap w:val="0"/>
                  <w:vAlign w:val="center"/>
                </w:tcPr>
                <w:p w14:paraId="3F3B5E4A">
                  <w:pPr>
                    <w:keepNext w:val="0"/>
                    <w:keepLines w:val="0"/>
                    <w:widowControl/>
                    <w:suppressLineNumbers w:val="0"/>
                    <w:spacing w:before="0" w:beforeAutospacing="0" w:after="0" w:afterAutospacing="0"/>
                    <w:ind w:left="0" w:right="0"/>
                    <w:jc w:val="center"/>
                    <w:textAlignment w:val="center"/>
                    <w:rPr>
                      <w:rFonts w:hint="default"/>
                    </w:rPr>
                  </w:pPr>
                </w:p>
              </w:tc>
              <w:tc>
                <w:tcPr>
                  <w:tcW w:w="270" w:type="pct"/>
                  <w:vMerge w:val="continue"/>
                  <w:noWrap w:val="0"/>
                  <w:vAlign w:val="center"/>
                </w:tcPr>
                <w:p w14:paraId="31BC2285">
                  <w:pPr>
                    <w:keepNext w:val="0"/>
                    <w:keepLines w:val="0"/>
                    <w:widowControl/>
                    <w:suppressLineNumbers w:val="0"/>
                    <w:spacing w:before="0" w:beforeAutospacing="0" w:after="0" w:afterAutospacing="0"/>
                    <w:ind w:left="0" w:right="0"/>
                    <w:jc w:val="center"/>
                    <w:textAlignment w:val="center"/>
                    <w:rPr>
                      <w:rFonts w:hint="default"/>
                    </w:rPr>
                  </w:pPr>
                </w:p>
              </w:tc>
              <w:tc>
                <w:tcPr>
                  <w:tcW w:w="307" w:type="pct"/>
                  <w:noWrap w:val="0"/>
                  <w:vAlign w:val="center"/>
                </w:tcPr>
                <w:p w14:paraId="17DF91A0">
                  <w:pPr>
                    <w:keepNext w:val="0"/>
                    <w:keepLines w:val="0"/>
                    <w:widowControl/>
                    <w:suppressLineNumbers w:val="0"/>
                    <w:jc w:val="center"/>
                    <w:textAlignment w:val="center"/>
                    <w:rPr>
                      <w:rFonts w:hint="default"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89</w:t>
                  </w:r>
                </w:p>
              </w:tc>
              <w:tc>
                <w:tcPr>
                  <w:tcW w:w="296" w:type="pct"/>
                  <w:noWrap w:val="0"/>
                  <w:vAlign w:val="center"/>
                </w:tcPr>
                <w:p w14:paraId="536E24EE">
                  <w:pPr>
                    <w:keepNext w:val="0"/>
                    <w:keepLines w:val="0"/>
                    <w:widowControl/>
                    <w:suppressLineNumbers w:val="0"/>
                    <w:jc w:val="center"/>
                    <w:textAlignment w:val="center"/>
                    <w:rPr>
                      <w:rFonts w:hint="default"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277" w:type="pct"/>
                  <w:shd w:val="clear" w:color="auto" w:fill="auto"/>
                  <w:noWrap w:val="0"/>
                  <w:vAlign w:val="center"/>
                </w:tcPr>
                <w:p w14:paraId="24517161">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393" w:type="pct"/>
                  <w:noWrap w:val="0"/>
                  <w:vAlign w:val="center"/>
                </w:tcPr>
                <w:p w14:paraId="3760D08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61</w:t>
                  </w:r>
                </w:p>
              </w:tc>
              <w:tc>
                <w:tcPr>
                  <w:tcW w:w="378" w:type="pct"/>
                  <w:noWrap w:val="0"/>
                  <w:vAlign w:val="center"/>
                </w:tcPr>
                <w:p w14:paraId="741210D6">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348" w:type="pct"/>
                  <w:noWrap w:val="0"/>
                  <w:vAlign w:val="center"/>
                </w:tcPr>
                <w:p w14:paraId="114E046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89</w:t>
                  </w:r>
                </w:p>
              </w:tc>
              <w:tc>
                <w:tcPr>
                  <w:tcW w:w="390" w:type="pct"/>
                  <w:noWrap w:val="0"/>
                  <w:vAlign w:val="center"/>
                </w:tcPr>
                <w:p w14:paraId="4EE13C6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48</w:t>
                  </w:r>
                </w:p>
              </w:tc>
            </w:tr>
            <w:tr w14:paraId="37980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0" w:type="pct"/>
                  <w:vMerge w:val="continue"/>
                  <w:noWrap w:val="0"/>
                  <w:vAlign w:val="center"/>
                </w:tcPr>
                <w:p w14:paraId="4C41BDA7">
                  <w:pPr>
                    <w:keepNext w:val="0"/>
                    <w:keepLines w:val="0"/>
                    <w:widowControl/>
                    <w:suppressLineNumbers w:val="0"/>
                    <w:spacing w:before="0" w:beforeAutospacing="0" w:after="0" w:afterAutospacing="0"/>
                    <w:ind w:left="0" w:right="0"/>
                    <w:jc w:val="center"/>
                    <w:textAlignment w:val="center"/>
                    <w:rPr>
                      <w:rFonts w:hint="default"/>
                    </w:rPr>
                  </w:pPr>
                </w:p>
              </w:tc>
              <w:tc>
                <w:tcPr>
                  <w:tcW w:w="259" w:type="pct"/>
                  <w:vMerge w:val="continue"/>
                  <w:noWrap w:val="0"/>
                  <w:vAlign w:val="center"/>
                </w:tcPr>
                <w:p w14:paraId="009C075A">
                  <w:pPr>
                    <w:keepNext w:val="0"/>
                    <w:keepLines w:val="0"/>
                    <w:widowControl/>
                    <w:suppressLineNumbers w:val="0"/>
                    <w:spacing w:before="0" w:beforeAutospacing="0" w:after="0" w:afterAutospacing="0"/>
                    <w:ind w:left="0" w:right="0"/>
                    <w:jc w:val="center"/>
                    <w:textAlignment w:val="center"/>
                    <w:rPr>
                      <w:rFonts w:hint="default"/>
                    </w:rPr>
                  </w:pPr>
                </w:p>
              </w:tc>
              <w:tc>
                <w:tcPr>
                  <w:tcW w:w="403" w:type="pct"/>
                  <w:vMerge w:val="continue"/>
                  <w:noWrap w:val="0"/>
                  <w:vAlign w:val="center"/>
                </w:tcPr>
                <w:p w14:paraId="30F37427">
                  <w:pPr>
                    <w:keepNext w:val="0"/>
                    <w:keepLines w:val="0"/>
                    <w:widowControl/>
                    <w:suppressLineNumbers w:val="0"/>
                    <w:spacing w:before="0" w:beforeAutospacing="0" w:after="0" w:afterAutospacing="0"/>
                    <w:ind w:left="0" w:right="0"/>
                    <w:jc w:val="center"/>
                    <w:textAlignment w:val="center"/>
                    <w:rPr>
                      <w:rFonts w:hint="default"/>
                    </w:rPr>
                  </w:pPr>
                </w:p>
              </w:tc>
              <w:tc>
                <w:tcPr>
                  <w:tcW w:w="751" w:type="pct"/>
                  <w:vMerge w:val="continue"/>
                  <w:noWrap w:val="0"/>
                  <w:vAlign w:val="center"/>
                </w:tcPr>
                <w:p w14:paraId="0BAC9DE1">
                  <w:pPr>
                    <w:keepNext w:val="0"/>
                    <w:keepLines w:val="0"/>
                    <w:widowControl/>
                    <w:suppressLineNumbers w:val="0"/>
                    <w:spacing w:before="0" w:beforeAutospacing="0" w:after="0" w:afterAutospacing="0"/>
                    <w:ind w:left="0" w:right="0"/>
                    <w:jc w:val="center"/>
                    <w:textAlignment w:val="center"/>
                    <w:rPr>
                      <w:rFonts w:hint="default"/>
                    </w:rPr>
                  </w:pPr>
                </w:p>
              </w:tc>
              <w:tc>
                <w:tcPr>
                  <w:tcW w:w="403" w:type="pct"/>
                  <w:vMerge w:val="continue"/>
                  <w:noWrap w:val="0"/>
                  <w:vAlign w:val="center"/>
                </w:tcPr>
                <w:p w14:paraId="46F65E98">
                  <w:pPr>
                    <w:keepNext w:val="0"/>
                    <w:keepLines w:val="0"/>
                    <w:widowControl/>
                    <w:suppressLineNumbers w:val="0"/>
                    <w:spacing w:before="0" w:beforeAutospacing="0" w:after="0" w:afterAutospacing="0"/>
                    <w:ind w:left="0" w:right="0"/>
                    <w:jc w:val="center"/>
                    <w:textAlignment w:val="center"/>
                    <w:rPr>
                      <w:rFonts w:hint="default"/>
                    </w:rPr>
                  </w:pPr>
                </w:p>
              </w:tc>
              <w:tc>
                <w:tcPr>
                  <w:tcW w:w="270" w:type="pct"/>
                  <w:vMerge w:val="continue"/>
                  <w:noWrap w:val="0"/>
                  <w:vAlign w:val="center"/>
                </w:tcPr>
                <w:p w14:paraId="255BF518">
                  <w:pPr>
                    <w:keepNext w:val="0"/>
                    <w:keepLines w:val="0"/>
                    <w:widowControl/>
                    <w:suppressLineNumbers w:val="0"/>
                    <w:spacing w:before="0" w:beforeAutospacing="0" w:after="0" w:afterAutospacing="0"/>
                    <w:ind w:left="0" w:right="0"/>
                    <w:jc w:val="center"/>
                    <w:textAlignment w:val="center"/>
                    <w:rPr>
                      <w:rFonts w:hint="default"/>
                    </w:rPr>
                  </w:pPr>
                </w:p>
              </w:tc>
              <w:tc>
                <w:tcPr>
                  <w:tcW w:w="270" w:type="pct"/>
                  <w:vMerge w:val="continue"/>
                  <w:noWrap w:val="0"/>
                  <w:vAlign w:val="center"/>
                </w:tcPr>
                <w:p w14:paraId="57D0087B">
                  <w:pPr>
                    <w:keepNext w:val="0"/>
                    <w:keepLines w:val="0"/>
                    <w:widowControl/>
                    <w:suppressLineNumbers w:val="0"/>
                    <w:spacing w:before="0" w:beforeAutospacing="0" w:after="0" w:afterAutospacing="0"/>
                    <w:ind w:left="0" w:right="0"/>
                    <w:jc w:val="center"/>
                    <w:textAlignment w:val="center"/>
                    <w:rPr>
                      <w:rFonts w:hint="default"/>
                    </w:rPr>
                  </w:pPr>
                </w:p>
              </w:tc>
              <w:tc>
                <w:tcPr>
                  <w:tcW w:w="307" w:type="pct"/>
                  <w:noWrap w:val="0"/>
                  <w:vAlign w:val="center"/>
                </w:tcPr>
                <w:p w14:paraId="67999820">
                  <w:pPr>
                    <w:keepNext w:val="0"/>
                    <w:keepLines w:val="0"/>
                    <w:widowControl/>
                    <w:suppressLineNumbers w:val="0"/>
                    <w:jc w:val="center"/>
                    <w:textAlignment w:val="center"/>
                    <w:rPr>
                      <w:rFonts w:hint="default"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91</w:t>
                  </w:r>
                </w:p>
              </w:tc>
              <w:tc>
                <w:tcPr>
                  <w:tcW w:w="296" w:type="pct"/>
                  <w:noWrap w:val="0"/>
                  <w:vAlign w:val="center"/>
                </w:tcPr>
                <w:p w14:paraId="5F0D38E9">
                  <w:pPr>
                    <w:keepNext w:val="0"/>
                    <w:keepLines w:val="0"/>
                    <w:widowControl/>
                    <w:suppressLineNumbers w:val="0"/>
                    <w:jc w:val="center"/>
                    <w:textAlignment w:val="center"/>
                    <w:rPr>
                      <w:rFonts w:hint="default"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277" w:type="pct"/>
                  <w:shd w:val="clear" w:color="auto" w:fill="auto"/>
                  <w:noWrap w:val="0"/>
                  <w:vAlign w:val="center"/>
                </w:tcPr>
                <w:p w14:paraId="1FB62417">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393" w:type="pct"/>
                  <w:noWrap w:val="0"/>
                  <w:vAlign w:val="center"/>
                </w:tcPr>
                <w:p w14:paraId="014A0C6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59</w:t>
                  </w:r>
                </w:p>
              </w:tc>
              <w:tc>
                <w:tcPr>
                  <w:tcW w:w="378" w:type="pct"/>
                  <w:noWrap w:val="0"/>
                  <w:vAlign w:val="center"/>
                </w:tcPr>
                <w:p w14:paraId="2892EE3D">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348" w:type="pct"/>
                  <w:noWrap w:val="0"/>
                  <w:vAlign w:val="center"/>
                </w:tcPr>
                <w:p w14:paraId="1C01191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91</w:t>
                  </w:r>
                </w:p>
              </w:tc>
              <w:tc>
                <w:tcPr>
                  <w:tcW w:w="390" w:type="pct"/>
                  <w:noWrap w:val="0"/>
                  <w:vAlign w:val="center"/>
                </w:tcPr>
                <w:p w14:paraId="2EAC538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48</w:t>
                  </w:r>
                </w:p>
              </w:tc>
            </w:tr>
            <w:tr w14:paraId="5EA51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0" w:type="pct"/>
                  <w:vMerge w:val="continue"/>
                  <w:noWrap w:val="0"/>
                  <w:vAlign w:val="center"/>
                </w:tcPr>
                <w:p w14:paraId="18448D24">
                  <w:pPr>
                    <w:keepNext w:val="0"/>
                    <w:keepLines w:val="0"/>
                    <w:widowControl/>
                    <w:suppressLineNumbers w:val="0"/>
                    <w:spacing w:before="0" w:beforeAutospacing="0" w:after="0" w:afterAutospacing="0"/>
                    <w:ind w:left="0" w:right="0"/>
                    <w:jc w:val="center"/>
                    <w:textAlignment w:val="center"/>
                    <w:rPr>
                      <w:rFonts w:hint="default"/>
                    </w:rPr>
                  </w:pPr>
                </w:p>
              </w:tc>
              <w:tc>
                <w:tcPr>
                  <w:tcW w:w="259" w:type="pct"/>
                  <w:vMerge w:val="continue"/>
                  <w:noWrap w:val="0"/>
                  <w:vAlign w:val="center"/>
                </w:tcPr>
                <w:p w14:paraId="705E9E56">
                  <w:pPr>
                    <w:keepNext w:val="0"/>
                    <w:keepLines w:val="0"/>
                    <w:widowControl/>
                    <w:suppressLineNumbers w:val="0"/>
                    <w:spacing w:before="0" w:beforeAutospacing="0" w:after="0" w:afterAutospacing="0"/>
                    <w:ind w:left="0" w:right="0"/>
                    <w:jc w:val="center"/>
                    <w:textAlignment w:val="center"/>
                    <w:rPr>
                      <w:rFonts w:hint="default"/>
                    </w:rPr>
                  </w:pPr>
                </w:p>
              </w:tc>
              <w:tc>
                <w:tcPr>
                  <w:tcW w:w="403" w:type="pct"/>
                  <w:vMerge w:val="continue"/>
                  <w:noWrap w:val="0"/>
                  <w:vAlign w:val="center"/>
                </w:tcPr>
                <w:p w14:paraId="62567618">
                  <w:pPr>
                    <w:keepNext w:val="0"/>
                    <w:keepLines w:val="0"/>
                    <w:widowControl/>
                    <w:suppressLineNumbers w:val="0"/>
                    <w:spacing w:before="0" w:beforeAutospacing="0" w:after="0" w:afterAutospacing="0"/>
                    <w:ind w:left="0" w:right="0"/>
                    <w:jc w:val="center"/>
                    <w:textAlignment w:val="center"/>
                    <w:rPr>
                      <w:rFonts w:hint="default"/>
                    </w:rPr>
                  </w:pPr>
                </w:p>
              </w:tc>
              <w:tc>
                <w:tcPr>
                  <w:tcW w:w="751" w:type="pct"/>
                  <w:vMerge w:val="continue"/>
                  <w:noWrap w:val="0"/>
                  <w:vAlign w:val="center"/>
                </w:tcPr>
                <w:p w14:paraId="6D5A572C">
                  <w:pPr>
                    <w:keepNext w:val="0"/>
                    <w:keepLines w:val="0"/>
                    <w:widowControl/>
                    <w:suppressLineNumbers w:val="0"/>
                    <w:spacing w:before="0" w:beforeAutospacing="0" w:after="0" w:afterAutospacing="0"/>
                    <w:ind w:left="0" w:right="0"/>
                    <w:jc w:val="center"/>
                    <w:textAlignment w:val="center"/>
                    <w:rPr>
                      <w:rFonts w:hint="default"/>
                    </w:rPr>
                  </w:pPr>
                </w:p>
              </w:tc>
              <w:tc>
                <w:tcPr>
                  <w:tcW w:w="403" w:type="pct"/>
                  <w:vMerge w:val="continue"/>
                  <w:noWrap w:val="0"/>
                  <w:vAlign w:val="center"/>
                </w:tcPr>
                <w:p w14:paraId="6C93DE0B">
                  <w:pPr>
                    <w:keepNext w:val="0"/>
                    <w:keepLines w:val="0"/>
                    <w:widowControl/>
                    <w:suppressLineNumbers w:val="0"/>
                    <w:spacing w:before="0" w:beforeAutospacing="0" w:after="0" w:afterAutospacing="0"/>
                    <w:ind w:left="0" w:right="0"/>
                    <w:jc w:val="center"/>
                    <w:textAlignment w:val="center"/>
                    <w:rPr>
                      <w:rFonts w:hint="default"/>
                    </w:rPr>
                  </w:pPr>
                </w:p>
              </w:tc>
              <w:tc>
                <w:tcPr>
                  <w:tcW w:w="270" w:type="pct"/>
                  <w:vMerge w:val="continue"/>
                  <w:noWrap w:val="0"/>
                  <w:vAlign w:val="center"/>
                </w:tcPr>
                <w:p w14:paraId="60355B21">
                  <w:pPr>
                    <w:keepNext w:val="0"/>
                    <w:keepLines w:val="0"/>
                    <w:widowControl/>
                    <w:suppressLineNumbers w:val="0"/>
                    <w:spacing w:before="0" w:beforeAutospacing="0" w:after="0" w:afterAutospacing="0"/>
                    <w:ind w:left="0" w:right="0"/>
                    <w:jc w:val="center"/>
                    <w:textAlignment w:val="center"/>
                    <w:rPr>
                      <w:rFonts w:hint="default"/>
                    </w:rPr>
                  </w:pPr>
                </w:p>
              </w:tc>
              <w:tc>
                <w:tcPr>
                  <w:tcW w:w="270" w:type="pct"/>
                  <w:vMerge w:val="continue"/>
                  <w:noWrap w:val="0"/>
                  <w:vAlign w:val="center"/>
                </w:tcPr>
                <w:p w14:paraId="76B48F4A">
                  <w:pPr>
                    <w:keepNext w:val="0"/>
                    <w:keepLines w:val="0"/>
                    <w:widowControl/>
                    <w:suppressLineNumbers w:val="0"/>
                    <w:spacing w:before="0" w:beforeAutospacing="0" w:after="0" w:afterAutospacing="0"/>
                    <w:ind w:left="0" w:right="0"/>
                    <w:jc w:val="center"/>
                    <w:textAlignment w:val="center"/>
                    <w:rPr>
                      <w:rFonts w:hint="default"/>
                    </w:rPr>
                  </w:pPr>
                </w:p>
              </w:tc>
              <w:tc>
                <w:tcPr>
                  <w:tcW w:w="307" w:type="pct"/>
                  <w:noWrap w:val="0"/>
                  <w:vAlign w:val="center"/>
                </w:tcPr>
                <w:p w14:paraId="17024A3B">
                  <w:pPr>
                    <w:keepNext w:val="0"/>
                    <w:keepLines w:val="0"/>
                    <w:widowControl/>
                    <w:suppressLineNumbers w:val="0"/>
                    <w:jc w:val="center"/>
                    <w:textAlignment w:val="center"/>
                    <w:rPr>
                      <w:rFonts w:hint="default"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93</w:t>
                  </w:r>
                </w:p>
              </w:tc>
              <w:tc>
                <w:tcPr>
                  <w:tcW w:w="296" w:type="pct"/>
                  <w:noWrap w:val="0"/>
                  <w:vAlign w:val="center"/>
                </w:tcPr>
                <w:p w14:paraId="4200F4FA">
                  <w:pPr>
                    <w:keepNext w:val="0"/>
                    <w:keepLines w:val="0"/>
                    <w:widowControl/>
                    <w:suppressLineNumbers w:val="0"/>
                    <w:jc w:val="center"/>
                    <w:textAlignment w:val="center"/>
                    <w:rPr>
                      <w:rFonts w:hint="default"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277" w:type="pct"/>
                  <w:shd w:val="clear" w:color="auto" w:fill="auto"/>
                  <w:noWrap w:val="0"/>
                  <w:vAlign w:val="center"/>
                </w:tcPr>
                <w:p w14:paraId="3D04AFAD">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393" w:type="pct"/>
                  <w:noWrap w:val="0"/>
                  <w:vAlign w:val="center"/>
                </w:tcPr>
                <w:p w14:paraId="6C877CD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57</w:t>
                  </w:r>
                </w:p>
              </w:tc>
              <w:tc>
                <w:tcPr>
                  <w:tcW w:w="378" w:type="pct"/>
                  <w:noWrap w:val="0"/>
                  <w:vAlign w:val="center"/>
                </w:tcPr>
                <w:p w14:paraId="7A4FE0FC">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348" w:type="pct"/>
                  <w:noWrap w:val="0"/>
                  <w:vAlign w:val="center"/>
                </w:tcPr>
                <w:p w14:paraId="6A35A7C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93</w:t>
                  </w:r>
                </w:p>
              </w:tc>
              <w:tc>
                <w:tcPr>
                  <w:tcW w:w="390" w:type="pct"/>
                  <w:noWrap w:val="0"/>
                  <w:vAlign w:val="center"/>
                </w:tcPr>
                <w:p w14:paraId="0182036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48</w:t>
                  </w:r>
                </w:p>
              </w:tc>
            </w:tr>
            <w:tr w14:paraId="26117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0" w:type="pct"/>
                  <w:vMerge w:val="continue"/>
                  <w:noWrap w:val="0"/>
                  <w:vAlign w:val="center"/>
                </w:tcPr>
                <w:p w14:paraId="40790D2D">
                  <w:pPr>
                    <w:keepNext w:val="0"/>
                    <w:keepLines w:val="0"/>
                    <w:widowControl/>
                    <w:suppressLineNumbers w:val="0"/>
                    <w:spacing w:before="0" w:beforeAutospacing="0" w:after="0" w:afterAutospacing="0"/>
                    <w:ind w:left="0" w:right="0"/>
                    <w:jc w:val="center"/>
                    <w:textAlignment w:val="center"/>
                    <w:rPr>
                      <w:rFonts w:hint="default"/>
                    </w:rPr>
                  </w:pPr>
                </w:p>
              </w:tc>
              <w:tc>
                <w:tcPr>
                  <w:tcW w:w="259" w:type="pct"/>
                  <w:vMerge w:val="continue"/>
                  <w:noWrap w:val="0"/>
                  <w:vAlign w:val="center"/>
                </w:tcPr>
                <w:p w14:paraId="1AC5EF58">
                  <w:pPr>
                    <w:keepNext w:val="0"/>
                    <w:keepLines w:val="0"/>
                    <w:widowControl/>
                    <w:suppressLineNumbers w:val="0"/>
                    <w:spacing w:before="0" w:beforeAutospacing="0" w:after="0" w:afterAutospacing="0"/>
                    <w:ind w:left="0" w:right="0"/>
                    <w:jc w:val="center"/>
                    <w:textAlignment w:val="center"/>
                    <w:rPr>
                      <w:rFonts w:hint="default"/>
                    </w:rPr>
                  </w:pPr>
                </w:p>
              </w:tc>
              <w:tc>
                <w:tcPr>
                  <w:tcW w:w="403" w:type="pct"/>
                  <w:vMerge w:val="continue"/>
                  <w:noWrap w:val="0"/>
                  <w:vAlign w:val="center"/>
                </w:tcPr>
                <w:p w14:paraId="61897048">
                  <w:pPr>
                    <w:keepNext w:val="0"/>
                    <w:keepLines w:val="0"/>
                    <w:widowControl/>
                    <w:suppressLineNumbers w:val="0"/>
                    <w:spacing w:before="0" w:beforeAutospacing="0" w:after="0" w:afterAutospacing="0"/>
                    <w:ind w:left="0" w:right="0"/>
                    <w:jc w:val="center"/>
                    <w:textAlignment w:val="center"/>
                    <w:rPr>
                      <w:rFonts w:hint="default"/>
                    </w:rPr>
                  </w:pPr>
                </w:p>
              </w:tc>
              <w:tc>
                <w:tcPr>
                  <w:tcW w:w="751" w:type="pct"/>
                  <w:vMerge w:val="continue"/>
                  <w:noWrap w:val="0"/>
                  <w:vAlign w:val="center"/>
                </w:tcPr>
                <w:p w14:paraId="61692960">
                  <w:pPr>
                    <w:keepNext w:val="0"/>
                    <w:keepLines w:val="0"/>
                    <w:widowControl/>
                    <w:suppressLineNumbers w:val="0"/>
                    <w:spacing w:before="0" w:beforeAutospacing="0" w:after="0" w:afterAutospacing="0"/>
                    <w:ind w:left="0" w:right="0"/>
                    <w:jc w:val="center"/>
                    <w:textAlignment w:val="center"/>
                    <w:rPr>
                      <w:rFonts w:hint="default"/>
                    </w:rPr>
                  </w:pPr>
                </w:p>
              </w:tc>
              <w:tc>
                <w:tcPr>
                  <w:tcW w:w="403" w:type="pct"/>
                  <w:vMerge w:val="continue"/>
                  <w:noWrap w:val="0"/>
                  <w:vAlign w:val="center"/>
                </w:tcPr>
                <w:p w14:paraId="174C0841">
                  <w:pPr>
                    <w:keepNext w:val="0"/>
                    <w:keepLines w:val="0"/>
                    <w:widowControl/>
                    <w:suppressLineNumbers w:val="0"/>
                    <w:spacing w:before="0" w:beforeAutospacing="0" w:after="0" w:afterAutospacing="0"/>
                    <w:ind w:left="0" w:right="0"/>
                    <w:jc w:val="center"/>
                    <w:textAlignment w:val="center"/>
                    <w:rPr>
                      <w:rFonts w:hint="default"/>
                    </w:rPr>
                  </w:pPr>
                </w:p>
              </w:tc>
              <w:tc>
                <w:tcPr>
                  <w:tcW w:w="270" w:type="pct"/>
                  <w:vMerge w:val="continue"/>
                  <w:noWrap w:val="0"/>
                  <w:vAlign w:val="center"/>
                </w:tcPr>
                <w:p w14:paraId="68ECBEBB">
                  <w:pPr>
                    <w:keepNext w:val="0"/>
                    <w:keepLines w:val="0"/>
                    <w:widowControl/>
                    <w:suppressLineNumbers w:val="0"/>
                    <w:spacing w:before="0" w:beforeAutospacing="0" w:after="0" w:afterAutospacing="0"/>
                    <w:ind w:left="0" w:right="0"/>
                    <w:jc w:val="center"/>
                    <w:textAlignment w:val="center"/>
                    <w:rPr>
                      <w:rFonts w:hint="default"/>
                    </w:rPr>
                  </w:pPr>
                </w:p>
              </w:tc>
              <w:tc>
                <w:tcPr>
                  <w:tcW w:w="270" w:type="pct"/>
                  <w:vMerge w:val="continue"/>
                  <w:noWrap w:val="0"/>
                  <w:vAlign w:val="center"/>
                </w:tcPr>
                <w:p w14:paraId="33AF29ED">
                  <w:pPr>
                    <w:keepNext w:val="0"/>
                    <w:keepLines w:val="0"/>
                    <w:widowControl/>
                    <w:suppressLineNumbers w:val="0"/>
                    <w:spacing w:before="0" w:beforeAutospacing="0" w:after="0" w:afterAutospacing="0"/>
                    <w:ind w:left="0" w:right="0"/>
                    <w:jc w:val="center"/>
                    <w:textAlignment w:val="center"/>
                    <w:rPr>
                      <w:rFonts w:hint="default"/>
                    </w:rPr>
                  </w:pPr>
                </w:p>
              </w:tc>
              <w:tc>
                <w:tcPr>
                  <w:tcW w:w="307" w:type="pct"/>
                  <w:shd w:val="clear" w:color="auto" w:fill="auto"/>
                  <w:noWrap w:val="0"/>
                  <w:vAlign w:val="center"/>
                </w:tcPr>
                <w:p w14:paraId="4217396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85</w:t>
                  </w:r>
                </w:p>
              </w:tc>
              <w:tc>
                <w:tcPr>
                  <w:tcW w:w="296" w:type="pct"/>
                  <w:noWrap w:val="0"/>
                  <w:vAlign w:val="center"/>
                </w:tcPr>
                <w:p w14:paraId="6D1D14E1">
                  <w:pPr>
                    <w:keepNext w:val="0"/>
                    <w:keepLines w:val="0"/>
                    <w:widowControl/>
                    <w:suppressLineNumbers w:val="0"/>
                    <w:jc w:val="center"/>
                    <w:textAlignment w:val="center"/>
                    <w:rPr>
                      <w:rFonts w:hint="default"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277" w:type="pct"/>
                  <w:shd w:val="clear" w:color="auto" w:fill="auto"/>
                  <w:noWrap w:val="0"/>
                  <w:vAlign w:val="center"/>
                </w:tcPr>
                <w:p w14:paraId="6D2E39C3">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393" w:type="pct"/>
                  <w:noWrap w:val="0"/>
                  <w:vAlign w:val="center"/>
                </w:tcPr>
                <w:p w14:paraId="4E28FA5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65</w:t>
                  </w:r>
                </w:p>
              </w:tc>
              <w:tc>
                <w:tcPr>
                  <w:tcW w:w="378" w:type="pct"/>
                  <w:noWrap w:val="0"/>
                  <w:vAlign w:val="center"/>
                </w:tcPr>
                <w:p w14:paraId="244F2C84">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348" w:type="pct"/>
                  <w:noWrap w:val="0"/>
                  <w:vAlign w:val="center"/>
                </w:tcPr>
                <w:p w14:paraId="3079581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85</w:t>
                  </w:r>
                </w:p>
              </w:tc>
              <w:tc>
                <w:tcPr>
                  <w:tcW w:w="390" w:type="pct"/>
                  <w:noWrap w:val="0"/>
                  <w:vAlign w:val="center"/>
                </w:tcPr>
                <w:p w14:paraId="25D6A56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45</w:t>
                  </w:r>
                </w:p>
              </w:tc>
            </w:tr>
            <w:tr w14:paraId="35FDD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0" w:type="pct"/>
                  <w:vMerge w:val="continue"/>
                  <w:noWrap w:val="0"/>
                  <w:vAlign w:val="center"/>
                </w:tcPr>
                <w:p w14:paraId="6255FC9E">
                  <w:pPr>
                    <w:keepNext w:val="0"/>
                    <w:keepLines w:val="0"/>
                    <w:widowControl/>
                    <w:suppressLineNumbers w:val="0"/>
                    <w:spacing w:before="0" w:beforeAutospacing="0" w:after="0" w:afterAutospacing="0"/>
                    <w:ind w:left="0" w:right="0"/>
                    <w:jc w:val="center"/>
                    <w:textAlignment w:val="center"/>
                    <w:rPr>
                      <w:rFonts w:hint="default"/>
                    </w:rPr>
                  </w:pPr>
                </w:p>
              </w:tc>
              <w:tc>
                <w:tcPr>
                  <w:tcW w:w="259" w:type="pct"/>
                  <w:vMerge w:val="continue"/>
                  <w:noWrap w:val="0"/>
                  <w:vAlign w:val="center"/>
                </w:tcPr>
                <w:p w14:paraId="29DB1E7F">
                  <w:pPr>
                    <w:keepNext w:val="0"/>
                    <w:keepLines w:val="0"/>
                    <w:widowControl/>
                    <w:suppressLineNumbers w:val="0"/>
                    <w:spacing w:before="0" w:beforeAutospacing="0" w:after="0" w:afterAutospacing="0"/>
                    <w:ind w:left="0" w:right="0"/>
                    <w:jc w:val="center"/>
                    <w:textAlignment w:val="center"/>
                    <w:rPr>
                      <w:rFonts w:hint="default"/>
                    </w:rPr>
                  </w:pPr>
                </w:p>
              </w:tc>
              <w:tc>
                <w:tcPr>
                  <w:tcW w:w="403" w:type="pct"/>
                  <w:vMerge w:val="continue"/>
                  <w:noWrap w:val="0"/>
                  <w:vAlign w:val="center"/>
                </w:tcPr>
                <w:p w14:paraId="443F7C20">
                  <w:pPr>
                    <w:keepNext w:val="0"/>
                    <w:keepLines w:val="0"/>
                    <w:widowControl/>
                    <w:suppressLineNumbers w:val="0"/>
                    <w:spacing w:before="0" w:beforeAutospacing="0" w:after="0" w:afterAutospacing="0"/>
                    <w:ind w:left="0" w:right="0"/>
                    <w:jc w:val="center"/>
                    <w:textAlignment w:val="center"/>
                    <w:rPr>
                      <w:rFonts w:hint="default"/>
                    </w:rPr>
                  </w:pPr>
                </w:p>
              </w:tc>
              <w:tc>
                <w:tcPr>
                  <w:tcW w:w="751" w:type="pct"/>
                  <w:vMerge w:val="continue"/>
                  <w:noWrap w:val="0"/>
                  <w:vAlign w:val="center"/>
                </w:tcPr>
                <w:p w14:paraId="66E0F88A">
                  <w:pPr>
                    <w:keepNext w:val="0"/>
                    <w:keepLines w:val="0"/>
                    <w:widowControl/>
                    <w:suppressLineNumbers w:val="0"/>
                    <w:spacing w:before="0" w:beforeAutospacing="0" w:after="0" w:afterAutospacing="0"/>
                    <w:ind w:left="0" w:right="0"/>
                    <w:jc w:val="center"/>
                    <w:textAlignment w:val="center"/>
                    <w:rPr>
                      <w:rFonts w:hint="default"/>
                    </w:rPr>
                  </w:pPr>
                </w:p>
              </w:tc>
              <w:tc>
                <w:tcPr>
                  <w:tcW w:w="403" w:type="pct"/>
                  <w:vMerge w:val="continue"/>
                  <w:noWrap w:val="0"/>
                  <w:vAlign w:val="center"/>
                </w:tcPr>
                <w:p w14:paraId="429A98D9">
                  <w:pPr>
                    <w:keepNext w:val="0"/>
                    <w:keepLines w:val="0"/>
                    <w:widowControl/>
                    <w:suppressLineNumbers w:val="0"/>
                    <w:spacing w:before="0" w:beforeAutospacing="0" w:after="0" w:afterAutospacing="0"/>
                    <w:ind w:left="0" w:right="0"/>
                    <w:jc w:val="center"/>
                    <w:textAlignment w:val="center"/>
                    <w:rPr>
                      <w:rFonts w:hint="default"/>
                    </w:rPr>
                  </w:pPr>
                </w:p>
              </w:tc>
              <w:tc>
                <w:tcPr>
                  <w:tcW w:w="270" w:type="pct"/>
                  <w:vMerge w:val="continue"/>
                  <w:noWrap w:val="0"/>
                  <w:vAlign w:val="center"/>
                </w:tcPr>
                <w:p w14:paraId="5E5CE31D">
                  <w:pPr>
                    <w:keepNext w:val="0"/>
                    <w:keepLines w:val="0"/>
                    <w:widowControl/>
                    <w:suppressLineNumbers w:val="0"/>
                    <w:spacing w:before="0" w:beforeAutospacing="0" w:after="0" w:afterAutospacing="0"/>
                    <w:ind w:left="0" w:right="0"/>
                    <w:jc w:val="center"/>
                    <w:textAlignment w:val="center"/>
                    <w:rPr>
                      <w:rFonts w:hint="default"/>
                    </w:rPr>
                  </w:pPr>
                </w:p>
              </w:tc>
              <w:tc>
                <w:tcPr>
                  <w:tcW w:w="270" w:type="pct"/>
                  <w:vMerge w:val="continue"/>
                  <w:noWrap w:val="0"/>
                  <w:vAlign w:val="center"/>
                </w:tcPr>
                <w:p w14:paraId="5FE976FD">
                  <w:pPr>
                    <w:keepNext w:val="0"/>
                    <w:keepLines w:val="0"/>
                    <w:widowControl/>
                    <w:suppressLineNumbers w:val="0"/>
                    <w:spacing w:before="0" w:beforeAutospacing="0" w:after="0" w:afterAutospacing="0"/>
                    <w:ind w:left="0" w:right="0"/>
                    <w:jc w:val="center"/>
                    <w:textAlignment w:val="center"/>
                    <w:rPr>
                      <w:rFonts w:hint="default"/>
                    </w:rPr>
                  </w:pPr>
                </w:p>
              </w:tc>
              <w:tc>
                <w:tcPr>
                  <w:tcW w:w="307" w:type="pct"/>
                  <w:shd w:val="clear" w:color="auto" w:fill="auto"/>
                  <w:noWrap w:val="0"/>
                  <w:vAlign w:val="center"/>
                </w:tcPr>
                <w:p w14:paraId="4818D16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87</w:t>
                  </w:r>
                </w:p>
              </w:tc>
              <w:tc>
                <w:tcPr>
                  <w:tcW w:w="296" w:type="pct"/>
                  <w:noWrap w:val="0"/>
                  <w:vAlign w:val="center"/>
                </w:tcPr>
                <w:p w14:paraId="7EECFB9A">
                  <w:pPr>
                    <w:keepNext w:val="0"/>
                    <w:keepLines w:val="0"/>
                    <w:widowControl/>
                    <w:suppressLineNumbers w:val="0"/>
                    <w:jc w:val="center"/>
                    <w:textAlignment w:val="center"/>
                    <w:rPr>
                      <w:rFonts w:hint="default"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277" w:type="pct"/>
                  <w:shd w:val="clear" w:color="auto" w:fill="auto"/>
                  <w:noWrap w:val="0"/>
                  <w:vAlign w:val="center"/>
                </w:tcPr>
                <w:p w14:paraId="47BB35A2">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393" w:type="pct"/>
                  <w:noWrap w:val="0"/>
                  <w:vAlign w:val="center"/>
                </w:tcPr>
                <w:p w14:paraId="15A21A5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63</w:t>
                  </w:r>
                </w:p>
              </w:tc>
              <w:tc>
                <w:tcPr>
                  <w:tcW w:w="378" w:type="pct"/>
                  <w:noWrap w:val="0"/>
                  <w:vAlign w:val="center"/>
                </w:tcPr>
                <w:p w14:paraId="39006B92">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348" w:type="pct"/>
                  <w:noWrap w:val="0"/>
                  <w:vAlign w:val="center"/>
                </w:tcPr>
                <w:p w14:paraId="20507C7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87</w:t>
                  </w:r>
                </w:p>
              </w:tc>
              <w:tc>
                <w:tcPr>
                  <w:tcW w:w="390" w:type="pct"/>
                  <w:noWrap w:val="0"/>
                  <w:vAlign w:val="center"/>
                </w:tcPr>
                <w:p w14:paraId="7F7F365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45</w:t>
                  </w:r>
                </w:p>
              </w:tc>
            </w:tr>
            <w:tr w14:paraId="30C58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0" w:type="pct"/>
                  <w:vMerge w:val="continue"/>
                  <w:noWrap w:val="0"/>
                  <w:vAlign w:val="center"/>
                </w:tcPr>
                <w:p w14:paraId="1E234FB2">
                  <w:pPr>
                    <w:keepNext w:val="0"/>
                    <w:keepLines w:val="0"/>
                    <w:widowControl/>
                    <w:suppressLineNumbers w:val="0"/>
                    <w:spacing w:before="0" w:beforeAutospacing="0" w:after="0" w:afterAutospacing="0"/>
                    <w:ind w:left="0" w:right="0"/>
                    <w:jc w:val="center"/>
                    <w:textAlignment w:val="center"/>
                    <w:rPr>
                      <w:rFonts w:hint="default"/>
                    </w:rPr>
                  </w:pPr>
                </w:p>
              </w:tc>
              <w:tc>
                <w:tcPr>
                  <w:tcW w:w="259" w:type="pct"/>
                  <w:vMerge w:val="continue"/>
                  <w:noWrap w:val="0"/>
                  <w:vAlign w:val="center"/>
                </w:tcPr>
                <w:p w14:paraId="389C66BD">
                  <w:pPr>
                    <w:keepNext w:val="0"/>
                    <w:keepLines w:val="0"/>
                    <w:widowControl/>
                    <w:suppressLineNumbers w:val="0"/>
                    <w:spacing w:before="0" w:beforeAutospacing="0" w:after="0" w:afterAutospacing="0"/>
                    <w:ind w:left="0" w:right="0"/>
                    <w:jc w:val="center"/>
                    <w:textAlignment w:val="center"/>
                    <w:rPr>
                      <w:rFonts w:hint="default"/>
                    </w:rPr>
                  </w:pPr>
                </w:p>
              </w:tc>
              <w:tc>
                <w:tcPr>
                  <w:tcW w:w="403" w:type="pct"/>
                  <w:vMerge w:val="continue"/>
                  <w:noWrap w:val="0"/>
                  <w:vAlign w:val="center"/>
                </w:tcPr>
                <w:p w14:paraId="4F0B104D">
                  <w:pPr>
                    <w:keepNext w:val="0"/>
                    <w:keepLines w:val="0"/>
                    <w:widowControl/>
                    <w:suppressLineNumbers w:val="0"/>
                    <w:spacing w:before="0" w:beforeAutospacing="0" w:after="0" w:afterAutospacing="0"/>
                    <w:ind w:left="0" w:right="0"/>
                    <w:jc w:val="center"/>
                    <w:textAlignment w:val="center"/>
                    <w:rPr>
                      <w:rFonts w:hint="default"/>
                    </w:rPr>
                  </w:pPr>
                </w:p>
              </w:tc>
              <w:tc>
                <w:tcPr>
                  <w:tcW w:w="751" w:type="pct"/>
                  <w:vMerge w:val="continue"/>
                  <w:noWrap w:val="0"/>
                  <w:vAlign w:val="center"/>
                </w:tcPr>
                <w:p w14:paraId="458E9473">
                  <w:pPr>
                    <w:keepNext w:val="0"/>
                    <w:keepLines w:val="0"/>
                    <w:widowControl/>
                    <w:suppressLineNumbers w:val="0"/>
                    <w:spacing w:before="0" w:beforeAutospacing="0" w:after="0" w:afterAutospacing="0"/>
                    <w:ind w:left="0" w:right="0"/>
                    <w:jc w:val="center"/>
                    <w:textAlignment w:val="center"/>
                    <w:rPr>
                      <w:rFonts w:hint="default"/>
                    </w:rPr>
                  </w:pPr>
                </w:p>
              </w:tc>
              <w:tc>
                <w:tcPr>
                  <w:tcW w:w="403" w:type="pct"/>
                  <w:vMerge w:val="continue"/>
                  <w:noWrap w:val="0"/>
                  <w:vAlign w:val="center"/>
                </w:tcPr>
                <w:p w14:paraId="5F44AE82">
                  <w:pPr>
                    <w:keepNext w:val="0"/>
                    <w:keepLines w:val="0"/>
                    <w:widowControl/>
                    <w:suppressLineNumbers w:val="0"/>
                    <w:spacing w:before="0" w:beforeAutospacing="0" w:after="0" w:afterAutospacing="0"/>
                    <w:ind w:left="0" w:right="0"/>
                    <w:jc w:val="center"/>
                    <w:textAlignment w:val="center"/>
                    <w:rPr>
                      <w:rFonts w:hint="default"/>
                    </w:rPr>
                  </w:pPr>
                </w:p>
              </w:tc>
              <w:tc>
                <w:tcPr>
                  <w:tcW w:w="270" w:type="pct"/>
                  <w:vMerge w:val="continue"/>
                  <w:noWrap w:val="0"/>
                  <w:vAlign w:val="center"/>
                </w:tcPr>
                <w:p w14:paraId="5E892881">
                  <w:pPr>
                    <w:keepNext w:val="0"/>
                    <w:keepLines w:val="0"/>
                    <w:widowControl/>
                    <w:suppressLineNumbers w:val="0"/>
                    <w:spacing w:before="0" w:beforeAutospacing="0" w:after="0" w:afterAutospacing="0"/>
                    <w:ind w:left="0" w:right="0"/>
                    <w:jc w:val="center"/>
                    <w:textAlignment w:val="center"/>
                    <w:rPr>
                      <w:rFonts w:hint="default"/>
                    </w:rPr>
                  </w:pPr>
                </w:p>
              </w:tc>
              <w:tc>
                <w:tcPr>
                  <w:tcW w:w="270" w:type="pct"/>
                  <w:vMerge w:val="continue"/>
                  <w:noWrap w:val="0"/>
                  <w:vAlign w:val="center"/>
                </w:tcPr>
                <w:p w14:paraId="742FA98B">
                  <w:pPr>
                    <w:keepNext w:val="0"/>
                    <w:keepLines w:val="0"/>
                    <w:widowControl/>
                    <w:suppressLineNumbers w:val="0"/>
                    <w:spacing w:before="0" w:beforeAutospacing="0" w:after="0" w:afterAutospacing="0"/>
                    <w:ind w:left="0" w:right="0"/>
                    <w:jc w:val="center"/>
                    <w:textAlignment w:val="center"/>
                    <w:rPr>
                      <w:rFonts w:hint="default"/>
                    </w:rPr>
                  </w:pPr>
                </w:p>
              </w:tc>
              <w:tc>
                <w:tcPr>
                  <w:tcW w:w="307" w:type="pct"/>
                  <w:shd w:val="clear" w:color="auto" w:fill="auto"/>
                  <w:noWrap w:val="0"/>
                  <w:vAlign w:val="center"/>
                </w:tcPr>
                <w:p w14:paraId="79278A8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89</w:t>
                  </w:r>
                </w:p>
              </w:tc>
              <w:tc>
                <w:tcPr>
                  <w:tcW w:w="296" w:type="pct"/>
                  <w:noWrap w:val="0"/>
                  <w:vAlign w:val="center"/>
                </w:tcPr>
                <w:p w14:paraId="007C2FA0">
                  <w:pPr>
                    <w:keepNext w:val="0"/>
                    <w:keepLines w:val="0"/>
                    <w:widowControl/>
                    <w:suppressLineNumbers w:val="0"/>
                    <w:jc w:val="center"/>
                    <w:textAlignment w:val="center"/>
                    <w:rPr>
                      <w:rFonts w:hint="default"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277" w:type="pct"/>
                  <w:shd w:val="clear" w:color="auto" w:fill="auto"/>
                  <w:noWrap w:val="0"/>
                  <w:vAlign w:val="center"/>
                </w:tcPr>
                <w:p w14:paraId="256142A6">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393" w:type="pct"/>
                  <w:noWrap w:val="0"/>
                  <w:vAlign w:val="center"/>
                </w:tcPr>
                <w:p w14:paraId="2D0390E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61</w:t>
                  </w:r>
                </w:p>
              </w:tc>
              <w:tc>
                <w:tcPr>
                  <w:tcW w:w="378" w:type="pct"/>
                  <w:noWrap w:val="0"/>
                  <w:vAlign w:val="center"/>
                </w:tcPr>
                <w:p w14:paraId="56311BE5">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348" w:type="pct"/>
                  <w:noWrap w:val="0"/>
                  <w:vAlign w:val="center"/>
                </w:tcPr>
                <w:p w14:paraId="12E0A24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89</w:t>
                  </w:r>
                </w:p>
              </w:tc>
              <w:tc>
                <w:tcPr>
                  <w:tcW w:w="390" w:type="pct"/>
                  <w:noWrap w:val="0"/>
                  <w:vAlign w:val="center"/>
                </w:tcPr>
                <w:p w14:paraId="16DEAA0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45</w:t>
                  </w:r>
                </w:p>
              </w:tc>
            </w:tr>
            <w:tr w14:paraId="20ADD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0" w:type="pct"/>
                  <w:vMerge w:val="continue"/>
                  <w:noWrap w:val="0"/>
                  <w:vAlign w:val="center"/>
                </w:tcPr>
                <w:p w14:paraId="4062F258">
                  <w:pPr>
                    <w:keepNext w:val="0"/>
                    <w:keepLines w:val="0"/>
                    <w:widowControl/>
                    <w:suppressLineNumbers w:val="0"/>
                    <w:spacing w:before="0" w:beforeAutospacing="0" w:after="0" w:afterAutospacing="0"/>
                    <w:ind w:left="0" w:right="0"/>
                    <w:jc w:val="center"/>
                    <w:textAlignment w:val="center"/>
                    <w:rPr>
                      <w:rFonts w:hint="default"/>
                    </w:rPr>
                  </w:pPr>
                </w:p>
              </w:tc>
              <w:tc>
                <w:tcPr>
                  <w:tcW w:w="259" w:type="pct"/>
                  <w:vMerge w:val="continue"/>
                  <w:noWrap w:val="0"/>
                  <w:vAlign w:val="center"/>
                </w:tcPr>
                <w:p w14:paraId="1E1AD80A">
                  <w:pPr>
                    <w:keepNext w:val="0"/>
                    <w:keepLines w:val="0"/>
                    <w:widowControl/>
                    <w:suppressLineNumbers w:val="0"/>
                    <w:spacing w:before="0" w:beforeAutospacing="0" w:after="0" w:afterAutospacing="0"/>
                    <w:ind w:left="0" w:right="0"/>
                    <w:jc w:val="center"/>
                    <w:textAlignment w:val="center"/>
                    <w:rPr>
                      <w:rFonts w:hint="default"/>
                    </w:rPr>
                  </w:pPr>
                </w:p>
              </w:tc>
              <w:tc>
                <w:tcPr>
                  <w:tcW w:w="403" w:type="pct"/>
                  <w:vMerge w:val="continue"/>
                  <w:noWrap w:val="0"/>
                  <w:vAlign w:val="center"/>
                </w:tcPr>
                <w:p w14:paraId="3B06FC31">
                  <w:pPr>
                    <w:keepNext w:val="0"/>
                    <w:keepLines w:val="0"/>
                    <w:widowControl/>
                    <w:suppressLineNumbers w:val="0"/>
                    <w:spacing w:before="0" w:beforeAutospacing="0" w:after="0" w:afterAutospacing="0"/>
                    <w:ind w:left="0" w:right="0"/>
                    <w:jc w:val="center"/>
                    <w:textAlignment w:val="center"/>
                    <w:rPr>
                      <w:rFonts w:hint="default"/>
                    </w:rPr>
                  </w:pPr>
                </w:p>
              </w:tc>
              <w:tc>
                <w:tcPr>
                  <w:tcW w:w="751" w:type="pct"/>
                  <w:vMerge w:val="continue"/>
                  <w:noWrap w:val="0"/>
                  <w:vAlign w:val="center"/>
                </w:tcPr>
                <w:p w14:paraId="22D5735F">
                  <w:pPr>
                    <w:keepNext w:val="0"/>
                    <w:keepLines w:val="0"/>
                    <w:widowControl/>
                    <w:suppressLineNumbers w:val="0"/>
                    <w:spacing w:before="0" w:beforeAutospacing="0" w:after="0" w:afterAutospacing="0"/>
                    <w:ind w:left="0" w:right="0"/>
                    <w:jc w:val="center"/>
                    <w:textAlignment w:val="center"/>
                    <w:rPr>
                      <w:rFonts w:hint="default"/>
                    </w:rPr>
                  </w:pPr>
                </w:p>
              </w:tc>
              <w:tc>
                <w:tcPr>
                  <w:tcW w:w="403" w:type="pct"/>
                  <w:vMerge w:val="continue"/>
                  <w:noWrap w:val="0"/>
                  <w:vAlign w:val="center"/>
                </w:tcPr>
                <w:p w14:paraId="44D63071">
                  <w:pPr>
                    <w:keepNext w:val="0"/>
                    <w:keepLines w:val="0"/>
                    <w:widowControl/>
                    <w:suppressLineNumbers w:val="0"/>
                    <w:spacing w:before="0" w:beforeAutospacing="0" w:after="0" w:afterAutospacing="0"/>
                    <w:ind w:left="0" w:right="0"/>
                    <w:jc w:val="center"/>
                    <w:textAlignment w:val="center"/>
                    <w:rPr>
                      <w:rFonts w:hint="default"/>
                    </w:rPr>
                  </w:pPr>
                </w:p>
              </w:tc>
              <w:tc>
                <w:tcPr>
                  <w:tcW w:w="270" w:type="pct"/>
                  <w:vMerge w:val="continue"/>
                  <w:noWrap w:val="0"/>
                  <w:vAlign w:val="center"/>
                </w:tcPr>
                <w:p w14:paraId="6C0FAFA4">
                  <w:pPr>
                    <w:keepNext w:val="0"/>
                    <w:keepLines w:val="0"/>
                    <w:widowControl/>
                    <w:suppressLineNumbers w:val="0"/>
                    <w:spacing w:before="0" w:beforeAutospacing="0" w:after="0" w:afterAutospacing="0"/>
                    <w:ind w:left="0" w:right="0"/>
                    <w:jc w:val="center"/>
                    <w:textAlignment w:val="center"/>
                    <w:rPr>
                      <w:rFonts w:hint="default"/>
                    </w:rPr>
                  </w:pPr>
                </w:p>
              </w:tc>
              <w:tc>
                <w:tcPr>
                  <w:tcW w:w="270" w:type="pct"/>
                  <w:vMerge w:val="continue"/>
                  <w:noWrap w:val="0"/>
                  <w:vAlign w:val="center"/>
                </w:tcPr>
                <w:p w14:paraId="396600E8">
                  <w:pPr>
                    <w:keepNext w:val="0"/>
                    <w:keepLines w:val="0"/>
                    <w:widowControl/>
                    <w:suppressLineNumbers w:val="0"/>
                    <w:spacing w:before="0" w:beforeAutospacing="0" w:after="0" w:afterAutospacing="0"/>
                    <w:ind w:left="0" w:right="0"/>
                    <w:jc w:val="center"/>
                    <w:textAlignment w:val="center"/>
                    <w:rPr>
                      <w:rFonts w:hint="default"/>
                    </w:rPr>
                  </w:pPr>
                </w:p>
              </w:tc>
              <w:tc>
                <w:tcPr>
                  <w:tcW w:w="307" w:type="pct"/>
                  <w:shd w:val="clear" w:color="auto" w:fill="auto"/>
                  <w:noWrap w:val="0"/>
                  <w:vAlign w:val="center"/>
                </w:tcPr>
                <w:p w14:paraId="1F9FAFC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91</w:t>
                  </w:r>
                </w:p>
              </w:tc>
              <w:tc>
                <w:tcPr>
                  <w:tcW w:w="296" w:type="pct"/>
                  <w:noWrap w:val="0"/>
                  <w:vAlign w:val="center"/>
                </w:tcPr>
                <w:p w14:paraId="7111A3F0">
                  <w:pPr>
                    <w:keepNext w:val="0"/>
                    <w:keepLines w:val="0"/>
                    <w:widowControl/>
                    <w:suppressLineNumbers w:val="0"/>
                    <w:jc w:val="center"/>
                    <w:textAlignment w:val="center"/>
                    <w:rPr>
                      <w:rFonts w:hint="default"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277" w:type="pct"/>
                  <w:shd w:val="clear" w:color="auto" w:fill="auto"/>
                  <w:noWrap w:val="0"/>
                  <w:vAlign w:val="center"/>
                </w:tcPr>
                <w:p w14:paraId="45E0FF6C">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393" w:type="pct"/>
                  <w:noWrap w:val="0"/>
                  <w:vAlign w:val="center"/>
                </w:tcPr>
                <w:p w14:paraId="49B10CF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59</w:t>
                  </w:r>
                </w:p>
              </w:tc>
              <w:tc>
                <w:tcPr>
                  <w:tcW w:w="378" w:type="pct"/>
                  <w:noWrap w:val="0"/>
                  <w:vAlign w:val="center"/>
                </w:tcPr>
                <w:p w14:paraId="02C32E96">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348" w:type="pct"/>
                  <w:noWrap w:val="0"/>
                  <w:vAlign w:val="center"/>
                </w:tcPr>
                <w:p w14:paraId="43BD277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91</w:t>
                  </w:r>
                </w:p>
              </w:tc>
              <w:tc>
                <w:tcPr>
                  <w:tcW w:w="390" w:type="pct"/>
                  <w:noWrap w:val="0"/>
                  <w:vAlign w:val="center"/>
                </w:tcPr>
                <w:p w14:paraId="674E219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45</w:t>
                  </w:r>
                </w:p>
              </w:tc>
            </w:tr>
            <w:tr w14:paraId="5AA97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0" w:type="pct"/>
                  <w:vMerge w:val="continue"/>
                  <w:noWrap w:val="0"/>
                  <w:vAlign w:val="center"/>
                </w:tcPr>
                <w:p w14:paraId="5AC7177B">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259" w:type="pct"/>
                  <w:vMerge w:val="continue"/>
                  <w:noWrap w:val="0"/>
                  <w:vAlign w:val="center"/>
                </w:tcPr>
                <w:p w14:paraId="1FA4E0D2">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403" w:type="pct"/>
                  <w:vMerge w:val="continue"/>
                  <w:noWrap w:val="0"/>
                  <w:vAlign w:val="center"/>
                </w:tcPr>
                <w:p w14:paraId="566F5055">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751" w:type="pct"/>
                  <w:vMerge w:val="continue"/>
                  <w:noWrap w:val="0"/>
                  <w:vAlign w:val="center"/>
                </w:tcPr>
                <w:p w14:paraId="47D5D7D7">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403" w:type="pct"/>
                  <w:vMerge w:val="continue"/>
                  <w:noWrap w:val="0"/>
                  <w:vAlign w:val="center"/>
                </w:tcPr>
                <w:p w14:paraId="5EF5CBCE">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270" w:type="pct"/>
                  <w:vMerge w:val="continue"/>
                  <w:noWrap w:val="0"/>
                  <w:vAlign w:val="center"/>
                </w:tcPr>
                <w:p w14:paraId="7137462E">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270" w:type="pct"/>
                  <w:vMerge w:val="continue"/>
                  <w:noWrap w:val="0"/>
                  <w:vAlign w:val="center"/>
                </w:tcPr>
                <w:p w14:paraId="768F3A5F">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307" w:type="pct"/>
                  <w:shd w:val="clear" w:color="auto" w:fill="auto"/>
                  <w:noWrap w:val="0"/>
                  <w:vAlign w:val="center"/>
                </w:tcPr>
                <w:p w14:paraId="7246AAF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93</w:t>
                  </w:r>
                </w:p>
              </w:tc>
              <w:tc>
                <w:tcPr>
                  <w:tcW w:w="296" w:type="pct"/>
                  <w:noWrap w:val="0"/>
                  <w:vAlign w:val="center"/>
                </w:tcPr>
                <w:p w14:paraId="4059FCC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277" w:type="pct"/>
                  <w:shd w:val="clear" w:color="auto" w:fill="auto"/>
                  <w:noWrap w:val="0"/>
                  <w:vAlign w:val="center"/>
                </w:tcPr>
                <w:p w14:paraId="77A222B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393" w:type="pct"/>
                  <w:noWrap w:val="0"/>
                  <w:vAlign w:val="center"/>
                </w:tcPr>
                <w:p w14:paraId="525D8B4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57</w:t>
                  </w:r>
                </w:p>
              </w:tc>
              <w:tc>
                <w:tcPr>
                  <w:tcW w:w="378" w:type="pct"/>
                  <w:noWrap w:val="0"/>
                  <w:vAlign w:val="center"/>
                </w:tcPr>
                <w:p w14:paraId="2250614C">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348" w:type="pct"/>
                  <w:noWrap w:val="0"/>
                  <w:vAlign w:val="center"/>
                </w:tcPr>
                <w:p w14:paraId="55AC9A6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93</w:t>
                  </w:r>
                </w:p>
              </w:tc>
              <w:tc>
                <w:tcPr>
                  <w:tcW w:w="390" w:type="pct"/>
                  <w:noWrap w:val="0"/>
                  <w:vAlign w:val="center"/>
                </w:tcPr>
                <w:p w14:paraId="51CE493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45</w:t>
                  </w:r>
                </w:p>
              </w:tc>
            </w:tr>
            <w:tr w14:paraId="24B95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250" w:type="pct"/>
                  <w:vMerge w:val="restart"/>
                  <w:noWrap w:val="0"/>
                  <w:vAlign w:val="center"/>
                </w:tcPr>
                <w:p w14:paraId="5EA0FF77">
                  <w:pPr>
                    <w:keepNext w:val="0"/>
                    <w:keepLines w:val="0"/>
                    <w:widowControl/>
                    <w:suppressLineNumbers w:val="0"/>
                    <w:spacing w:before="0" w:beforeAutospacing="0" w:after="0" w:afterAutospacing="0" w:line="240" w:lineRule="auto"/>
                    <w:ind w:left="0" w:right="0"/>
                    <w:jc w:val="center"/>
                    <w:textAlignment w:val="bottom"/>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w:t>
                  </w:r>
                </w:p>
              </w:tc>
              <w:tc>
                <w:tcPr>
                  <w:tcW w:w="259" w:type="pct"/>
                  <w:vMerge w:val="restart"/>
                  <w:noWrap w:val="0"/>
                  <w:vAlign w:val="center"/>
                </w:tcPr>
                <w:p w14:paraId="30F995C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自动焊接机</w:t>
                  </w:r>
                </w:p>
              </w:tc>
              <w:tc>
                <w:tcPr>
                  <w:tcW w:w="403" w:type="pct"/>
                  <w:vMerge w:val="restart"/>
                  <w:noWrap w:val="0"/>
                  <w:vAlign w:val="center"/>
                </w:tcPr>
                <w:p w14:paraId="5E1EFBF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10</w:t>
                  </w:r>
                </w:p>
              </w:tc>
              <w:tc>
                <w:tcPr>
                  <w:tcW w:w="751" w:type="pct"/>
                  <w:vMerge w:val="restart"/>
                  <w:noWrap w:val="0"/>
                  <w:vAlign w:val="center"/>
                </w:tcPr>
                <w:p w14:paraId="55A7C9A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75</w:t>
                  </w:r>
                </w:p>
              </w:tc>
              <w:tc>
                <w:tcPr>
                  <w:tcW w:w="403" w:type="pct"/>
                  <w:vMerge w:val="continue"/>
                  <w:noWrap w:val="0"/>
                  <w:vAlign w:val="center"/>
                </w:tcPr>
                <w:p w14:paraId="35D4B6D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p>
              </w:tc>
              <w:tc>
                <w:tcPr>
                  <w:tcW w:w="270" w:type="pct"/>
                  <w:vMerge w:val="continue"/>
                  <w:noWrap w:val="0"/>
                  <w:vAlign w:val="center"/>
                </w:tcPr>
                <w:p w14:paraId="310B206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p>
              </w:tc>
              <w:tc>
                <w:tcPr>
                  <w:tcW w:w="270" w:type="pct"/>
                  <w:vMerge w:val="restart"/>
                  <w:noWrap w:val="0"/>
                  <w:vAlign w:val="center"/>
                </w:tcPr>
                <w:p w14:paraId="410019CE">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1#生产车间</w:t>
                  </w:r>
                </w:p>
              </w:tc>
              <w:tc>
                <w:tcPr>
                  <w:tcW w:w="307" w:type="pct"/>
                  <w:shd w:val="clear" w:color="auto" w:fill="auto"/>
                  <w:noWrap w:val="0"/>
                  <w:vAlign w:val="center"/>
                </w:tcPr>
                <w:p w14:paraId="49BACDB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79</w:t>
                  </w:r>
                </w:p>
              </w:tc>
              <w:tc>
                <w:tcPr>
                  <w:tcW w:w="296" w:type="pct"/>
                  <w:noWrap w:val="0"/>
                  <w:vAlign w:val="center"/>
                </w:tcPr>
                <w:p w14:paraId="02A6C3C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19</w:t>
                  </w:r>
                </w:p>
              </w:tc>
              <w:tc>
                <w:tcPr>
                  <w:tcW w:w="277" w:type="pct"/>
                  <w:noWrap w:val="0"/>
                  <w:vAlign w:val="center"/>
                </w:tcPr>
                <w:p w14:paraId="127B5B25">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393" w:type="pct"/>
                  <w:noWrap w:val="0"/>
                  <w:vAlign w:val="center"/>
                </w:tcPr>
                <w:p w14:paraId="60C2F38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71</w:t>
                  </w:r>
                </w:p>
              </w:tc>
              <w:tc>
                <w:tcPr>
                  <w:tcW w:w="378" w:type="pct"/>
                  <w:noWrap w:val="0"/>
                  <w:vAlign w:val="center"/>
                </w:tcPr>
                <w:p w14:paraId="5B3976D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19</w:t>
                  </w:r>
                </w:p>
              </w:tc>
              <w:tc>
                <w:tcPr>
                  <w:tcW w:w="348" w:type="pct"/>
                  <w:noWrap w:val="0"/>
                  <w:vAlign w:val="center"/>
                </w:tcPr>
                <w:p w14:paraId="6E9248F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79</w:t>
                  </w:r>
                </w:p>
              </w:tc>
              <w:tc>
                <w:tcPr>
                  <w:tcW w:w="390" w:type="pct"/>
                  <w:noWrap w:val="0"/>
                  <w:vAlign w:val="center"/>
                </w:tcPr>
                <w:p w14:paraId="7EF5DD5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51</w:t>
                  </w:r>
                </w:p>
              </w:tc>
            </w:tr>
            <w:tr w14:paraId="7B56D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250" w:type="pct"/>
                  <w:vMerge w:val="continue"/>
                  <w:noWrap w:val="0"/>
                  <w:vAlign w:val="center"/>
                </w:tcPr>
                <w:p w14:paraId="74A2D2C5">
                  <w:pPr>
                    <w:keepNext w:val="0"/>
                    <w:keepLines w:val="0"/>
                    <w:widowControl/>
                    <w:suppressLineNumbers w:val="0"/>
                    <w:spacing w:before="0" w:beforeAutospacing="0" w:after="0" w:afterAutospacing="0"/>
                    <w:ind w:left="0" w:right="0"/>
                    <w:jc w:val="center"/>
                    <w:textAlignment w:val="center"/>
                    <w:rPr>
                      <w:rFonts w:hint="default"/>
                    </w:rPr>
                  </w:pPr>
                </w:p>
              </w:tc>
              <w:tc>
                <w:tcPr>
                  <w:tcW w:w="259" w:type="pct"/>
                  <w:vMerge w:val="continue"/>
                  <w:noWrap w:val="0"/>
                  <w:vAlign w:val="center"/>
                </w:tcPr>
                <w:p w14:paraId="79AA1DE0">
                  <w:pPr>
                    <w:keepNext w:val="0"/>
                    <w:keepLines w:val="0"/>
                    <w:widowControl/>
                    <w:suppressLineNumbers w:val="0"/>
                    <w:spacing w:before="0" w:beforeAutospacing="0" w:after="0" w:afterAutospacing="0"/>
                    <w:ind w:left="0" w:right="0"/>
                    <w:jc w:val="center"/>
                    <w:textAlignment w:val="center"/>
                    <w:rPr>
                      <w:rFonts w:hint="default"/>
                    </w:rPr>
                  </w:pPr>
                </w:p>
              </w:tc>
              <w:tc>
                <w:tcPr>
                  <w:tcW w:w="403" w:type="pct"/>
                  <w:vMerge w:val="continue"/>
                  <w:noWrap w:val="0"/>
                  <w:vAlign w:val="center"/>
                </w:tcPr>
                <w:p w14:paraId="35A74352">
                  <w:pPr>
                    <w:keepNext w:val="0"/>
                    <w:keepLines w:val="0"/>
                    <w:widowControl/>
                    <w:suppressLineNumbers w:val="0"/>
                    <w:spacing w:before="0" w:beforeAutospacing="0" w:after="0" w:afterAutospacing="0"/>
                    <w:ind w:left="0" w:right="0"/>
                    <w:jc w:val="center"/>
                    <w:textAlignment w:val="center"/>
                    <w:rPr>
                      <w:rFonts w:hint="default"/>
                    </w:rPr>
                  </w:pPr>
                </w:p>
              </w:tc>
              <w:tc>
                <w:tcPr>
                  <w:tcW w:w="751" w:type="pct"/>
                  <w:vMerge w:val="continue"/>
                  <w:noWrap w:val="0"/>
                  <w:vAlign w:val="center"/>
                </w:tcPr>
                <w:p w14:paraId="7CDE1721">
                  <w:pPr>
                    <w:keepNext w:val="0"/>
                    <w:keepLines w:val="0"/>
                    <w:widowControl/>
                    <w:suppressLineNumbers w:val="0"/>
                    <w:spacing w:before="0" w:beforeAutospacing="0" w:after="0" w:afterAutospacing="0"/>
                    <w:ind w:left="0" w:right="0"/>
                    <w:jc w:val="center"/>
                    <w:textAlignment w:val="center"/>
                    <w:rPr>
                      <w:rFonts w:hint="default"/>
                    </w:rPr>
                  </w:pPr>
                </w:p>
              </w:tc>
              <w:tc>
                <w:tcPr>
                  <w:tcW w:w="403" w:type="pct"/>
                  <w:vMerge w:val="continue"/>
                  <w:noWrap w:val="0"/>
                  <w:vAlign w:val="center"/>
                </w:tcPr>
                <w:p w14:paraId="37380CBF">
                  <w:pPr>
                    <w:keepNext w:val="0"/>
                    <w:keepLines w:val="0"/>
                    <w:widowControl/>
                    <w:suppressLineNumbers w:val="0"/>
                    <w:spacing w:before="0" w:beforeAutospacing="0" w:after="0" w:afterAutospacing="0"/>
                    <w:ind w:left="0" w:right="0"/>
                    <w:jc w:val="center"/>
                    <w:textAlignment w:val="center"/>
                    <w:rPr>
                      <w:rFonts w:hint="default"/>
                    </w:rPr>
                  </w:pPr>
                </w:p>
              </w:tc>
              <w:tc>
                <w:tcPr>
                  <w:tcW w:w="270" w:type="pct"/>
                  <w:vMerge w:val="continue"/>
                  <w:noWrap w:val="0"/>
                  <w:vAlign w:val="center"/>
                </w:tcPr>
                <w:p w14:paraId="717072C7">
                  <w:pPr>
                    <w:keepNext w:val="0"/>
                    <w:keepLines w:val="0"/>
                    <w:widowControl/>
                    <w:suppressLineNumbers w:val="0"/>
                    <w:spacing w:before="0" w:beforeAutospacing="0" w:after="0" w:afterAutospacing="0"/>
                    <w:ind w:left="0" w:right="0"/>
                    <w:jc w:val="center"/>
                    <w:textAlignment w:val="center"/>
                    <w:rPr>
                      <w:rFonts w:hint="default"/>
                    </w:rPr>
                  </w:pPr>
                </w:p>
              </w:tc>
              <w:tc>
                <w:tcPr>
                  <w:tcW w:w="270" w:type="pct"/>
                  <w:vMerge w:val="continue"/>
                  <w:noWrap w:val="0"/>
                  <w:vAlign w:val="center"/>
                </w:tcPr>
                <w:p w14:paraId="100E5226">
                  <w:pPr>
                    <w:keepNext w:val="0"/>
                    <w:keepLines w:val="0"/>
                    <w:widowControl/>
                    <w:suppressLineNumbers w:val="0"/>
                    <w:spacing w:before="0" w:beforeAutospacing="0" w:after="0" w:afterAutospacing="0"/>
                    <w:ind w:left="0" w:right="0"/>
                    <w:jc w:val="center"/>
                    <w:textAlignment w:val="center"/>
                    <w:rPr>
                      <w:rFonts w:hint="default"/>
                    </w:rPr>
                  </w:pPr>
                </w:p>
              </w:tc>
              <w:tc>
                <w:tcPr>
                  <w:tcW w:w="307" w:type="pct"/>
                  <w:shd w:val="clear" w:color="auto" w:fill="auto"/>
                  <w:noWrap w:val="0"/>
                  <w:vAlign w:val="center"/>
                </w:tcPr>
                <w:p w14:paraId="1736301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81</w:t>
                  </w:r>
                </w:p>
              </w:tc>
              <w:tc>
                <w:tcPr>
                  <w:tcW w:w="296" w:type="pct"/>
                  <w:noWrap w:val="0"/>
                  <w:vAlign w:val="center"/>
                </w:tcPr>
                <w:p w14:paraId="47BA8F21">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277" w:type="pct"/>
                  <w:noWrap w:val="0"/>
                  <w:vAlign w:val="center"/>
                </w:tcPr>
                <w:p w14:paraId="206D9431">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393" w:type="pct"/>
                  <w:noWrap w:val="0"/>
                  <w:vAlign w:val="center"/>
                </w:tcPr>
                <w:p w14:paraId="21102216">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69</w:t>
                  </w:r>
                </w:p>
              </w:tc>
              <w:tc>
                <w:tcPr>
                  <w:tcW w:w="378" w:type="pct"/>
                  <w:noWrap w:val="0"/>
                  <w:vAlign w:val="center"/>
                </w:tcPr>
                <w:p w14:paraId="51653525">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348" w:type="pct"/>
                  <w:noWrap w:val="0"/>
                  <w:vAlign w:val="center"/>
                </w:tcPr>
                <w:p w14:paraId="562AE102">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81</w:t>
                  </w:r>
                </w:p>
              </w:tc>
              <w:tc>
                <w:tcPr>
                  <w:tcW w:w="390" w:type="pct"/>
                  <w:noWrap w:val="0"/>
                  <w:vAlign w:val="center"/>
                </w:tcPr>
                <w:p w14:paraId="27196198">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49</w:t>
                  </w:r>
                </w:p>
              </w:tc>
            </w:tr>
            <w:tr w14:paraId="46014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250" w:type="pct"/>
                  <w:vMerge w:val="continue"/>
                  <w:noWrap w:val="0"/>
                  <w:vAlign w:val="center"/>
                </w:tcPr>
                <w:p w14:paraId="4ED8544D">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259" w:type="pct"/>
                  <w:vMerge w:val="continue"/>
                  <w:noWrap w:val="0"/>
                  <w:vAlign w:val="center"/>
                </w:tcPr>
                <w:p w14:paraId="45AB8874">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403" w:type="pct"/>
                  <w:vMerge w:val="continue"/>
                  <w:noWrap w:val="0"/>
                  <w:vAlign w:val="center"/>
                </w:tcPr>
                <w:p w14:paraId="7512F8E4">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751" w:type="pct"/>
                  <w:vMerge w:val="continue"/>
                  <w:noWrap w:val="0"/>
                  <w:vAlign w:val="center"/>
                </w:tcPr>
                <w:p w14:paraId="3B4CC4FA">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403" w:type="pct"/>
                  <w:vMerge w:val="continue"/>
                  <w:noWrap w:val="0"/>
                  <w:vAlign w:val="center"/>
                </w:tcPr>
                <w:p w14:paraId="404D4A09">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270" w:type="pct"/>
                  <w:vMerge w:val="continue"/>
                  <w:noWrap w:val="0"/>
                  <w:vAlign w:val="center"/>
                </w:tcPr>
                <w:p w14:paraId="6FEF9170">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270" w:type="pct"/>
                  <w:vMerge w:val="continue"/>
                  <w:noWrap w:val="0"/>
                  <w:vAlign w:val="center"/>
                </w:tcPr>
                <w:p w14:paraId="7387F408">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307" w:type="pct"/>
                  <w:shd w:val="clear" w:color="auto" w:fill="auto"/>
                  <w:noWrap w:val="0"/>
                  <w:vAlign w:val="center"/>
                </w:tcPr>
                <w:p w14:paraId="0540D5A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83</w:t>
                  </w:r>
                </w:p>
              </w:tc>
              <w:tc>
                <w:tcPr>
                  <w:tcW w:w="296" w:type="pct"/>
                  <w:noWrap w:val="0"/>
                  <w:vAlign w:val="center"/>
                </w:tcPr>
                <w:p w14:paraId="7CD3C750">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277" w:type="pct"/>
                  <w:noWrap w:val="0"/>
                  <w:vAlign w:val="center"/>
                </w:tcPr>
                <w:p w14:paraId="0B00FDA0">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393" w:type="pct"/>
                  <w:noWrap w:val="0"/>
                  <w:vAlign w:val="center"/>
                </w:tcPr>
                <w:p w14:paraId="59CEA796">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67</w:t>
                  </w:r>
                </w:p>
              </w:tc>
              <w:tc>
                <w:tcPr>
                  <w:tcW w:w="378" w:type="pct"/>
                  <w:noWrap w:val="0"/>
                  <w:vAlign w:val="center"/>
                </w:tcPr>
                <w:p w14:paraId="5DAF6E1A">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348" w:type="pct"/>
                  <w:noWrap w:val="0"/>
                  <w:vAlign w:val="center"/>
                </w:tcPr>
                <w:p w14:paraId="778D6F2A">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83</w:t>
                  </w:r>
                </w:p>
              </w:tc>
              <w:tc>
                <w:tcPr>
                  <w:tcW w:w="390" w:type="pct"/>
                  <w:noWrap w:val="0"/>
                  <w:vAlign w:val="center"/>
                </w:tcPr>
                <w:p w14:paraId="66175548">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45</w:t>
                  </w:r>
                </w:p>
              </w:tc>
            </w:tr>
            <w:tr w14:paraId="291CC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250" w:type="pct"/>
                  <w:vMerge w:val="continue"/>
                  <w:noWrap w:val="0"/>
                  <w:vAlign w:val="center"/>
                </w:tcPr>
                <w:p w14:paraId="05874950">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259" w:type="pct"/>
                  <w:vMerge w:val="continue"/>
                  <w:noWrap w:val="0"/>
                  <w:vAlign w:val="center"/>
                </w:tcPr>
                <w:p w14:paraId="2DEAD24A">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403" w:type="pct"/>
                  <w:vMerge w:val="continue"/>
                  <w:noWrap w:val="0"/>
                  <w:vAlign w:val="center"/>
                </w:tcPr>
                <w:p w14:paraId="02988DF2">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751" w:type="pct"/>
                  <w:vMerge w:val="continue"/>
                  <w:noWrap w:val="0"/>
                  <w:vAlign w:val="center"/>
                </w:tcPr>
                <w:p w14:paraId="5154B47D">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403" w:type="pct"/>
                  <w:vMerge w:val="continue"/>
                  <w:noWrap w:val="0"/>
                  <w:vAlign w:val="center"/>
                </w:tcPr>
                <w:p w14:paraId="000C4A5B">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270" w:type="pct"/>
                  <w:vMerge w:val="continue"/>
                  <w:noWrap w:val="0"/>
                  <w:vAlign w:val="center"/>
                </w:tcPr>
                <w:p w14:paraId="1CB91D90">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270" w:type="pct"/>
                  <w:vMerge w:val="continue"/>
                  <w:noWrap w:val="0"/>
                  <w:vAlign w:val="center"/>
                </w:tcPr>
                <w:p w14:paraId="74FB6A41">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307" w:type="pct"/>
                  <w:shd w:val="clear" w:color="auto" w:fill="auto"/>
                  <w:noWrap w:val="0"/>
                  <w:vAlign w:val="center"/>
                </w:tcPr>
                <w:p w14:paraId="22DCC72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86</w:t>
                  </w:r>
                </w:p>
              </w:tc>
              <w:tc>
                <w:tcPr>
                  <w:tcW w:w="296" w:type="pct"/>
                  <w:noWrap w:val="0"/>
                  <w:vAlign w:val="center"/>
                </w:tcPr>
                <w:p w14:paraId="4879D09A">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29</w:t>
                  </w:r>
                </w:p>
              </w:tc>
              <w:tc>
                <w:tcPr>
                  <w:tcW w:w="277" w:type="pct"/>
                  <w:noWrap w:val="0"/>
                  <w:vAlign w:val="center"/>
                </w:tcPr>
                <w:p w14:paraId="1CB8D9D9">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393" w:type="pct"/>
                  <w:noWrap w:val="0"/>
                  <w:vAlign w:val="center"/>
                </w:tcPr>
                <w:p w14:paraId="697DB46A">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64</w:t>
                  </w:r>
                </w:p>
              </w:tc>
              <w:tc>
                <w:tcPr>
                  <w:tcW w:w="378" w:type="pct"/>
                  <w:noWrap w:val="0"/>
                  <w:vAlign w:val="center"/>
                </w:tcPr>
                <w:p w14:paraId="591C33D4">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29</w:t>
                  </w:r>
                </w:p>
              </w:tc>
              <w:tc>
                <w:tcPr>
                  <w:tcW w:w="348" w:type="pct"/>
                  <w:noWrap w:val="0"/>
                  <w:vAlign w:val="center"/>
                </w:tcPr>
                <w:p w14:paraId="704ACC81">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86</w:t>
                  </w:r>
                </w:p>
              </w:tc>
              <w:tc>
                <w:tcPr>
                  <w:tcW w:w="390" w:type="pct"/>
                  <w:noWrap w:val="0"/>
                  <w:vAlign w:val="center"/>
                </w:tcPr>
                <w:p w14:paraId="3463883F">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41</w:t>
                  </w:r>
                </w:p>
              </w:tc>
            </w:tr>
            <w:tr w14:paraId="60AD4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250" w:type="pct"/>
                  <w:vMerge w:val="continue"/>
                  <w:noWrap w:val="0"/>
                  <w:vAlign w:val="center"/>
                </w:tcPr>
                <w:p w14:paraId="2BFDD16C">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259" w:type="pct"/>
                  <w:vMerge w:val="continue"/>
                  <w:noWrap w:val="0"/>
                  <w:vAlign w:val="center"/>
                </w:tcPr>
                <w:p w14:paraId="7103B791">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403" w:type="pct"/>
                  <w:vMerge w:val="continue"/>
                  <w:noWrap w:val="0"/>
                  <w:vAlign w:val="center"/>
                </w:tcPr>
                <w:p w14:paraId="3B65DA27">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751" w:type="pct"/>
                  <w:vMerge w:val="continue"/>
                  <w:noWrap w:val="0"/>
                  <w:vAlign w:val="center"/>
                </w:tcPr>
                <w:p w14:paraId="35B3C525">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403" w:type="pct"/>
                  <w:vMerge w:val="continue"/>
                  <w:noWrap w:val="0"/>
                  <w:vAlign w:val="center"/>
                </w:tcPr>
                <w:p w14:paraId="0DAD4D50">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270" w:type="pct"/>
                  <w:vMerge w:val="continue"/>
                  <w:noWrap w:val="0"/>
                  <w:vAlign w:val="center"/>
                </w:tcPr>
                <w:p w14:paraId="53120DD9">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270" w:type="pct"/>
                  <w:vMerge w:val="continue"/>
                  <w:noWrap w:val="0"/>
                  <w:vAlign w:val="center"/>
                </w:tcPr>
                <w:p w14:paraId="00067EB4">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307" w:type="pct"/>
                  <w:shd w:val="clear" w:color="auto" w:fill="auto"/>
                  <w:noWrap w:val="0"/>
                  <w:vAlign w:val="center"/>
                </w:tcPr>
                <w:p w14:paraId="67FFF7E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89</w:t>
                  </w:r>
                </w:p>
              </w:tc>
              <w:tc>
                <w:tcPr>
                  <w:tcW w:w="296" w:type="pct"/>
                  <w:noWrap w:val="0"/>
                  <w:vAlign w:val="center"/>
                </w:tcPr>
                <w:p w14:paraId="0BF00AED">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36</w:t>
                  </w:r>
                </w:p>
              </w:tc>
              <w:tc>
                <w:tcPr>
                  <w:tcW w:w="277" w:type="pct"/>
                  <w:noWrap w:val="0"/>
                  <w:vAlign w:val="center"/>
                </w:tcPr>
                <w:p w14:paraId="25E9A599">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393" w:type="pct"/>
                  <w:noWrap w:val="0"/>
                  <w:vAlign w:val="center"/>
                </w:tcPr>
                <w:p w14:paraId="1AC415BF">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61</w:t>
                  </w:r>
                </w:p>
              </w:tc>
              <w:tc>
                <w:tcPr>
                  <w:tcW w:w="378" w:type="pct"/>
                  <w:noWrap w:val="0"/>
                  <w:vAlign w:val="center"/>
                </w:tcPr>
                <w:p w14:paraId="652236B3">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36</w:t>
                  </w:r>
                </w:p>
              </w:tc>
              <w:tc>
                <w:tcPr>
                  <w:tcW w:w="348" w:type="pct"/>
                  <w:noWrap w:val="0"/>
                  <w:vAlign w:val="center"/>
                </w:tcPr>
                <w:p w14:paraId="6D437E82">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89</w:t>
                  </w:r>
                </w:p>
              </w:tc>
              <w:tc>
                <w:tcPr>
                  <w:tcW w:w="390" w:type="pct"/>
                  <w:noWrap w:val="0"/>
                  <w:vAlign w:val="center"/>
                </w:tcPr>
                <w:p w14:paraId="17369577">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34</w:t>
                  </w:r>
                </w:p>
              </w:tc>
            </w:tr>
            <w:tr w14:paraId="3D926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250" w:type="pct"/>
                  <w:vMerge w:val="continue"/>
                  <w:noWrap w:val="0"/>
                  <w:vAlign w:val="center"/>
                </w:tcPr>
                <w:p w14:paraId="2144EA2E">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259" w:type="pct"/>
                  <w:vMerge w:val="continue"/>
                  <w:noWrap w:val="0"/>
                  <w:vAlign w:val="center"/>
                </w:tcPr>
                <w:p w14:paraId="0A9DA775">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403" w:type="pct"/>
                  <w:vMerge w:val="continue"/>
                  <w:noWrap w:val="0"/>
                  <w:vAlign w:val="center"/>
                </w:tcPr>
                <w:p w14:paraId="3A439CDC">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751" w:type="pct"/>
                  <w:vMerge w:val="continue"/>
                  <w:noWrap w:val="0"/>
                  <w:vAlign w:val="center"/>
                </w:tcPr>
                <w:p w14:paraId="5F18211F">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403" w:type="pct"/>
                  <w:vMerge w:val="continue"/>
                  <w:noWrap w:val="0"/>
                  <w:vAlign w:val="center"/>
                </w:tcPr>
                <w:p w14:paraId="540C4701">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270" w:type="pct"/>
                  <w:vMerge w:val="continue"/>
                  <w:noWrap w:val="0"/>
                  <w:vAlign w:val="center"/>
                </w:tcPr>
                <w:p w14:paraId="5E55AA12">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270" w:type="pct"/>
                  <w:vMerge w:val="continue"/>
                  <w:noWrap w:val="0"/>
                  <w:vAlign w:val="center"/>
                </w:tcPr>
                <w:p w14:paraId="6AD44A81">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307" w:type="pct"/>
                  <w:shd w:val="clear" w:color="auto" w:fill="auto"/>
                  <w:noWrap w:val="0"/>
                  <w:vAlign w:val="center"/>
                </w:tcPr>
                <w:p w14:paraId="1D31C7B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91</w:t>
                  </w:r>
                </w:p>
              </w:tc>
              <w:tc>
                <w:tcPr>
                  <w:tcW w:w="296" w:type="pct"/>
                  <w:noWrap w:val="0"/>
                  <w:vAlign w:val="center"/>
                </w:tcPr>
                <w:p w14:paraId="41F1F2D3">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277" w:type="pct"/>
                  <w:noWrap w:val="0"/>
                  <w:vAlign w:val="center"/>
                </w:tcPr>
                <w:p w14:paraId="1D3A7B0E">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393" w:type="pct"/>
                  <w:noWrap w:val="0"/>
                  <w:vAlign w:val="center"/>
                </w:tcPr>
                <w:p w14:paraId="2A0C293D">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59</w:t>
                  </w:r>
                </w:p>
              </w:tc>
              <w:tc>
                <w:tcPr>
                  <w:tcW w:w="378" w:type="pct"/>
                  <w:noWrap w:val="0"/>
                  <w:vAlign w:val="center"/>
                </w:tcPr>
                <w:p w14:paraId="323EA855">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348" w:type="pct"/>
                  <w:noWrap w:val="0"/>
                  <w:vAlign w:val="center"/>
                </w:tcPr>
                <w:p w14:paraId="5FD452A7">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91</w:t>
                  </w:r>
                </w:p>
              </w:tc>
              <w:tc>
                <w:tcPr>
                  <w:tcW w:w="390" w:type="pct"/>
                  <w:noWrap w:val="0"/>
                  <w:vAlign w:val="center"/>
                </w:tcPr>
                <w:p w14:paraId="55F40402">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40</w:t>
                  </w:r>
                </w:p>
              </w:tc>
            </w:tr>
            <w:tr w14:paraId="076B9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250" w:type="pct"/>
                  <w:vMerge w:val="continue"/>
                  <w:noWrap w:val="0"/>
                  <w:vAlign w:val="center"/>
                </w:tcPr>
                <w:p w14:paraId="25B02E06">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259" w:type="pct"/>
                  <w:vMerge w:val="continue"/>
                  <w:noWrap w:val="0"/>
                  <w:vAlign w:val="center"/>
                </w:tcPr>
                <w:p w14:paraId="42809E4E">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403" w:type="pct"/>
                  <w:vMerge w:val="continue"/>
                  <w:noWrap w:val="0"/>
                  <w:vAlign w:val="center"/>
                </w:tcPr>
                <w:p w14:paraId="10BCB594">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751" w:type="pct"/>
                  <w:vMerge w:val="continue"/>
                  <w:noWrap w:val="0"/>
                  <w:vAlign w:val="center"/>
                </w:tcPr>
                <w:p w14:paraId="5AD33A1D">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403" w:type="pct"/>
                  <w:vMerge w:val="continue"/>
                  <w:noWrap w:val="0"/>
                  <w:vAlign w:val="center"/>
                </w:tcPr>
                <w:p w14:paraId="3E209CD9">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270" w:type="pct"/>
                  <w:vMerge w:val="continue"/>
                  <w:noWrap w:val="0"/>
                  <w:vAlign w:val="center"/>
                </w:tcPr>
                <w:p w14:paraId="1F078D01">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270" w:type="pct"/>
                  <w:vMerge w:val="continue"/>
                  <w:noWrap w:val="0"/>
                  <w:vAlign w:val="center"/>
                </w:tcPr>
                <w:p w14:paraId="67299E8F">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307" w:type="pct"/>
                  <w:noWrap w:val="0"/>
                  <w:vAlign w:val="center"/>
                </w:tcPr>
                <w:p w14:paraId="0888569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93</w:t>
                  </w:r>
                </w:p>
              </w:tc>
              <w:tc>
                <w:tcPr>
                  <w:tcW w:w="296" w:type="pct"/>
                  <w:noWrap w:val="0"/>
                  <w:vAlign w:val="center"/>
                </w:tcPr>
                <w:p w14:paraId="053887DC">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34</w:t>
                  </w:r>
                </w:p>
              </w:tc>
              <w:tc>
                <w:tcPr>
                  <w:tcW w:w="277" w:type="pct"/>
                  <w:noWrap w:val="0"/>
                  <w:vAlign w:val="center"/>
                </w:tcPr>
                <w:p w14:paraId="2B363E6A">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393" w:type="pct"/>
                  <w:noWrap w:val="0"/>
                  <w:vAlign w:val="center"/>
                </w:tcPr>
                <w:p w14:paraId="0474B6C5">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57</w:t>
                  </w:r>
                </w:p>
              </w:tc>
              <w:tc>
                <w:tcPr>
                  <w:tcW w:w="378" w:type="pct"/>
                  <w:noWrap w:val="0"/>
                  <w:vAlign w:val="center"/>
                </w:tcPr>
                <w:p w14:paraId="6AF32287">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34</w:t>
                  </w:r>
                </w:p>
              </w:tc>
              <w:tc>
                <w:tcPr>
                  <w:tcW w:w="348" w:type="pct"/>
                  <w:noWrap w:val="0"/>
                  <w:vAlign w:val="center"/>
                </w:tcPr>
                <w:p w14:paraId="3BB2EA73">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93</w:t>
                  </w:r>
                </w:p>
              </w:tc>
              <w:tc>
                <w:tcPr>
                  <w:tcW w:w="390" w:type="pct"/>
                  <w:noWrap w:val="0"/>
                  <w:vAlign w:val="center"/>
                </w:tcPr>
                <w:p w14:paraId="7E5054C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36</w:t>
                  </w:r>
                </w:p>
              </w:tc>
            </w:tr>
            <w:tr w14:paraId="58CF6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250" w:type="pct"/>
                  <w:vMerge w:val="continue"/>
                  <w:noWrap w:val="0"/>
                  <w:vAlign w:val="center"/>
                </w:tcPr>
                <w:p w14:paraId="1FF885EC">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259" w:type="pct"/>
                  <w:vMerge w:val="continue"/>
                  <w:noWrap w:val="0"/>
                  <w:vAlign w:val="center"/>
                </w:tcPr>
                <w:p w14:paraId="5FE760F8">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403" w:type="pct"/>
                  <w:vMerge w:val="continue"/>
                  <w:noWrap w:val="0"/>
                  <w:vAlign w:val="center"/>
                </w:tcPr>
                <w:p w14:paraId="379639B5">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751" w:type="pct"/>
                  <w:vMerge w:val="continue"/>
                  <w:noWrap w:val="0"/>
                  <w:vAlign w:val="center"/>
                </w:tcPr>
                <w:p w14:paraId="6C24ECC6">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403" w:type="pct"/>
                  <w:vMerge w:val="continue"/>
                  <w:noWrap w:val="0"/>
                  <w:vAlign w:val="center"/>
                </w:tcPr>
                <w:p w14:paraId="556E7AA5">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270" w:type="pct"/>
                  <w:vMerge w:val="continue"/>
                  <w:noWrap w:val="0"/>
                  <w:vAlign w:val="center"/>
                </w:tcPr>
                <w:p w14:paraId="3864E42D">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270" w:type="pct"/>
                  <w:vMerge w:val="continue"/>
                  <w:noWrap w:val="0"/>
                  <w:vAlign w:val="center"/>
                </w:tcPr>
                <w:p w14:paraId="6CDA9447">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307" w:type="pct"/>
                  <w:noWrap w:val="0"/>
                  <w:vAlign w:val="center"/>
                </w:tcPr>
                <w:p w14:paraId="7BDEED6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95</w:t>
                  </w:r>
                </w:p>
              </w:tc>
              <w:tc>
                <w:tcPr>
                  <w:tcW w:w="296" w:type="pct"/>
                  <w:noWrap w:val="0"/>
                  <w:vAlign w:val="center"/>
                </w:tcPr>
                <w:p w14:paraId="641B6606">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38</w:t>
                  </w:r>
                </w:p>
              </w:tc>
              <w:tc>
                <w:tcPr>
                  <w:tcW w:w="277" w:type="pct"/>
                  <w:noWrap w:val="0"/>
                  <w:vAlign w:val="center"/>
                </w:tcPr>
                <w:p w14:paraId="7593249A">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393" w:type="pct"/>
                  <w:noWrap w:val="0"/>
                  <w:vAlign w:val="center"/>
                </w:tcPr>
                <w:p w14:paraId="6A8B543A">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55</w:t>
                  </w:r>
                </w:p>
              </w:tc>
              <w:tc>
                <w:tcPr>
                  <w:tcW w:w="378" w:type="pct"/>
                  <w:noWrap w:val="0"/>
                  <w:vAlign w:val="center"/>
                </w:tcPr>
                <w:p w14:paraId="2FB43733">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38</w:t>
                  </w:r>
                </w:p>
              </w:tc>
              <w:tc>
                <w:tcPr>
                  <w:tcW w:w="348" w:type="pct"/>
                  <w:noWrap w:val="0"/>
                  <w:vAlign w:val="center"/>
                </w:tcPr>
                <w:p w14:paraId="43728745">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95</w:t>
                  </w:r>
                </w:p>
              </w:tc>
              <w:tc>
                <w:tcPr>
                  <w:tcW w:w="390" w:type="pct"/>
                  <w:noWrap w:val="0"/>
                  <w:vAlign w:val="center"/>
                </w:tcPr>
                <w:p w14:paraId="1F4B6F8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32</w:t>
                  </w:r>
                </w:p>
              </w:tc>
            </w:tr>
            <w:tr w14:paraId="1BBD0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250" w:type="pct"/>
                  <w:vMerge w:val="continue"/>
                  <w:noWrap w:val="0"/>
                  <w:vAlign w:val="center"/>
                </w:tcPr>
                <w:p w14:paraId="545BEAA3">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259" w:type="pct"/>
                  <w:vMerge w:val="continue"/>
                  <w:noWrap w:val="0"/>
                  <w:vAlign w:val="center"/>
                </w:tcPr>
                <w:p w14:paraId="0273BA05">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403" w:type="pct"/>
                  <w:vMerge w:val="continue"/>
                  <w:noWrap w:val="0"/>
                  <w:vAlign w:val="center"/>
                </w:tcPr>
                <w:p w14:paraId="4ED5D8B3">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751" w:type="pct"/>
                  <w:vMerge w:val="continue"/>
                  <w:noWrap w:val="0"/>
                  <w:vAlign w:val="center"/>
                </w:tcPr>
                <w:p w14:paraId="0BC93BF8">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403" w:type="pct"/>
                  <w:vMerge w:val="continue"/>
                  <w:noWrap w:val="0"/>
                  <w:vAlign w:val="center"/>
                </w:tcPr>
                <w:p w14:paraId="2A573BA9">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270" w:type="pct"/>
                  <w:vMerge w:val="continue"/>
                  <w:noWrap w:val="0"/>
                  <w:vAlign w:val="center"/>
                </w:tcPr>
                <w:p w14:paraId="3D3548CF">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270" w:type="pct"/>
                  <w:vMerge w:val="continue"/>
                  <w:noWrap w:val="0"/>
                  <w:vAlign w:val="center"/>
                </w:tcPr>
                <w:p w14:paraId="5A11F151">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307" w:type="pct"/>
                  <w:noWrap w:val="0"/>
                  <w:vAlign w:val="center"/>
                </w:tcPr>
                <w:p w14:paraId="79282DC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97</w:t>
                  </w:r>
                </w:p>
              </w:tc>
              <w:tc>
                <w:tcPr>
                  <w:tcW w:w="296" w:type="pct"/>
                  <w:noWrap w:val="0"/>
                  <w:vAlign w:val="center"/>
                </w:tcPr>
                <w:p w14:paraId="6E88B7D5">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42</w:t>
                  </w:r>
                </w:p>
              </w:tc>
              <w:tc>
                <w:tcPr>
                  <w:tcW w:w="277" w:type="pct"/>
                  <w:noWrap w:val="0"/>
                  <w:vAlign w:val="center"/>
                </w:tcPr>
                <w:p w14:paraId="0E16FC92">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393" w:type="pct"/>
                  <w:noWrap w:val="0"/>
                  <w:vAlign w:val="center"/>
                </w:tcPr>
                <w:p w14:paraId="0646DF87">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53</w:t>
                  </w:r>
                </w:p>
              </w:tc>
              <w:tc>
                <w:tcPr>
                  <w:tcW w:w="378" w:type="pct"/>
                  <w:noWrap w:val="0"/>
                  <w:vAlign w:val="center"/>
                </w:tcPr>
                <w:p w14:paraId="1FAD3F39">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42</w:t>
                  </w:r>
                </w:p>
              </w:tc>
              <w:tc>
                <w:tcPr>
                  <w:tcW w:w="348" w:type="pct"/>
                  <w:noWrap w:val="0"/>
                  <w:vAlign w:val="center"/>
                </w:tcPr>
                <w:p w14:paraId="2216AC2B">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97</w:t>
                  </w:r>
                </w:p>
              </w:tc>
              <w:tc>
                <w:tcPr>
                  <w:tcW w:w="390" w:type="pct"/>
                  <w:noWrap w:val="0"/>
                  <w:vAlign w:val="center"/>
                </w:tcPr>
                <w:p w14:paraId="597D7FC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28</w:t>
                  </w:r>
                </w:p>
              </w:tc>
            </w:tr>
            <w:tr w14:paraId="1F0E9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250" w:type="pct"/>
                  <w:vMerge w:val="continue"/>
                  <w:noWrap w:val="0"/>
                  <w:vAlign w:val="center"/>
                </w:tcPr>
                <w:p w14:paraId="60C388EA">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259" w:type="pct"/>
                  <w:vMerge w:val="continue"/>
                  <w:noWrap w:val="0"/>
                  <w:vAlign w:val="center"/>
                </w:tcPr>
                <w:p w14:paraId="01B793F1">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403" w:type="pct"/>
                  <w:vMerge w:val="continue"/>
                  <w:noWrap w:val="0"/>
                  <w:vAlign w:val="center"/>
                </w:tcPr>
                <w:p w14:paraId="4C145372">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751" w:type="pct"/>
                  <w:vMerge w:val="continue"/>
                  <w:noWrap w:val="0"/>
                  <w:vAlign w:val="center"/>
                </w:tcPr>
                <w:p w14:paraId="0ABE416C">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403" w:type="pct"/>
                  <w:vMerge w:val="continue"/>
                  <w:noWrap w:val="0"/>
                  <w:vAlign w:val="center"/>
                </w:tcPr>
                <w:p w14:paraId="1E10C187">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270" w:type="pct"/>
                  <w:vMerge w:val="continue"/>
                  <w:noWrap w:val="0"/>
                  <w:vAlign w:val="center"/>
                </w:tcPr>
                <w:p w14:paraId="69E03C12">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270" w:type="pct"/>
                  <w:vMerge w:val="continue"/>
                  <w:noWrap w:val="0"/>
                  <w:vAlign w:val="center"/>
                </w:tcPr>
                <w:p w14:paraId="7506BA57">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307" w:type="pct"/>
                  <w:noWrap w:val="0"/>
                  <w:vAlign w:val="center"/>
                </w:tcPr>
                <w:p w14:paraId="1A4F4C7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99</w:t>
                  </w:r>
                </w:p>
              </w:tc>
              <w:tc>
                <w:tcPr>
                  <w:tcW w:w="296" w:type="pct"/>
                  <w:noWrap w:val="0"/>
                  <w:vAlign w:val="center"/>
                </w:tcPr>
                <w:p w14:paraId="2B218C78">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46</w:t>
                  </w:r>
                </w:p>
              </w:tc>
              <w:tc>
                <w:tcPr>
                  <w:tcW w:w="277" w:type="pct"/>
                  <w:noWrap w:val="0"/>
                  <w:vAlign w:val="center"/>
                </w:tcPr>
                <w:p w14:paraId="37A80918">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393" w:type="pct"/>
                  <w:noWrap w:val="0"/>
                  <w:vAlign w:val="center"/>
                </w:tcPr>
                <w:p w14:paraId="5B0B0B2D">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51</w:t>
                  </w:r>
                </w:p>
              </w:tc>
              <w:tc>
                <w:tcPr>
                  <w:tcW w:w="378" w:type="pct"/>
                  <w:noWrap w:val="0"/>
                  <w:vAlign w:val="center"/>
                </w:tcPr>
                <w:p w14:paraId="04C1B426">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46</w:t>
                  </w:r>
                </w:p>
              </w:tc>
              <w:tc>
                <w:tcPr>
                  <w:tcW w:w="348" w:type="pct"/>
                  <w:noWrap w:val="0"/>
                  <w:vAlign w:val="center"/>
                </w:tcPr>
                <w:p w14:paraId="36BD4399">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99</w:t>
                  </w:r>
                </w:p>
              </w:tc>
              <w:tc>
                <w:tcPr>
                  <w:tcW w:w="390" w:type="pct"/>
                  <w:noWrap w:val="0"/>
                  <w:vAlign w:val="center"/>
                </w:tcPr>
                <w:p w14:paraId="7260693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24</w:t>
                  </w:r>
                </w:p>
              </w:tc>
            </w:tr>
            <w:tr w14:paraId="22BC5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250" w:type="pct"/>
                  <w:vMerge w:val="restart"/>
                  <w:noWrap w:val="0"/>
                  <w:vAlign w:val="center"/>
                </w:tcPr>
                <w:p w14:paraId="6768F2AF">
                  <w:pPr>
                    <w:keepNext w:val="0"/>
                    <w:keepLines w:val="0"/>
                    <w:widowControl/>
                    <w:suppressLineNumbers w:val="0"/>
                    <w:spacing w:before="0" w:beforeAutospacing="0" w:after="0" w:afterAutospacing="0" w:line="240" w:lineRule="auto"/>
                    <w:ind w:left="0" w:right="0"/>
                    <w:jc w:val="center"/>
                    <w:textAlignment w:val="bottom"/>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w:t>
                  </w:r>
                </w:p>
              </w:tc>
              <w:tc>
                <w:tcPr>
                  <w:tcW w:w="259" w:type="pct"/>
                  <w:vMerge w:val="restart"/>
                  <w:shd w:val="clear" w:color="auto" w:fill="auto"/>
                  <w:noWrap w:val="0"/>
                  <w:vAlign w:val="center"/>
                </w:tcPr>
                <w:p w14:paraId="280A20F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自动上料机</w:t>
                  </w:r>
                </w:p>
              </w:tc>
              <w:tc>
                <w:tcPr>
                  <w:tcW w:w="403" w:type="pct"/>
                  <w:vMerge w:val="restart"/>
                  <w:shd w:val="clear" w:color="auto" w:fill="auto"/>
                  <w:noWrap w:val="0"/>
                  <w:vAlign w:val="center"/>
                </w:tcPr>
                <w:p w14:paraId="50EEAF5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6</w:t>
                  </w:r>
                </w:p>
              </w:tc>
              <w:tc>
                <w:tcPr>
                  <w:tcW w:w="751" w:type="pct"/>
                  <w:vMerge w:val="restart"/>
                  <w:noWrap w:val="0"/>
                  <w:vAlign w:val="center"/>
                </w:tcPr>
                <w:p w14:paraId="4C840F7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70</w:t>
                  </w:r>
                </w:p>
              </w:tc>
              <w:tc>
                <w:tcPr>
                  <w:tcW w:w="403" w:type="pct"/>
                  <w:vMerge w:val="continue"/>
                  <w:noWrap w:val="0"/>
                  <w:vAlign w:val="center"/>
                </w:tcPr>
                <w:p w14:paraId="79B6E66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p>
              </w:tc>
              <w:tc>
                <w:tcPr>
                  <w:tcW w:w="270" w:type="pct"/>
                  <w:vMerge w:val="continue"/>
                  <w:noWrap w:val="0"/>
                  <w:vAlign w:val="center"/>
                </w:tcPr>
                <w:p w14:paraId="4CCF5D3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p>
              </w:tc>
              <w:tc>
                <w:tcPr>
                  <w:tcW w:w="270" w:type="pct"/>
                  <w:vMerge w:val="restart"/>
                  <w:noWrap w:val="0"/>
                  <w:vAlign w:val="center"/>
                </w:tcPr>
                <w:p w14:paraId="5106D11D">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2</w:t>
                  </w:r>
                  <w:r>
                    <w:rPr>
                      <w:rFonts w:hint="eastAsia" w:ascii="Times New Roman" w:hAnsi="Times New Roman" w:eastAsia="宋体" w:cs="Times New Roman"/>
                      <w:b w:val="0"/>
                      <w:bCs w:val="0"/>
                      <w:color w:val="auto"/>
                      <w:kern w:val="2"/>
                      <w:sz w:val="21"/>
                      <w:szCs w:val="21"/>
                      <w:highlight w:val="none"/>
                      <w:lang w:val="en-US" w:eastAsia="zh-CN" w:bidi="ar-SA"/>
                    </w:rPr>
                    <w:t>#生产车间</w:t>
                  </w:r>
                </w:p>
              </w:tc>
              <w:tc>
                <w:tcPr>
                  <w:tcW w:w="307" w:type="pct"/>
                  <w:noWrap w:val="0"/>
                  <w:vAlign w:val="center"/>
                </w:tcPr>
                <w:p w14:paraId="632C557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61</w:t>
                  </w:r>
                </w:p>
              </w:tc>
              <w:tc>
                <w:tcPr>
                  <w:tcW w:w="296" w:type="pct"/>
                  <w:noWrap w:val="0"/>
                  <w:vAlign w:val="center"/>
                </w:tcPr>
                <w:p w14:paraId="298BCB3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277" w:type="pct"/>
                  <w:noWrap w:val="0"/>
                  <w:vAlign w:val="center"/>
                </w:tcPr>
                <w:p w14:paraId="682911CE">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393" w:type="pct"/>
                  <w:noWrap w:val="0"/>
                  <w:vAlign w:val="center"/>
                </w:tcPr>
                <w:p w14:paraId="6A28F8A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89</w:t>
                  </w:r>
                </w:p>
              </w:tc>
              <w:tc>
                <w:tcPr>
                  <w:tcW w:w="378" w:type="pct"/>
                  <w:noWrap w:val="0"/>
                  <w:vAlign w:val="center"/>
                </w:tcPr>
                <w:p w14:paraId="28EA853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348" w:type="pct"/>
                  <w:noWrap w:val="0"/>
                  <w:vAlign w:val="center"/>
                </w:tcPr>
                <w:p w14:paraId="676391C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61</w:t>
                  </w:r>
                </w:p>
              </w:tc>
              <w:tc>
                <w:tcPr>
                  <w:tcW w:w="390" w:type="pct"/>
                  <w:noWrap w:val="0"/>
                  <w:vAlign w:val="center"/>
                </w:tcPr>
                <w:p w14:paraId="7C4C854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w:t>
                  </w:r>
                </w:p>
              </w:tc>
            </w:tr>
            <w:tr w14:paraId="28C11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250" w:type="pct"/>
                  <w:vMerge w:val="continue"/>
                  <w:noWrap w:val="0"/>
                  <w:vAlign w:val="center"/>
                </w:tcPr>
                <w:p w14:paraId="3E3D7A97">
                  <w:pPr>
                    <w:keepNext w:val="0"/>
                    <w:keepLines w:val="0"/>
                    <w:widowControl/>
                    <w:suppressLineNumbers w:val="0"/>
                    <w:spacing w:before="0" w:beforeAutospacing="0" w:after="0" w:afterAutospacing="0" w:line="240" w:lineRule="auto"/>
                    <w:ind w:left="0" w:right="0"/>
                    <w:jc w:val="center"/>
                    <w:textAlignment w:val="bottom"/>
                    <w:rPr>
                      <w:rFonts w:hint="eastAsia" w:ascii="Times New Roman" w:hAnsi="Times New Roman" w:eastAsia="宋体" w:cs="Times New Roman"/>
                      <w:color w:val="auto"/>
                      <w:sz w:val="21"/>
                      <w:szCs w:val="21"/>
                      <w:highlight w:val="none"/>
                      <w:lang w:val="en-US" w:eastAsia="zh-CN"/>
                    </w:rPr>
                  </w:pPr>
                </w:p>
              </w:tc>
              <w:tc>
                <w:tcPr>
                  <w:tcW w:w="259" w:type="pct"/>
                  <w:vMerge w:val="continue"/>
                  <w:shd w:val="clear" w:color="auto" w:fill="auto"/>
                  <w:noWrap w:val="0"/>
                  <w:vAlign w:val="center"/>
                </w:tcPr>
                <w:p w14:paraId="4F8304A5">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lang w:val="en-US" w:eastAsia="zh-CN" w:bidi="ar-SA"/>
                    </w:rPr>
                  </w:pPr>
                </w:p>
              </w:tc>
              <w:tc>
                <w:tcPr>
                  <w:tcW w:w="403" w:type="pct"/>
                  <w:vMerge w:val="continue"/>
                  <w:shd w:val="clear" w:color="auto" w:fill="auto"/>
                  <w:noWrap w:val="0"/>
                  <w:vAlign w:val="center"/>
                </w:tcPr>
                <w:p w14:paraId="2A1E4A82">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p>
              </w:tc>
              <w:tc>
                <w:tcPr>
                  <w:tcW w:w="751" w:type="pct"/>
                  <w:vMerge w:val="continue"/>
                  <w:noWrap w:val="0"/>
                  <w:vAlign w:val="center"/>
                </w:tcPr>
                <w:p w14:paraId="25F74C1C">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p>
              </w:tc>
              <w:tc>
                <w:tcPr>
                  <w:tcW w:w="403" w:type="pct"/>
                  <w:vMerge w:val="continue"/>
                  <w:noWrap w:val="0"/>
                  <w:vAlign w:val="center"/>
                </w:tcPr>
                <w:p w14:paraId="24F55A8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p>
              </w:tc>
              <w:tc>
                <w:tcPr>
                  <w:tcW w:w="270" w:type="pct"/>
                  <w:vMerge w:val="continue"/>
                  <w:noWrap w:val="0"/>
                  <w:vAlign w:val="center"/>
                </w:tcPr>
                <w:p w14:paraId="1681024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p>
              </w:tc>
              <w:tc>
                <w:tcPr>
                  <w:tcW w:w="270" w:type="pct"/>
                  <w:vMerge w:val="continue"/>
                  <w:noWrap w:val="0"/>
                  <w:vAlign w:val="center"/>
                </w:tcPr>
                <w:p w14:paraId="09A0FF80">
                  <w:pPr>
                    <w:keepNext w:val="0"/>
                    <w:keepLines w:val="0"/>
                    <w:suppressLineNumbers w:val="0"/>
                    <w:adjustRightInd w:val="0"/>
                    <w:snapToGrid w:val="0"/>
                    <w:spacing w:before="0" w:beforeAutospacing="0" w:after="0" w:afterAutospacing="0"/>
                    <w:ind w:left="0" w:right="0"/>
                    <w:jc w:val="center"/>
                    <w:rPr>
                      <w:rFonts w:hint="eastAsia" w:cs="Times New Roman"/>
                      <w:b w:val="0"/>
                      <w:bCs w:val="0"/>
                      <w:color w:val="auto"/>
                      <w:kern w:val="2"/>
                      <w:sz w:val="21"/>
                      <w:szCs w:val="21"/>
                      <w:highlight w:val="none"/>
                      <w:lang w:val="en-US" w:eastAsia="zh-CN" w:bidi="ar-SA"/>
                    </w:rPr>
                  </w:pPr>
                </w:p>
              </w:tc>
              <w:tc>
                <w:tcPr>
                  <w:tcW w:w="307" w:type="pct"/>
                  <w:noWrap w:val="0"/>
                  <w:vAlign w:val="center"/>
                </w:tcPr>
                <w:p w14:paraId="230090D6">
                  <w:pPr>
                    <w:keepNext w:val="0"/>
                    <w:keepLines w:val="0"/>
                    <w:widowControl/>
                    <w:suppressLineNumbers w:val="0"/>
                    <w:jc w:val="center"/>
                    <w:textAlignment w:val="center"/>
                    <w:rPr>
                      <w:rFonts w:hint="default"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62</w:t>
                  </w:r>
                </w:p>
              </w:tc>
              <w:tc>
                <w:tcPr>
                  <w:tcW w:w="296" w:type="pct"/>
                  <w:noWrap w:val="0"/>
                  <w:vAlign w:val="center"/>
                </w:tcPr>
                <w:p w14:paraId="31B7D33B">
                  <w:pPr>
                    <w:keepNext w:val="0"/>
                    <w:keepLines w:val="0"/>
                    <w:widowControl/>
                    <w:suppressLineNumbers w:val="0"/>
                    <w:jc w:val="center"/>
                    <w:textAlignment w:val="center"/>
                    <w:rPr>
                      <w:rFonts w:hint="default"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277" w:type="pct"/>
                  <w:noWrap w:val="0"/>
                  <w:vAlign w:val="center"/>
                </w:tcPr>
                <w:p w14:paraId="50B59C4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393" w:type="pct"/>
                  <w:noWrap w:val="0"/>
                  <w:vAlign w:val="center"/>
                </w:tcPr>
                <w:p w14:paraId="230C706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88</w:t>
                  </w:r>
                </w:p>
              </w:tc>
              <w:tc>
                <w:tcPr>
                  <w:tcW w:w="378" w:type="pct"/>
                  <w:noWrap w:val="0"/>
                  <w:vAlign w:val="center"/>
                </w:tcPr>
                <w:p w14:paraId="2227622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348" w:type="pct"/>
                  <w:noWrap w:val="0"/>
                  <w:vAlign w:val="center"/>
                </w:tcPr>
                <w:p w14:paraId="4CAD335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62</w:t>
                  </w:r>
                </w:p>
              </w:tc>
              <w:tc>
                <w:tcPr>
                  <w:tcW w:w="390" w:type="pct"/>
                  <w:noWrap w:val="0"/>
                  <w:vAlign w:val="center"/>
                </w:tcPr>
                <w:p w14:paraId="6ECAFA7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49</w:t>
                  </w:r>
                </w:p>
              </w:tc>
            </w:tr>
            <w:tr w14:paraId="6408A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250" w:type="pct"/>
                  <w:vMerge w:val="continue"/>
                  <w:noWrap w:val="0"/>
                  <w:vAlign w:val="center"/>
                </w:tcPr>
                <w:p w14:paraId="41F50D95">
                  <w:pPr>
                    <w:keepNext w:val="0"/>
                    <w:keepLines w:val="0"/>
                    <w:widowControl/>
                    <w:suppressLineNumbers w:val="0"/>
                    <w:spacing w:before="0" w:beforeAutospacing="0" w:after="0" w:afterAutospacing="0" w:line="240" w:lineRule="auto"/>
                    <w:ind w:left="0" w:right="0"/>
                    <w:jc w:val="center"/>
                    <w:textAlignment w:val="bottom"/>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14:paraId="153CCE88">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4"/>
                      <w:lang w:val="en-US" w:eastAsia="zh-CN" w:bidi="ar-SA"/>
                    </w:rPr>
                  </w:pPr>
                </w:p>
              </w:tc>
              <w:tc>
                <w:tcPr>
                  <w:tcW w:w="403" w:type="pct"/>
                  <w:vMerge w:val="continue"/>
                  <w:noWrap w:val="0"/>
                  <w:vAlign w:val="center"/>
                </w:tcPr>
                <w:p w14:paraId="5288C496">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p>
              </w:tc>
              <w:tc>
                <w:tcPr>
                  <w:tcW w:w="751" w:type="pct"/>
                  <w:vMerge w:val="continue"/>
                  <w:noWrap w:val="0"/>
                  <w:vAlign w:val="center"/>
                </w:tcPr>
                <w:p w14:paraId="50396DB0">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p>
              </w:tc>
              <w:tc>
                <w:tcPr>
                  <w:tcW w:w="403" w:type="pct"/>
                  <w:vMerge w:val="continue"/>
                  <w:noWrap w:val="0"/>
                  <w:vAlign w:val="center"/>
                </w:tcPr>
                <w:p w14:paraId="6A911F7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p>
              </w:tc>
              <w:tc>
                <w:tcPr>
                  <w:tcW w:w="270" w:type="pct"/>
                  <w:vMerge w:val="continue"/>
                  <w:noWrap w:val="0"/>
                  <w:vAlign w:val="center"/>
                </w:tcPr>
                <w:p w14:paraId="12F5901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p>
              </w:tc>
              <w:tc>
                <w:tcPr>
                  <w:tcW w:w="270" w:type="pct"/>
                  <w:vMerge w:val="continue"/>
                  <w:noWrap w:val="0"/>
                  <w:vAlign w:val="center"/>
                </w:tcPr>
                <w:p w14:paraId="3E4515CC">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07" w:type="pct"/>
                  <w:noWrap w:val="0"/>
                  <w:vAlign w:val="center"/>
                </w:tcPr>
                <w:p w14:paraId="5A861F7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63</w:t>
                  </w:r>
                </w:p>
              </w:tc>
              <w:tc>
                <w:tcPr>
                  <w:tcW w:w="296" w:type="pct"/>
                  <w:noWrap w:val="0"/>
                  <w:vAlign w:val="center"/>
                </w:tcPr>
                <w:p w14:paraId="552586D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277" w:type="pct"/>
                  <w:shd w:val="clear" w:color="auto" w:fill="auto"/>
                  <w:noWrap w:val="0"/>
                  <w:vAlign w:val="center"/>
                </w:tcPr>
                <w:p w14:paraId="69742203">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393" w:type="pct"/>
                  <w:noWrap w:val="0"/>
                  <w:vAlign w:val="center"/>
                </w:tcPr>
                <w:p w14:paraId="6BA1348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87</w:t>
                  </w:r>
                </w:p>
              </w:tc>
              <w:tc>
                <w:tcPr>
                  <w:tcW w:w="378" w:type="pct"/>
                  <w:noWrap w:val="0"/>
                  <w:vAlign w:val="center"/>
                </w:tcPr>
                <w:p w14:paraId="3AC26A3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348" w:type="pct"/>
                  <w:noWrap w:val="0"/>
                  <w:vAlign w:val="center"/>
                </w:tcPr>
                <w:p w14:paraId="2C8A99D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63</w:t>
                  </w:r>
                </w:p>
              </w:tc>
              <w:tc>
                <w:tcPr>
                  <w:tcW w:w="390" w:type="pct"/>
                  <w:noWrap w:val="0"/>
                  <w:vAlign w:val="center"/>
                </w:tcPr>
                <w:p w14:paraId="2DC40B3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48</w:t>
                  </w:r>
                </w:p>
              </w:tc>
            </w:tr>
            <w:tr w14:paraId="0B3C9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250" w:type="pct"/>
                  <w:vMerge w:val="continue"/>
                  <w:noWrap w:val="0"/>
                  <w:vAlign w:val="center"/>
                </w:tcPr>
                <w:p w14:paraId="378B6C8C">
                  <w:pPr>
                    <w:keepNext w:val="0"/>
                    <w:keepLines w:val="0"/>
                    <w:widowControl/>
                    <w:suppressLineNumbers w:val="0"/>
                    <w:spacing w:before="0" w:beforeAutospacing="0" w:after="0" w:afterAutospacing="0" w:line="240" w:lineRule="auto"/>
                    <w:ind w:left="0" w:right="0"/>
                    <w:jc w:val="center"/>
                    <w:textAlignment w:val="bottom"/>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14:paraId="0DC0F757">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4"/>
                      <w:lang w:val="en-US" w:eastAsia="zh-CN" w:bidi="ar-SA"/>
                    </w:rPr>
                  </w:pPr>
                </w:p>
              </w:tc>
              <w:tc>
                <w:tcPr>
                  <w:tcW w:w="403" w:type="pct"/>
                  <w:vMerge w:val="continue"/>
                  <w:noWrap w:val="0"/>
                  <w:vAlign w:val="center"/>
                </w:tcPr>
                <w:p w14:paraId="78D03181">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p>
              </w:tc>
              <w:tc>
                <w:tcPr>
                  <w:tcW w:w="751" w:type="pct"/>
                  <w:vMerge w:val="continue"/>
                  <w:noWrap w:val="0"/>
                  <w:vAlign w:val="center"/>
                </w:tcPr>
                <w:p w14:paraId="6A70BC08">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p>
              </w:tc>
              <w:tc>
                <w:tcPr>
                  <w:tcW w:w="403" w:type="pct"/>
                  <w:vMerge w:val="continue"/>
                  <w:noWrap w:val="0"/>
                  <w:vAlign w:val="center"/>
                </w:tcPr>
                <w:p w14:paraId="3970AAE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p>
              </w:tc>
              <w:tc>
                <w:tcPr>
                  <w:tcW w:w="270" w:type="pct"/>
                  <w:vMerge w:val="continue"/>
                  <w:noWrap w:val="0"/>
                  <w:vAlign w:val="center"/>
                </w:tcPr>
                <w:p w14:paraId="0A331BA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p>
              </w:tc>
              <w:tc>
                <w:tcPr>
                  <w:tcW w:w="270" w:type="pct"/>
                  <w:vMerge w:val="continue"/>
                  <w:noWrap w:val="0"/>
                  <w:vAlign w:val="center"/>
                </w:tcPr>
                <w:p w14:paraId="30915C47">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07" w:type="pct"/>
                  <w:noWrap w:val="0"/>
                  <w:vAlign w:val="center"/>
                </w:tcPr>
                <w:p w14:paraId="4EAD35C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65</w:t>
                  </w:r>
                </w:p>
              </w:tc>
              <w:tc>
                <w:tcPr>
                  <w:tcW w:w="296" w:type="pct"/>
                  <w:noWrap w:val="0"/>
                  <w:vAlign w:val="center"/>
                </w:tcPr>
                <w:p w14:paraId="083EF9C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24</w:t>
                  </w:r>
                </w:p>
              </w:tc>
              <w:tc>
                <w:tcPr>
                  <w:tcW w:w="277" w:type="pct"/>
                  <w:shd w:val="clear" w:color="auto" w:fill="auto"/>
                  <w:noWrap w:val="0"/>
                  <w:vAlign w:val="center"/>
                </w:tcPr>
                <w:p w14:paraId="47E48804">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393" w:type="pct"/>
                  <w:noWrap w:val="0"/>
                  <w:vAlign w:val="center"/>
                </w:tcPr>
                <w:p w14:paraId="63EFBD4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85</w:t>
                  </w:r>
                </w:p>
              </w:tc>
              <w:tc>
                <w:tcPr>
                  <w:tcW w:w="378" w:type="pct"/>
                  <w:noWrap w:val="0"/>
                  <w:vAlign w:val="center"/>
                </w:tcPr>
                <w:p w14:paraId="643E6E8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24</w:t>
                  </w:r>
                </w:p>
              </w:tc>
              <w:tc>
                <w:tcPr>
                  <w:tcW w:w="348" w:type="pct"/>
                  <w:noWrap w:val="0"/>
                  <w:vAlign w:val="center"/>
                </w:tcPr>
                <w:p w14:paraId="3ABFCF2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65</w:t>
                  </w:r>
                </w:p>
              </w:tc>
              <w:tc>
                <w:tcPr>
                  <w:tcW w:w="390" w:type="pct"/>
                  <w:noWrap w:val="0"/>
                  <w:vAlign w:val="center"/>
                </w:tcPr>
                <w:p w14:paraId="65501EE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46</w:t>
                  </w:r>
                </w:p>
              </w:tc>
            </w:tr>
            <w:tr w14:paraId="308D5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250" w:type="pct"/>
                  <w:vMerge w:val="continue"/>
                  <w:noWrap w:val="0"/>
                  <w:vAlign w:val="center"/>
                </w:tcPr>
                <w:p w14:paraId="1CFD0E13">
                  <w:pPr>
                    <w:keepNext w:val="0"/>
                    <w:keepLines w:val="0"/>
                    <w:widowControl/>
                    <w:suppressLineNumbers w:val="0"/>
                    <w:spacing w:before="0" w:beforeAutospacing="0" w:after="0" w:afterAutospacing="0" w:line="240" w:lineRule="auto"/>
                    <w:ind w:left="0" w:right="0"/>
                    <w:jc w:val="center"/>
                    <w:textAlignment w:val="bottom"/>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14:paraId="0A3E29D4">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4"/>
                      <w:lang w:val="en-US" w:eastAsia="zh-CN" w:bidi="ar-SA"/>
                    </w:rPr>
                  </w:pPr>
                </w:p>
              </w:tc>
              <w:tc>
                <w:tcPr>
                  <w:tcW w:w="403" w:type="pct"/>
                  <w:vMerge w:val="continue"/>
                  <w:noWrap w:val="0"/>
                  <w:vAlign w:val="center"/>
                </w:tcPr>
                <w:p w14:paraId="196B5E83">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p>
              </w:tc>
              <w:tc>
                <w:tcPr>
                  <w:tcW w:w="751" w:type="pct"/>
                  <w:vMerge w:val="continue"/>
                  <w:noWrap w:val="0"/>
                  <w:vAlign w:val="center"/>
                </w:tcPr>
                <w:p w14:paraId="585FA85A">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p>
              </w:tc>
              <w:tc>
                <w:tcPr>
                  <w:tcW w:w="403" w:type="pct"/>
                  <w:vMerge w:val="continue"/>
                  <w:noWrap w:val="0"/>
                  <w:vAlign w:val="center"/>
                </w:tcPr>
                <w:p w14:paraId="7D7C340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p>
              </w:tc>
              <w:tc>
                <w:tcPr>
                  <w:tcW w:w="270" w:type="pct"/>
                  <w:vMerge w:val="continue"/>
                  <w:noWrap w:val="0"/>
                  <w:vAlign w:val="center"/>
                </w:tcPr>
                <w:p w14:paraId="42D8DD6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p>
              </w:tc>
              <w:tc>
                <w:tcPr>
                  <w:tcW w:w="270" w:type="pct"/>
                  <w:vMerge w:val="continue"/>
                  <w:noWrap w:val="0"/>
                  <w:vAlign w:val="center"/>
                </w:tcPr>
                <w:p w14:paraId="52FB4003">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07" w:type="pct"/>
                  <w:noWrap w:val="0"/>
                  <w:vAlign w:val="center"/>
                </w:tcPr>
                <w:p w14:paraId="100AC36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67</w:t>
                  </w:r>
                </w:p>
              </w:tc>
              <w:tc>
                <w:tcPr>
                  <w:tcW w:w="296" w:type="pct"/>
                  <w:noWrap w:val="0"/>
                  <w:vAlign w:val="center"/>
                </w:tcPr>
                <w:p w14:paraId="7874751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26</w:t>
                  </w:r>
                </w:p>
              </w:tc>
              <w:tc>
                <w:tcPr>
                  <w:tcW w:w="277" w:type="pct"/>
                  <w:shd w:val="clear" w:color="auto" w:fill="auto"/>
                  <w:noWrap w:val="0"/>
                  <w:vAlign w:val="center"/>
                </w:tcPr>
                <w:p w14:paraId="72481AE7">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393" w:type="pct"/>
                  <w:noWrap w:val="0"/>
                  <w:vAlign w:val="center"/>
                </w:tcPr>
                <w:p w14:paraId="793F337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83</w:t>
                  </w:r>
                </w:p>
              </w:tc>
              <w:tc>
                <w:tcPr>
                  <w:tcW w:w="378" w:type="pct"/>
                  <w:noWrap w:val="0"/>
                  <w:vAlign w:val="center"/>
                </w:tcPr>
                <w:p w14:paraId="06E4CB1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26</w:t>
                  </w:r>
                </w:p>
              </w:tc>
              <w:tc>
                <w:tcPr>
                  <w:tcW w:w="348" w:type="pct"/>
                  <w:noWrap w:val="0"/>
                  <w:vAlign w:val="center"/>
                </w:tcPr>
                <w:p w14:paraId="532E04A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67</w:t>
                  </w:r>
                </w:p>
              </w:tc>
              <w:tc>
                <w:tcPr>
                  <w:tcW w:w="390" w:type="pct"/>
                  <w:noWrap w:val="0"/>
                  <w:vAlign w:val="center"/>
                </w:tcPr>
                <w:p w14:paraId="4FCD2AD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44</w:t>
                  </w:r>
                </w:p>
              </w:tc>
            </w:tr>
            <w:tr w14:paraId="33BC7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250" w:type="pct"/>
                  <w:vMerge w:val="continue"/>
                  <w:noWrap w:val="0"/>
                  <w:vAlign w:val="center"/>
                </w:tcPr>
                <w:p w14:paraId="5A9EA82C">
                  <w:pPr>
                    <w:keepNext w:val="0"/>
                    <w:keepLines w:val="0"/>
                    <w:widowControl/>
                    <w:suppressLineNumbers w:val="0"/>
                    <w:spacing w:before="0" w:beforeAutospacing="0" w:after="0" w:afterAutospacing="0"/>
                    <w:ind w:left="0" w:right="0"/>
                    <w:jc w:val="center"/>
                    <w:textAlignment w:val="center"/>
                    <w:rPr>
                      <w:rFonts w:hint="default"/>
                    </w:rPr>
                  </w:pPr>
                </w:p>
              </w:tc>
              <w:tc>
                <w:tcPr>
                  <w:tcW w:w="259" w:type="pct"/>
                  <w:vMerge w:val="continue"/>
                  <w:noWrap w:val="0"/>
                  <w:vAlign w:val="center"/>
                </w:tcPr>
                <w:p w14:paraId="6E8D9608">
                  <w:pPr>
                    <w:keepNext w:val="0"/>
                    <w:keepLines w:val="0"/>
                    <w:widowControl/>
                    <w:suppressLineNumbers w:val="0"/>
                    <w:spacing w:before="0" w:beforeAutospacing="0" w:after="0" w:afterAutospacing="0"/>
                    <w:ind w:left="0" w:right="0"/>
                    <w:jc w:val="center"/>
                    <w:textAlignment w:val="center"/>
                    <w:rPr>
                      <w:rFonts w:hint="default"/>
                    </w:rPr>
                  </w:pPr>
                </w:p>
              </w:tc>
              <w:tc>
                <w:tcPr>
                  <w:tcW w:w="403" w:type="pct"/>
                  <w:vMerge w:val="continue"/>
                  <w:noWrap w:val="0"/>
                  <w:vAlign w:val="center"/>
                </w:tcPr>
                <w:p w14:paraId="233DBD0C">
                  <w:pPr>
                    <w:keepNext w:val="0"/>
                    <w:keepLines w:val="0"/>
                    <w:widowControl/>
                    <w:suppressLineNumbers w:val="0"/>
                    <w:spacing w:before="0" w:beforeAutospacing="0" w:after="0" w:afterAutospacing="0"/>
                    <w:ind w:left="0" w:right="0"/>
                    <w:jc w:val="center"/>
                    <w:textAlignment w:val="center"/>
                    <w:rPr>
                      <w:rFonts w:hint="default"/>
                    </w:rPr>
                  </w:pPr>
                </w:p>
              </w:tc>
              <w:tc>
                <w:tcPr>
                  <w:tcW w:w="751" w:type="pct"/>
                  <w:vMerge w:val="continue"/>
                  <w:noWrap w:val="0"/>
                  <w:vAlign w:val="center"/>
                </w:tcPr>
                <w:p w14:paraId="0DFD550B">
                  <w:pPr>
                    <w:keepNext w:val="0"/>
                    <w:keepLines w:val="0"/>
                    <w:widowControl/>
                    <w:suppressLineNumbers w:val="0"/>
                    <w:spacing w:before="0" w:beforeAutospacing="0" w:after="0" w:afterAutospacing="0"/>
                    <w:ind w:left="0" w:right="0"/>
                    <w:jc w:val="center"/>
                    <w:textAlignment w:val="center"/>
                    <w:rPr>
                      <w:rFonts w:hint="default"/>
                    </w:rPr>
                  </w:pPr>
                </w:p>
              </w:tc>
              <w:tc>
                <w:tcPr>
                  <w:tcW w:w="403" w:type="pct"/>
                  <w:vMerge w:val="continue"/>
                  <w:noWrap w:val="0"/>
                  <w:vAlign w:val="center"/>
                </w:tcPr>
                <w:p w14:paraId="2F326485">
                  <w:pPr>
                    <w:keepNext w:val="0"/>
                    <w:keepLines w:val="0"/>
                    <w:widowControl/>
                    <w:suppressLineNumbers w:val="0"/>
                    <w:spacing w:before="0" w:beforeAutospacing="0" w:after="0" w:afterAutospacing="0"/>
                    <w:ind w:left="0" w:right="0"/>
                    <w:jc w:val="center"/>
                    <w:textAlignment w:val="center"/>
                    <w:rPr>
                      <w:rFonts w:hint="default"/>
                    </w:rPr>
                  </w:pPr>
                </w:p>
              </w:tc>
              <w:tc>
                <w:tcPr>
                  <w:tcW w:w="270" w:type="pct"/>
                  <w:vMerge w:val="continue"/>
                  <w:noWrap w:val="0"/>
                  <w:vAlign w:val="center"/>
                </w:tcPr>
                <w:p w14:paraId="6CA7B2B9">
                  <w:pPr>
                    <w:keepNext w:val="0"/>
                    <w:keepLines w:val="0"/>
                    <w:widowControl/>
                    <w:suppressLineNumbers w:val="0"/>
                    <w:spacing w:before="0" w:beforeAutospacing="0" w:after="0" w:afterAutospacing="0"/>
                    <w:ind w:left="0" w:right="0"/>
                    <w:jc w:val="center"/>
                    <w:textAlignment w:val="center"/>
                    <w:rPr>
                      <w:rFonts w:hint="default"/>
                    </w:rPr>
                  </w:pPr>
                </w:p>
              </w:tc>
              <w:tc>
                <w:tcPr>
                  <w:tcW w:w="270" w:type="pct"/>
                  <w:vMerge w:val="continue"/>
                  <w:noWrap w:val="0"/>
                  <w:vAlign w:val="center"/>
                </w:tcPr>
                <w:p w14:paraId="64C158EC">
                  <w:pPr>
                    <w:keepNext w:val="0"/>
                    <w:keepLines w:val="0"/>
                    <w:widowControl/>
                    <w:suppressLineNumbers w:val="0"/>
                    <w:spacing w:before="0" w:beforeAutospacing="0" w:after="0" w:afterAutospacing="0"/>
                    <w:ind w:left="0" w:right="0"/>
                    <w:jc w:val="center"/>
                    <w:textAlignment w:val="center"/>
                    <w:rPr>
                      <w:rFonts w:hint="default"/>
                    </w:rPr>
                  </w:pPr>
                </w:p>
              </w:tc>
              <w:tc>
                <w:tcPr>
                  <w:tcW w:w="307" w:type="pct"/>
                  <w:noWrap w:val="0"/>
                  <w:vAlign w:val="center"/>
                </w:tcPr>
                <w:p w14:paraId="6083767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68</w:t>
                  </w:r>
                </w:p>
              </w:tc>
              <w:tc>
                <w:tcPr>
                  <w:tcW w:w="296" w:type="pct"/>
                  <w:noWrap w:val="0"/>
                  <w:vAlign w:val="center"/>
                </w:tcPr>
                <w:p w14:paraId="733D7E3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28</w:t>
                  </w:r>
                </w:p>
              </w:tc>
              <w:tc>
                <w:tcPr>
                  <w:tcW w:w="277" w:type="pct"/>
                  <w:shd w:val="clear" w:color="auto" w:fill="auto"/>
                  <w:noWrap w:val="0"/>
                  <w:vAlign w:val="center"/>
                </w:tcPr>
                <w:p w14:paraId="739D07D6">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393" w:type="pct"/>
                  <w:noWrap w:val="0"/>
                  <w:vAlign w:val="center"/>
                </w:tcPr>
                <w:p w14:paraId="3784C8B6">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82</w:t>
                  </w:r>
                </w:p>
              </w:tc>
              <w:tc>
                <w:tcPr>
                  <w:tcW w:w="378" w:type="pct"/>
                  <w:noWrap w:val="0"/>
                  <w:vAlign w:val="center"/>
                </w:tcPr>
                <w:p w14:paraId="51E040C1">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28</w:t>
                  </w:r>
                </w:p>
              </w:tc>
              <w:tc>
                <w:tcPr>
                  <w:tcW w:w="348" w:type="pct"/>
                  <w:noWrap w:val="0"/>
                  <w:vAlign w:val="center"/>
                </w:tcPr>
                <w:p w14:paraId="4FB4A59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68</w:t>
                  </w:r>
                </w:p>
              </w:tc>
              <w:tc>
                <w:tcPr>
                  <w:tcW w:w="390" w:type="pct"/>
                  <w:noWrap w:val="0"/>
                  <w:vAlign w:val="center"/>
                </w:tcPr>
                <w:p w14:paraId="5248E7B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42</w:t>
                  </w:r>
                </w:p>
              </w:tc>
            </w:tr>
            <w:tr w14:paraId="7526E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250" w:type="pct"/>
                  <w:vMerge w:val="restart"/>
                  <w:noWrap w:val="0"/>
                  <w:vAlign w:val="center"/>
                </w:tcPr>
                <w:p w14:paraId="6274802A">
                  <w:pPr>
                    <w:keepNext w:val="0"/>
                    <w:keepLines w:val="0"/>
                    <w:widowControl/>
                    <w:suppressLineNumbers w:val="0"/>
                    <w:spacing w:before="0" w:beforeAutospacing="0" w:after="0" w:afterAutospacing="0" w:line="240" w:lineRule="auto"/>
                    <w:ind w:left="0" w:right="0"/>
                    <w:jc w:val="center"/>
                    <w:textAlignment w:val="bottom"/>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w:t>
                  </w:r>
                </w:p>
              </w:tc>
              <w:tc>
                <w:tcPr>
                  <w:tcW w:w="259" w:type="pct"/>
                  <w:vMerge w:val="restart"/>
                  <w:noWrap w:val="0"/>
                  <w:vAlign w:val="center"/>
                </w:tcPr>
                <w:p w14:paraId="5BE890B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拉管机</w:t>
                  </w:r>
                </w:p>
              </w:tc>
              <w:tc>
                <w:tcPr>
                  <w:tcW w:w="403" w:type="pct"/>
                  <w:vMerge w:val="restart"/>
                  <w:noWrap w:val="0"/>
                  <w:vAlign w:val="center"/>
                </w:tcPr>
                <w:p w14:paraId="0DF6881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w:t>
                  </w:r>
                </w:p>
              </w:tc>
              <w:tc>
                <w:tcPr>
                  <w:tcW w:w="751" w:type="pct"/>
                  <w:vMerge w:val="restart"/>
                  <w:noWrap w:val="0"/>
                  <w:vAlign w:val="center"/>
                </w:tcPr>
                <w:p w14:paraId="0466743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70</w:t>
                  </w:r>
                </w:p>
              </w:tc>
              <w:tc>
                <w:tcPr>
                  <w:tcW w:w="403" w:type="pct"/>
                  <w:vMerge w:val="continue"/>
                  <w:noWrap w:val="0"/>
                  <w:vAlign w:val="center"/>
                </w:tcPr>
                <w:p w14:paraId="6A0780F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p>
              </w:tc>
              <w:tc>
                <w:tcPr>
                  <w:tcW w:w="270" w:type="pct"/>
                  <w:vMerge w:val="continue"/>
                  <w:noWrap w:val="0"/>
                  <w:vAlign w:val="center"/>
                </w:tcPr>
                <w:p w14:paraId="68BDF79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p>
              </w:tc>
              <w:tc>
                <w:tcPr>
                  <w:tcW w:w="270" w:type="pct"/>
                  <w:vMerge w:val="restart"/>
                  <w:noWrap w:val="0"/>
                  <w:vAlign w:val="center"/>
                </w:tcPr>
                <w:p w14:paraId="11442DBC">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2</w:t>
                  </w:r>
                  <w:r>
                    <w:rPr>
                      <w:rFonts w:hint="eastAsia" w:ascii="Times New Roman" w:hAnsi="Times New Roman" w:eastAsia="宋体" w:cs="Times New Roman"/>
                      <w:b w:val="0"/>
                      <w:bCs w:val="0"/>
                      <w:color w:val="auto"/>
                      <w:kern w:val="2"/>
                      <w:sz w:val="21"/>
                      <w:szCs w:val="21"/>
                      <w:highlight w:val="none"/>
                      <w:lang w:val="en-US" w:eastAsia="zh-CN" w:bidi="ar-SA"/>
                    </w:rPr>
                    <w:t>#生产车间</w:t>
                  </w:r>
                </w:p>
              </w:tc>
              <w:tc>
                <w:tcPr>
                  <w:tcW w:w="307" w:type="pct"/>
                  <w:noWrap w:val="0"/>
                  <w:vAlign w:val="center"/>
                </w:tcPr>
                <w:p w14:paraId="4D87941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40</w:t>
                  </w:r>
                </w:p>
              </w:tc>
              <w:tc>
                <w:tcPr>
                  <w:tcW w:w="296" w:type="pct"/>
                  <w:noWrap w:val="0"/>
                  <w:vAlign w:val="center"/>
                </w:tcPr>
                <w:p w14:paraId="67579B1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32</w:t>
                  </w:r>
                </w:p>
              </w:tc>
              <w:tc>
                <w:tcPr>
                  <w:tcW w:w="277" w:type="pct"/>
                  <w:shd w:val="clear" w:color="auto" w:fill="auto"/>
                  <w:noWrap w:val="0"/>
                  <w:vAlign w:val="center"/>
                </w:tcPr>
                <w:p w14:paraId="49952360">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393" w:type="pct"/>
                  <w:noWrap w:val="0"/>
                  <w:vAlign w:val="center"/>
                </w:tcPr>
                <w:p w14:paraId="25C6FB5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110</w:t>
                  </w:r>
                </w:p>
              </w:tc>
              <w:tc>
                <w:tcPr>
                  <w:tcW w:w="378" w:type="pct"/>
                  <w:noWrap w:val="0"/>
                  <w:vAlign w:val="center"/>
                </w:tcPr>
                <w:p w14:paraId="1895AAB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32</w:t>
                  </w:r>
                </w:p>
              </w:tc>
              <w:tc>
                <w:tcPr>
                  <w:tcW w:w="348" w:type="pct"/>
                  <w:noWrap w:val="0"/>
                  <w:vAlign w:val="center"/>
                </w:tcPr>
                <w:p w14:paraId="507D9B5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40</w:t>
                  </w:r>
                </w:p>
              </w:tc>
              <w:tc>
                <w:tcPr>
                  <w:tcW w:w="390" w:type="pct"/>
                  <w:noWrap w:val="0"/>
                  <w:vAlign w:val="center"/>
                </w:tcPr>
                <w:p w14:paraId="03DC586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38</w:t>
                  </w:r>
                </w:p>
              </w:tc>
            </w:tr>
            <w:tr w14:paraId="3CE34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250" w:type="pct"/>
                  <w:vMerge w:val="continue"/>
                  <w:noWrap w:val="0"/>
                  <w:vAlign w:val="center"/>
                </w:tcPr>
                <w:p w14:paraId="42DA9883">
                  <w:pPr>
                    <w:keepNext w:val="0"/>
                    <w:keepLines w:val="0"/>
                    <w:widowControl/>
                    <w:suppressLineNumbers w:val="0"/>
                    <w:spacing w:before="0" w:beforeAutospacing="0" w:after="0" w:afterAutospacing="0"/>
                    <w:ind w:left="0" w:right="0"/>
                    <w:jc w:val="center"/>
                    <w:textAlignment w:val="center"/>
                    <w:rPr>
                      <w:rFonts w:hint="default"/>
                    </w:rPr>
                  </w:pPr>
                </w:p>
              </w:tc>
              <w:tc>
                <w:tcPr>
                  <w:tcW w:w="259" w:type="pct"/>
                  <w:vMerge w:val="continue"/>
                  <w:noWrap w:val="0"/>
                  <w:vAlign w:val="center"/>
                </w:tcPr>
                <w:p w14:paraId="45C901C6">
                  <w:pPr>
                    <w:keepNext w:val="0"/>
                    <w:keepLines w:val="0"/>
                    <w:widowControl/>
                    <w:suppressLineNumbers w:val="0"/>
                    <w:spacing w:before="0" w:beforeAutospacing="0" w:after="0" w:afterAutospacing="0"/>
                    <w:ind w:left="0" w:right="0"/>
                    <w:jc w:val="center"/>
                    <w:textAlignment w:val="center"/>
                    <w:rPr>
                      <w:rFonts w:hint="default"/>
                    </w:rPr>
                  </w:pPr>
                </w:p>
              </w:tc>
              <w:tc>
                <w:tcPr>
                  <w:tcW w:w="403" w:type="pct"/>
                  <w:vMerge w:val="continue"/>
                  <w:noWrap w:val="0"/>
                  <w:vAlign w:val="center"/>
                </w:tcPr>
                <w:p w14:paraId="5B4CC180">
                  <w:pPr>
                    <w:keepNext w:val="0"/>
                    <w:keepLines w:val="0"/>
                    <w:widowControl/>
                    <w:suppressLineNumbers w:val="0"/>
                    <w:spacing w:before="0" w:beforeAutospacing="0" w:after="0" w:afterAutospacing="0"/>
                    <w:ind w:left="0" w:right="0"/>
                    <w:jc w:val="center"/>
                    <w:textAlignment w:val="center"/>
                    <w:rPr>
                      <w:rFonts w:hint="default"/>
                    </w:rPr>
                  </w:pPr>
                </w:p>
              </w:tc>
              <w:tc>
                <w:tcPr>
                  <w:tcW w:w="751" w:type="pct"/>
                  <w:vMerge w:val="continue"/>
                  <w:noWrap w:val="0"/>
                  <w:vAlign w:val="center"/>
                </w:tcPr>
                <w:p w14:paraId="6774DADE">
                  <w:pPr>
                    <w:keepNext w:val="0"/>
                    <w:keepLines w:val="0"/>
                    <w:widowControl/>
                    <w:suppressLineNumbers w:val="0"/>
                    <w:spacing w:before="0" w:beforeAutospacing="0" w:after="0" w:afterAutospacing="0"/>
                    <w:ind w:left="0" w:right="0"/>
                    <w:jc w:val="center"/>
                    <w:textAlignment w:val="center"/>
                    <w:rPr>
                      <w:rFonts w:hint="default"/>
                    </w:rPr>
                  </w:pPr>
                </w:p>
              </w:tc>
              <w:tc>
                <w:tcPr>
                  <w:tcW w:w="403" w:type="pct"/>
                  <w:vMerge w:val="continue"/>
                  <w:noWrap w:val="0"/>
                  <w:vAlign w:val="center"/>
                </w:tcPr>
                <w:p w14:paraId="4890806F">
                  <w:pPr>
                    <w:keepNext w:val="0"/>
                    <w:keepLines w:val="0"/>
                    <w:widowControl/>
                    <w:suppressLineNumbers w:val="0"/>
                    <w:spacing w:before="0" w:beforeAutospacing="0" w:after="0" w:afterAutospacing="0"/>
                    <w:ind w:left="0" w:right="0"/>
                    <w:jc w:val="center"/>
                    <w:textAlignment w:val="center"/>
                    <w:rPr>
                      <w:rFonts w:hint="default"/>
                    </w:rPr>
                  </w:pPr>
                </w:p>
              </w:tc>
              <w:tc>
                <w:tcPr>
                  <w:tcW w:w="270" w:type="pct"/>
                  <w:vMerge w:val="continue"/>
                  <w:noWrap w:val="0"/>
                  <w:vAlign w:val="center"/>
                </w:tcPr>
                <w:p w14:paraId="2B3E7199">
                  <w:pPr>
                    <w:keepNext w:val="0"/>
                    <w:keepLines w:val="0"/>
                    <w:widowControl/>
                    <w:suppressLineNumbers w:val="0"/>
                    <w:spacing w:before="0" w:beforeAutospacing="0" w:after="0" w:afterAutospacing="0"/>
                    <w:ind w:left="0" w:right="0"/>
                    <w:jc w:val="center"/>
                    <w:textAlignment w:val="center"/>
                    <w:rPr>
                      <w:rFonts w:hint="default"/>
                    </w:rPr>
                  </w:pPr>
                </w:p>
              </w:tc>
              <w:tc>
                <w:tcPr>
                  <w:tcW w:w="270" w:type="pct"/>
                  <w:vMerge w:val="continue"/>
                  <w:noWrap w:val="0"/>
                  <w:vAlign w:val="center"/>
                </w:tcPr>
                <w:p w14:paraId="42A7E313">
                  <w:pPr>
                    <w:keepNext w:val="0"/>
                    <w:keepLines w:val="0"/>
                    <w:widowControl/>
                    <w:suppressLineNumbers w:val="0"/>
                    <w:spacing w:before="0" w:beforeAutospacing="0" w:after="0" w:afterAutospacing="0"/>
                    <w:ind w:left="0" w:right="0"/>
                    <w:jc w:val="center"/>
                    <w:textAlignment w:val="center"/>
                    <w:rPr>
                      <w:rFonts w:hint="default"/>
                    </w:rPr>
                  </w:pPr>
                </w:p>
              </w:tc>
              <w:tc>
                <w:tcPr>
                  <w:tcW w:w="307" w:type="pct"/>
                  <w:noWrap w:val="0"/>
                  <w:vAlign w:val="center"/>
                </w:tcPr>
                <w:p w14:paraId="3C0905D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45</w:t>
                  </w:r>
                </w:p>
              </w:tc>
              <w:tc>
                <w:tcPr>
                  <w:tcW w:w="296" w:type="pct"/>
                  <w:noWrap w:val="0"/>
                  <w:vAlign w:val="center"/>
                </w:tcPr>
                <w:p w14:paraId="0A33E95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32</w:t>
                  </w:r>
                </w:p>
              </w:tc>
              <w:tc>
                <w:tcPr>
                  <w:tcW w:w="277" w:type="pct"/>
                  <w:shd w:val="clear" w:color="auto" w:fill="auto"/>
                  <w:noWrap w:val="0"/>
                  <w:vAlign w:val="center"/>
                </w:tcPr>
                <w:p w14:paraId="51FCEDD2">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393" w:type="pct"/>
                  <w:noWrap w:val="0"/>
                  <w:vAlign w:val="center"/>
                </w:tcPr>
                <w:p w14:paraId="5ACC6A8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105</w:t>
                  </w:r>
                </w:p>
              </w:tc>
              <w:tc>
                <w:tcPr>
                  <w:tcW w:w="378" w:type="pct"/>
                  <w:noWrap w:val="0"/>
                  <w:vAlign w:val="center"/>
                </w:tcPr>
                <w:p w14:paraId="1077381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32</w:t>
                  </w:r>
                </w:p>
              </w:tc>
              <w:tc>
                <w:tcPr>
                  <w:tcW w:w="348" w:type="pct"/>
                  <w:noWrap w:val="0"/>
                  <w:vAlign w:val="center"/>
                </w:tcPr>
                <w:p w14:paraId="333A02B8">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45</w:t>
                  </w:r>
                </w:p>
              </w:tc>
              <w:tc>
                <w:tcPr>
                  <w:tcW w:w="390" w:type="pct"/>
                  <w:noWrap w:val="0"/>
                  <w:vAlign w:val="center"/>
                </w:tcPr>
                <w:p w14:paraId="206E933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38</w:t>
                  </w:r>
                </w:p>
              </w:tc>
            </w:tr>
            <w:tr w14:paraId="74CF8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250" w:type="pct"/>
                  <w:vMerge w:val="restart"/>
                  <w:noWrap w:val="0"/>
                  <w:vAlign w:val="center"/>
                </w:tcPr>
                <w:p w14:paraId="00B287F5">
                  <w:pPr>
                    <w:keepNext w:val="0"/>
                    <w:keepLines w:val="0"/>
                    <w:widowControl/>
                    <w:suppressLineNumbers w:val="0"/>
                    <w:spacing w:before="0" w:beforeAutospacing="0" w:after="0" w:afterAutospacing="0"/>
                    <w:ind w:left="0" w:right="0"/>
                    <w:jc w:val="center"/>
                    <w:textAlignment w:val="center"/>
                    <w:rPr>
                      <w:rFonts w:hint="default" w:eastAsia="宋体"/>
                      <w:sz w:val="21"/>
                      <w:szCs w:val="21"/>
                      <w:lang w:val="en-US" w:eastAsia="zh-CN"/>
                    </w:rPr>
                  </w:pPr>
                  <w:r>
                    <w:rPr>
                      <w:rFonts w:hint="eastAsia"/>
                      <w:sz w:val="21"/>
                      <w:szCs w:val="21"/>
                      <w:lang w:val="en-US" w:eastAsia="zh-CN"/>
                    </w:rPr>
                    <w:t>10</w:t>
                  </w:r>
                </w:p>
              </w:tc>
              <w:tc>
                <w:tcPr>
                  <w:tcW w:w="259" w:type="pct"/>
                  <w:vMerge w:val="restart"/>
                  <w:noWrap w:val="0"/>
                  <w:vAlign w:val="center"/>
                </w:tcPr>
                <w:p w14:paraId="63ECC217">
                  <w:pPr>
                    <w:keepNext w:val="0"/>
                    <w:keepLines w:val="0"/>
                    <w:widowControl/>
                    <w:suppressLineNumbers w:val="0"/>
                    <w:spacing w:before="0" w:beforeAutospacing="0" w:after="0" w:afterAutospacing="0"/>
                    <w:ind w:left="0" w:right="0"/>
                    <w:jc w:val="center"/>
                    <w:textAlignment w:val="center"/>
                    <w:rPr>
                      <w:rFonts w:hint="eastAsia" w:eastAsia="宋体"/>
                      <w:sz w:val="21"/>
                      <w:szCs w:val="21"/>
                      <w:lang w:val="en-US" w:eastAsia="zh-CN"/>
                    </w:rPr>
                  </w:pPr>
                  <w:r>
                    <w:rPr>
                      <w:rFonts w:hint="eastAsia"/>
                      <w:sz w:val="21"/>
                      <w:szCs w:val="21"/>
                      <w:lang w:val="en-US" w:eastAsia="zh-CN"/>
                    </w:rPr>
                    <w:t>拉板机</w:t>
                  </w:r>
                </w:p>
              </w:tc>
              <w:tc>
                <w:tcPr>
                  <w:tcW w:w="403" w:type="pct"/>
                  <w:vMerge w:val="restart"/>
                  <w:noWrap w:val="0"/>
                  <w:vAlign w:val="center"/>
                </w:tcPr>
                <w:p w14:paraId="77386D0B">
                  <w:pPr>
                    <w:keepNext w:val="0"/>
                    <w:keepLines w:val="0"/>
                    <w:widowControl/>
                    <w:suppressLineNumbers w:val="0"/>
                    <w:spacing w:before="0" w:beforeAutospacing="0" w:after="0" w:afterAutospacing="0"/>
                    <w:ind w:left="0" w:right="0"/>
                    <w:jc w:val="center"/>
                    <w:textAlignment w:val="center"/>
                    <w:rPr>
                      <w:rFonts w:hint="eastAsia" w:eastAsia="宋体"/>
                      <w:sz w:val="21"/>
                      <w:szCs w:val="21"/>
                      <w:lang w:val="en-US" w:eastAsia="zh-CN"/>
                    </w:rPr>
                  </w:pPr>
                  <w:r>
                    <w:rPr>
                      <w:rFonts w:hint="eastAsia"/>
                      <w:sz w:val="21"/>
                      <w:szCs w:val="21"/>
                      <w:lang w:val="en-US" w:eastAsia="zh-CN"/>
                    </w:rPr>
                    <w:t>2</w:t>
                  </w:r>
                </w:p>
              </w:tc>
              <w:tc>
                <w:tcPr>
                  <w:tcW w:w="751" w:type="pct"/>
                  <w:vMerge w:val="restart"/>
                  <w:noWrap w:val="0"/>
                  <w:vAlign w:val="center"/>
                </w:tcPr>
                <w:p w14:paraId="7325C58A">
                  <w:pPr>
                    <w:keepNext w:val="0"/>
                    <w:keepLines w:val="0"/>
                    <w:widowControl/>
                    <w:suppressLineNumbers w:val="0"/>
                    <w:spacing w:before="0" w:beforeAutospacing="0" w:after="0" w:afterAutospacing="0"/>
                    <w:ind w:left="0" w:right="0"/>
                    <w:jc w:val="center"/>
                    <w:textAlignment w:val="center"/>
                    <w:rPr>
                      <w:rFonts w:hint="default" w:eastAsia="宋体"/>
                      <w:sz w:val="21"/>
                      <w:szCs w:val="21"/>
                      <w:lang w:val="en-US" w:eastAsia="zh-CN"/>
                    </w:rPr>
                  </w:pPr>
                  <w:r>
                    <w:rPr>
                      <w:rFonts w:hint="eastAsia"/>
                      <w:sz w:val="21"/>
                      <w:szCs w:val="21"/>
                      <w:lang w:val="en-US" w:eastAsia="zh-CN"/>
                    </w:rPr>
                    <w:t>75</w:t>
                  </w:r>
                </w:p>
              </w:tc>
              <w:tc>
                <w:tcPr>
                  <w:tcW w:w="403" w:type="pct"/>
                  <w:vMerge w:val="continue"/>
                  <w:noWrap w:val="0"/>
                  <w:vAlign w:val="center"/>
                </w:tcPr>
                <w:p w14:paraId="5FB8F70B">
                  <w:pPr>
                    <w:keepNext w:val="0"/>
                    <w:keepLines w:val="0"/>
                    <w:widowControl/>
                    <w:suppressLineNumbers w:val="0"/>
                    <w:spacing w:before="0" w:beforeAutospacing="0" w:after="0" w:afterAutospacing="0"/>
                    <w:ind w:left="0" w:right="0"/>
                    <w:jc w:val="center"/>
                    <w:textAlignment w:val="center"/>
                    <w:rPr>
                      <w:rFonts w:hint="default"/>
                      <w:sz w:val="21"/>
                      <w:szCs w:val="21"/>
                    </w:rPr>
                  </w:pPr>
                </w:p>
              </w:tc>
              <w:tc>
                <w:tcPr>
                  <w:tcW w:w="270" w:type="pct"/>
                  <w:vMerge w:val="continue"/>
                  <w:noWrap w:val="0"/>
                  <w:vAlign w:val="center"/>
                </w:tcPr>
                <w:p w14:paraId="239BF53F">
                  <w:pPr>
                    <w:keepNext w:val="0"/>
                    <w:keepLines w:val="0"/>
                    <w:widowControl/>
                    <w:suppressLineNumbers w:val="0"/>
                    <w:spacing w:before="0" w:beforeAutospacing="0" w:after="0" w:afterAutospacing="0"/>
                    <w:ind w:left="0" w:right="0"/>
                    <w:jc w:val="center"/>
                    <w:textAlignment w:val="center"/>
                    <w:rPr>
                      <w:rFonts w:hint="default"/>
                      <w:sz w:val="21"/>
                      <w:szCs w:val="21"/>
                    </w:rPr>
                  </w:pPr>
                </w:p>
              </w:tc>
              <w:tc>
                <w:tcPr>
                  <w:tcW w:w="270" w:type="pct"/>
                  <w:vMerge w:val="restart"/>
                  <w:noWrap w:val="0"/>
                  <w:vAlign w:val="center"/>
                </w:tcPr>
                <w:p w14:paraId="5826B907">
                  <w:pPr>
                    <w:keepNext w:val="0"/>
                    <w:keepLines w:val="0"/>
                    <w:widowControl/>
                    <w:suppressLineNumbers w:val="0"/>
                    <w:spacing w:before="0" w:beforeAutospacing="0" w:after="0" w:afterAutospacing="0"/>
                    <w:ind w:left="0" w:right="0"/>
                    <w:jc w:val="center"/>
                    <w:textAlignment w:val="center"/>
                    <w:rPr>
                      <w:rFonts w:hint="default"/>
                      <w:sz w:val="21"/>
                      <w:szCs w:val="21"/>
                    </w:rPr>
                  </w:pPr>
                  <w:r>
                    <w:rPr>
                      <w:rFonts w:hint="eastAsia" w:cs="Times New Roman"/>
                      <w:b w:val="0"/>
                      <w:bCs w:val="0"/>
                      <w:color w:val="auto"/>
                      <w:kern w:val="2"/>
                      <w:sz w:val="21"/>
                      <w:szCs w:val="21"/>
                      <w:highlight w:val="none"/>
                      <w:lang w:val="en-US" w:eastAsia="zh-CN" w:bidi="ar-SA"/>
                    </w:rPr>
                    <w:t>2</w:t>
                  </w:r>
                  <w:r>
                    <w:rPr>
                      <w:rFonts w:hint="eastAsia" w:ascii="Times New Roman" w:hAnsi="Times New Roman" w:eastAsia="宋体" w:cs="Times New Roman"/>
                      <w:b w:val="0"/>
                      <w:bCs w:val="0"/>
                      <w:color w:val="auto"/>
                      <w:kern w:val="2"/>
                      <w:sz w:val="21"/>
                      <w:szCs w:val="21"/>
                      <w:highlight w:val="none"/>
                      <w:lang w:val="en-US" w:eastAsia="zh-CN" w:bidi="ar-SA"/>
                    </w:rPr>
                    <w:t>#生产车间</w:t>
                  </w:r>
                </w:p>
              </w:tc>
              <w:tc>
                <w:tcPr>
                  <w:tcW w:w="307" w:type="pct"/>
                  <w:noWrap w:val="0"/>
                  <w:vAlign w:val="center"/>
                </w:tcPr>
                <w:p w14:paraId="172EB99E">
                  <w:pPr>
                    <w:keepNext w:val="0"/>
                    <w:keepLines w:val="0"/>
                    <w:widowControl/>
                    <w:suppressLineNumbers w:val="0"/>
                    <w:jc w:val="center"/>
                    <w:textAlignment w:val="center"/>
                    <w:rPr>
                      <w:rFonts w:hint="default"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296" w:type="pct"/>
                  <w:noWrap w:val="0"/>
                  <w:vAlign w:val="center"/>
                </w:tcPr>
                <w:p w14:paraId="1D01C46A">
                  <w:pPr>
                    <w:keepNext w:val="0"/>
                    <w:keepLines w:val="0"/>
                    <w:widowControl/>
                    <w:suppressLineNumbers w:val="0"/>
                    <w:jc w:val="center"/>
                    <w:textAlignment w:val="center"/>
                    <w:rPr>
                      <w:rFonts w:hint="default"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28</w:t>
                  </w:r>
                </w:p>
              </w:tc>
              <w:tc>
                <w:tcPr>
                  <w:tcW w:w="277" w:type="pct"/>
                  <w:shd w:val="clear" w:color="auto" w:fill="auto"/>
                  <w:noWrap w:val="0"/>
                  <w:vAlign w:val="center"/>
                </w:tcPr>
                <w:p w14:paraId="3B385C1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393" w:type="pct"/>
                  <w:noWrap w:val="0"/>
                  <w:vAlign w:val="center"/>
                </w:tcPr>
                <w:p w14:paraId="62F5497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378" w:type="pct"/>
                  <w:noWrap w:val="0"/>
                  <w:vAlign w:val="center"/>
                </w:tcPr>
                <w:p w14:paraId="4E5EF47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28</w:t>
                  </w:r>
                </w:p>
              </w:tc>
              <w:tc>
                <w:tcPr>
                  <w:tcW w:w="348" w:type="pct"/>
                  <w:noWrap w:val="0"/>
                  <w:vAlign w:val="center"/>
                </w:tcPr>
                <w:p w14:paraId="4B9D39C7">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390" w:type="pct"/>
                  <w:noWrap w:val="0"/>
                  <w:vAlign w:val="center"/>
                </w:tcPr>
                <w:p w14:paraId="03B0475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42</w:t>
                  </w:r>
                </w:p>
              </w:tc>
            </w:tr>
            <w:tr w14:paraId="29F53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jc w:val="center"/>
              </w:trPr>
              <w:tc>
                <w:tcPr>
                  <w:tcW w:w="250" w:type="pct"/>
                  <w:vMerge w:val="continue"/>
                  <w:noWrap w:val="0"/>
                  <w:vAlign w:val="center"/>
                </w:tcPr>
                <w:p w14:paraId="3281F4F0">
                  <w:pPr>
                    <w:keepNext w:val="0"/>
                    <w:keepLines w:val="0"/>
                    <w:widowControl/>
                    <w:suppressLineNumbers w:val="0"/>
                    <w:jc w:val="center"/>
                    <w:textAlignment w:val="center"/>
                    <w:rPr>
                      <w:sz w:val="21"/>
                      <w:szCs w:val="21"/>
                    </w:rPr>
                  </w:pPr>
                </w:p>
              </w:tc>
              <w:tc>
                <w:tcPr>
                  <w:tcW w:w="259" w:type="pct"/>
                  <w:vMerge w:val="continue"/>
                  <w:noWrap w:val="0"/>
                  <w:vAlign w:val="center"/>
                </w:tcPr>
                <w:p w14:paraId="528CC31A">
                  <w:pPr>
                    <w:keepNext w:val="0"/>
                    <w:keepLines w:val="0"/>
                    <w:widowControl/>
                    <w:suppressLineNumbers w:val="0"/>
                    <w:jc w:val="center"/>
                    <w:textAlignment w:val="center"/>
                    <w:rPr>
                      <w:sz w:val="21"/>
                      <w:szCs w:val="21"/>
                    </w:rPr>
                  </w:pPr>
                </w:p>
              </w:tc>
              <w:tc>
                <w:tcPr>
                  <w:tcW w:w="403" w:type="pct"/>
                  <w:vMerge w:val="continue"/>
                  <w:noWrap w:val="0"/>
                  <w:vAlign w:val="center"/>
                </w:tcPr>
                <w:p w14:paraId="169AE6EC">
                  <w:pPr>
                    <w:keepNext w:val="0"/>
                    <w:keepLines w:val="0"/>
                    <w:widowControl/>
                    <w:suppressLineNumbers w:val="0"/>
                    <w:jc w:val="center"/>
                    <w:textAlignment w:val="center"/>
                    <w:rPr>
                      <w:sz w:val="21"/>
                      <w:szCs w:val="21"/>
                    </w:rPr>
                  </w:pPr>
                </w:p>
              </w:tc>
              <w:tc>
                <w:tcPr>
                  <w:tcW w:w="751" w:type="pct"/>
                  <w:vMerge w:val="continue"/>
                  <w:noWrap w:val="0"/>
                  <w:vAlign w:val="center"/>
                </w:tcPr>
                <w:p w14:paraId="4F033599">
                  <w:pPr>
                    <w:keepNext w:val="0"/>
                    <w:keepLines w:val="0"/>
                    <w:widowControl/>
                    <w:suppressLineNumbers w:val="0"/>
                    <w:jc w:val="center"/>
                    <w:textAlignment w:val="center"/>
                    <w:rPr>
                      <w:sz w:val="21"/>
                      <w:szCs w:val="21"/>
                    </w:rPr>
                  </w:pPr>
                </w:p>
              </w:tc>
              <w:tc>
                <w:tcPr>
                  <w:tcW w:w="403" w:type="pct"/>
                  <w:vMerge w:val="continue"/>
                  <w:noWrap w:val="0"/>
                  <w:vAlign w:val="center"/>
                </w:tcPr>
                <w:p w14:paraId="319F8E08">
                  <w:pPr>
                    <w:keepNext w:val="0"/>
                    <w:keepLines w:val="0"/>
                    <w:widowControl/>
                    <w:suppressLineNumbers w:val="0"/>
                    <w:jc w:val="center"/>
                    <w:textAlignment w:val="center"/>
                    <w:rPr>
                      <w:sz w:val="21"/>
                      <w:szCs w:val="21"/>
                    </w:rPr>
                  </w:pPr>
                </w:p>
              </w:tc>
              <w:tc>
                <w:tcPr>
                  <w:tcW w:w="270" w:type="pct"/>
                  <w:vMerge w:val="continue"/>
                  <w:noWrap w:val="0"/>
                  <w:vAlign w:val="center"/>
                </w:tcPr>
                <w:p w14:paraId="0F341929">
                  <w:pPr>
                    <w:keepNext w:val="0"/>
                    <w:keepLines w:val="0"/>
                    <w:widowControl/>
                    <w:suppressLineNumbers w:val="0"/>
                    <w:jc w:val="center"/>
                    <w:textAlignment w:val="center"/>
                    <w:rPr>
                      <w:sz w:val="21"/>
                      <w:szCs w:val="21"/>
                    </w:rPr>
                  </w:pPr>
                </w:p>
              </w:tc>
              <w:tc>
                <w:tcPr>
                  <w:tcW w:w="270" w:type="pct"/>
                  <w:vMerge w:val="continue"/>
                  <w:noWrap w:val="0"/>
                  <w:vAlign w:val="center"/>
                </w:tcPr>
                <w:p w14:paraId="3A48DDAB">
                  <w:pPr>
                    <w:keepNext w:val="0"/>
                    <w:keepLines w:val="0"/>
                    <w:widowControl/>
                    <w:suppressLineNumbers w:val="0"/>
                    <w:jc w:val="center"/>
                    <w:textAlignment w:val="center"/>
                    <w:rPr>
                      <w:sz w:val="21"/>
                      <w:szCs w:val="21"/>
                    </w:rPr>
                  </w:pPr>
                </w:p>
              </w:tc>
              <w:tc>
                <w:tcPr>
                  <w:tcW w:w="307" w:type="pct"/>
                  <w:noWrap w:val="0"/>
                  <w:vAlign w:val="center"/>
                </w:tcPr>
                <w:p w14:paraId="64D219C4">
                  <w:pPr>
                    <w:keepNext w:val="0"/>
                    <w:keepLines w:val="0"/>
                    <w:widowControl/>
                    <w:suppressLineNumbers w:val="0"/>
                    <w:jc w:val="center"/>
                    <w:textAlignment w:val="center"/>
                    <w:rPr>
                      <w:rFonts w:hint="default"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55</w:t>
                  </w:r>
                </w:p>
              </w:tc>
              <w:tc>
                <w:tcPr>
                  <w:tcW w:w="296" w:type="pct"/>
                  <w:noWrap w:val="0"/>
                  <w:vAlign w:val="center"/>
                </w:tcPr>
                <w:p w14:paraId="2A6C6F94">
                  <w:pPr>
                    <w:keepNext w:val="0"/>
                    <w:keepLines w:val="0"/>
                    <w:widowControl/>
                    <w:suppressLineNumbers w:val="0"/>
                    <w:jc w:val="center"/>
                    <w:textAlignment w:val="center"/>
                    <w:rPr>
                      <w:rFonts w:hint="default"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277" w:type="pct"/>
                  <w:shd w:val="clear" w:color="auto" w:fill="auto"/>
                  <w:noWrap w:val="0"/>
                  <w:vAlign w:val="center"/>
                </w:tcPr>
                <w:p w14:paraId="5A96F829">
                  <w:pPr>
                    <w:keepNext w:val="0"/>
                    <w:keepLines w:val="0"/>
                    <w:widowControl/>
                    <w:suppressLineNumbers w:val="0"/>
                    <w:jc w:val="center"/>
                    <w:textAlignment w:val="center"/>
                    <w:rPr>
                      <w:rFonts w:hint="default"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393" w:type="pct"/>
                  <w:noWrap w:val="0"/>
                  <w:vAlign w:val="center"/>
                </w:tcPr>
                <w:p w14:paraId="0BDD4BDC">
                  <w:pPr>
                    <w:keepNext w:val="0"/>
                    <w:keepLines w:val="0"/>
                    <w:widowControl/>
                    <w:suppressLineNumbers w:val="0"/>
                    <w:jc w:val="center"/>
                    <w:textAlignment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95</w:t>
                  </w:r>
                </w:p>
              </w:tc>
              <w:tc>
                <w:tcPr>
                  <w:tcW w:w="378" w:type="pct"/>
                  <w:noWrap w:val="0"/>
                  <w:vAlign w:val="center"/>
                </w:tcPr>
                <w:p w14:paraId="681981FE">
                  <w:pPr>
                    <w:keepNext w:val="0"/>
                    <w:keepLines w:val="0"/>
                    <w:widowControl/>
                    <w:suppressLineNumbers w:val="0"/>
                    <w:jc w:val="center"/>
                    <w:textAlignment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348" w:type="pct"/>
                  <w:noWrap w:val="0"/>
                  <w:vAlign w:val="center"/>
                </w:tcPr>
                <w:p w14:paraId="1D572A61">
                  <w:pPr>
                    <w:keepNext w:val="0"/>
                    <w:keepLines w:val="0"/>
                    <w:widowControl/>
                    <w:suppressLineNumbers w:val="0"/>
                    <w:jc w:val="center"/>
                    <w:textAlignment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55</w:t>
                  </w:r>
                </w:p>
              </w:tc>
              <w:tc>
                <w:tcPr>
                  <w:tcW w:w="390" w:type="pct"/>
                  <w:noWrap w:val="0"/>
                  <w:vAlign w:val="center"/>
                </w:tcPr>
                <w:p w14:paraId="7048570D">
                  <w:pPr>
                    <w:keepNext w:val="0"/>
                    <w:keepLines w:val="0"/>
                    <w:widowControl/>
                    <w:suppressLineNumbers w:val="0"/>
                    <w:jc w:val="center"/>
                    <w:textAlignment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40</w:t>
                  </w:r>
                </w:p>
              </w:tc>
            </w:tr>
            <w:tr w14:paraId="3471A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250" w:type="pct"/>
                  <w:noWrap w:val="0"/>
                  <w:vAlign w:val="center"/>
                </w:tcPr>
                <w:p w14:paraId="397760F6">
                  <w:pPr>
                    <w:keepNext w:val="0"/>
                    <w:keepLines w:val="0"/>
                    <w:widowControl/>
                    <w:suppressLineNumbers w:val="0"/>
                    <w:spacing w:before="0" w:beforeAutospacing="0" w:after="0" w:afterAutospacing="0"/>
                    <w:ind w:left="0" w:right="0"/>
                    <w:jc w:val="center"/>
                    <w:textAlignment w:val="center"/>
                    <w:rPr>
                      <w:rFonts w:hint="default" w:eastAsia="宋体"/>
                      <w:sz w:val="21"/>
                      <w:szCs w:val="21"/>
                      <w:lang w:val="en-US" w:eastAsia="zh-CN"/>
                    </w:rPr>
                  </w:pPr>
                  <w:r>
                    <w:rPr>
                      <w:rFonts w:hint="eastAsia"/>
                      <w:sz w:val="21"/>
                      <w:szCs w:val="21"/>
                      <w:lang w:val="en-US" w:eastAsia="zh-CN"/>
                    </w:rPr>
                    <w:t>11</w:t>
                  </w:r>
                </w:p>
              </w:tc>
              <w:tc>
                <w:tcPr>
                  <w:tcW w:w="259" w:type="pct"/>
                  <w:noWrap w:val="0"/>
                  <w:vAlign w:val="center"/>
                </w:tcPr>
                <w:p w14:paraId="6ED05628">
                  <w:pPr>
                    <w:keepNext w:val="0"/>
                    <w:keepLines w:val="0"/>
                    <w:widowControl/>
                    <w:suppressLineNumbers w:val="0"/>
                    <w:spacing w:before="0" w:beforeAutospacing="0" w:after="0" w:afterAutospacing="0"/>
                    <w:ind w:left="0" w:right="0"/>
                    <w:jc w:val="center"/>
                    <w:textAlignment w:val="center"/>
                    <w:rPr>
                      <w:rFonts w:hint="eastAsia" w:eastAsia="宋体"/>
                      <w:sz w:val="21"/>
                      <w:szCs w:val="21"/>
                      <w:lang w:val="en-US" w:eastAsia="zh-CN"/>
                    </w:rPr>
                  </w:pPr>
                  <w:r>
                    <w:rPr>
                      <w:rFonts w:hint="eastAsia"/>
                      <w:sz w:val="21"/>
                      <w:szCs w:val="21"/>
                      <w:lang w:val="en-US" w:eastAsia="zh-CN"/>
                    </w:rPr>
                    <w:t>切边机</w:t>
                  </w:r>
                </w:p>
              </w:tc>
              <w:tc>
                <w:tcPr>
                  <w:tcW w:w="403" w:type="pct"/>
                  <w:noWrap w:val="0"/>
                  <w:vAlign w:val="center"/>
                </w:tcPr>
                <w:p w14:paraId="1399C6A9">
                  <w:pPr>
                    <w:keepNext w:val="0"/>
                    <w:keepLines w:val="0"/>
                    <w:widowControl/>
                    <w:suppressLineNumbers w:val="0"/>
                    <w:spacing w:before="0" w:beforeAutospacing="0" w:after="0" w:afterAutospacing="0"/>
                    <w:ind w:left="0" w:right="0"/>
                    <w:jc w:val="center"/>
                    <w:textAlignment w:val="center"/>
                    <w:rPr>
                      <w:rFonts w:hint="eastAsia" w:eastAsia="宋体"/>
                      <w:sz w:val="21"/>
                      <w:szCs w:val="21"/>
                      <w:lang w:val="en-US" w:eastAsia="zh-CN"/>
                    </w:rPr>
                  </w:pPr>
                  <w:r>
                    <w:rPr>
                      <w:rFonts w:hint="eastAsia"/>
                      <w:sz w:val="21"/>
                      <w:szCs w:val="21"/>
                      <w:lang w:val="en-US" w:eastAsia="zh-CN"/>
                    </w:rPr>
                    <w:t>1</w:t>
                  </w:r>
                </w:p>
              </w:tc>
              <w:tc>
                <w:tcPr>
                  <w:tcW w:w="751" w:type="pct"/>
                  <w:noWrap w:val="0"/>
                  <w:vAlign w:val="center"/>
                </w:tcPr>
                <w:p w14:paraId="09814F40">
                  <w:pPr>
                    <w:keepNext w:val="0"/>
                    <w:keepLines w:val="0"/>
                    <w:widowControl/>
                    <w:suppressLineNumbers w:val="0"/>
                    <w:spacing w:before="0" w:beforeAutospacing="0" w:after="0" w:afterAutospacing="0"/>
                    <w:ind w:left="0" w:right="0"/>
                    <w:jc w:val="center"/>
                    <w:textAlignment w:val="center"/>
                    <w:rPr>
                      <w:rFonts w:hint="default" w:eastAsia="宋体"/>
                      <w:sz w:val="21"/>
                      <w:szCs w:val="21"/>
                      <w:lang w:val="en-US" w:eastAsia="zh-CN"/>
                    </w:rPr>
                  </w:pPr>
                  <w:r>
                    <w:rPr>
                      <w:rFonts w:hint="eastAsia"/>
                      <w:sz w:val="21"/>
                      <w:szCs w:val="21"/>
                      <w:lang w:val="en-US" w:eastAsia="zh-CN"/>
                    </w:rPr>
                    <w:t>80</w:t>
                  </w:r>
                </w:p>
              </w:tc>
              <w:tc>
                <w:tcPr>
                  <w:tcW w:w="403" w:type="pct"/>
                  <w:vMerge w:val="continue"/>
                  <w:noWrap w:val="0"/>
                  <w:vAlign w:val="center"/>
                </w:tcPr>
                <w:p w14:paraId="57B0B6E8">
                  <w:pPr>
                    <w:keepNext w:val="0"/>
                    <w:keepLines w:val="0"/>
                    <w:widowControl/>
                    <w:suppressLineNumbers w:val="0"/>
                    <w:spacing w:before="0" w:beforeAutospacing="0" w:after="0" w:afterAutospacing="0"/>
                    <w:ind w:left="0" w:right="0"/>
                    <w:jc w:val="center"/>
                    <w:textAlignment w:val="center"/>
                    <w:rPr>
                      <w:rFonts w:hint="default"/>
                      <w:sz w:val="21"/>
                      <w:szCs w:val="21"/>
                    </w:rPr>
                  </w:pPr>
                </w:p>
              </w:tc>
              <w:tc>
                <w:tcPr>
                  <w:tcW w:w="270" w:type="pct"/>
                  <w:vMerge w:val="continue"/>
                  <w:noWrap w:val="0"/>
                  <w:vAlign w:val="center"/>
                </w:tcPr>
                <w:p w14:paraId="3D481572">
                  <w:pPr>
                    <w:keepNext w:val="0"/>
                    <w:keepLines w:val="0"/>
                    <w:widowControl/>
                    <w:suppressLineNumbers w:val="0"/>
                    <w:spacing w:before="0" w:beforeAutospacing="0" w:after="0" w:afterAutospacing="0"/>
                    <w:ind w:left="0" w:right="0"/>
                    <w:jc w:val="center"/>
                    <w:textAlignment w:val="center"/>
                    <w:rPr>
                      <w:rFonts w:hint="default"/>
                      <w:sz w:val="21"/>
                      <w:szCs w:val="21"/>
                    </w:rPr>
                  </w:pPr>
                </w:p>
              </w:tc>
              <w:tc>
                <w:tcPr>
                  <w:tcW w:w="270" w:type="pct"/>
                  <w:noWrap w:val="0"/>
                  <w:vAlign w:val="center"/>
                </w:tcPr>
                <w:p w14:paraId="2D3BDE9F">
                  <w:pPr>
                    <w:keepNext w:val="0"/>
                    <w:keepLines w:val="0"/>
                    <w:widowControl/>
                    <w:suppressLineNumbers w:val="0"/>
                    <w:spacing w:before="0" w:beforeAutospacing="0" w:after="0" w:afterAutospacing="0"/>
                    <w:ind w:left="0" w:right="0"/>
                    <w:jc w:val="center"/>
                    <w:textAlignment w:val="center"/>
                    <w:rPr>
                      <w:rFonts w:hint="default"/>
                      <w:sz w:val="21"/>
                      <w:szCs w:val="21"/>
                    </w:rPr>
                  </w:pPr>
                  <w:r>
                    <w:rPr>
                      <w:rFonts w:hint="eastAsia" w:cs="Times New Roman"/>
                      <w:b w:val="0"/>
                      <w:bCs w:val="0"/>
                      <w:color w:val="auto"/>
                      <w:kern w:val="2"/>
                      <w:sz w:val="21"/>
                      <w:szCs w:val="21"/>
                      <w:highlight w:val="none"/>
                      <w:lang w:val="en-US" w:eastAsia="zh-CN" w:bidi="ar-SA"/>
                    </w:rPr>
                    <w:t>2</w:t>
                  </w:r>
                  <w:r>
                    <w:rPr>
                      <w:rFonts w:hint="eastAsia" w:ascii="Times New Roman" w:hAnsi="Times New Roman" w:eastAsia="宋体" w:cs="Times New Roman"/>
                      <w:b w:val="0"/>
                      <w:bCs w:val="0"/>
                      <w:color w:val="auto"/>
                      <w:kern w:val="2"/>
                      <w:sz w:val="21"/>
                      <w:szCs w:val="21"/>
                      <w:highlight w:val="none"/>
                      <w:lang w:val="en-US" w:eastAsia="zh-CN" w:bidi="ar-SA"/>
                    </w:rPr>
                    <w:t>#生产车间</w:t>
                  </w:r>
                </w:p>
              </w:tc>
              <w:tc>
                <w:tcPr>
                  <w:tcW w:w="307" w:type="pct"/>
                  <w:noWrap w:val="0"/>
                  <w:vAlign w:val="center"/>
                </w:tcPr>
                <w:p w14:paraId="0E3557E6">
                  <w:pPr>
                    <w:keepNext w:val="0"/>
                    <w:keepLines w:val="0"/>
                    <w:widowControl/>
                    <w:suppressLineNumbers w:val="0"/>
                    <w:jc w:val="center"/>
                    <w:textAlignment w:val="center"/>
                    <w:rPr>
                      <w:rFonts w:hint="default"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34</w:t>
                  </w:r>
                </w:p>
              </w:tc>
              <w:tc>
                <w:tcPr>
                  <w:tcW w:w="296" w:type="pct"/>
                  <w:noWrap w:val="0"/>
                  <w:vAlign w:val="center"/>
                </w:tcPr>
                <w:p w14:paraId="5C0B61F4">
                  <w:pPr>
                    <w:keepNext w:val="0"/>
                    <w:keepLines w:val="0"/>
                    <w:widowControl/>
                    <w:suppressLineNumbers w:val="0"/>
                    <w:jc w:val="center"/>
                    <w:textAlignment w:val="center"/>
                    <w:rPr>
                      <w:rFonts w:hint="default"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24</w:t>
                  </w:r>
                </w:p>
              </w:tc>
              <w:tc>
                <w:tcPr>
                  <w:tcW w:w="277" w:type="pct"/>
                  <w:shd w:val="clear" w:color="auto" w:fill="auto"/>
                  <w:noWrap w:val="0"/>
                  <w:vAlign w:val="center"/>
                </w:tcPr>
                <w:p w14:paraId="2D083DE0">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393" w:type="pct"/>
                  <w:noWrap w:val="0"/>
                  <w:vAlign w:val="center"/>
                </w:tcPr>
                <w:p w14:paraId="6ECA116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116</w:t>
                  </w:r>
                </w:p>
              </w:tc>
              <w:tc>
                <w:tcPr>
                  <w:tcW w:w="378" w:type="pct"/>
                  <w:noWrap w:val="0"/>
                  <w:vAlign w:val="center"/>
                </w:tcPr>
                <w:p w14:paraId="001292F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24</w:t>
                  </w:r>
                </w:p>
              </w:tc>
              <w:tc>
                <w:tcPr>
                  <w:tcW w:w="348" w:type="pct"/>
                  <w:noWrap w:val="0"/>
                  <w:vAlign w:val="center"/>
                </w:tcPr>
                <w:p w14:paraId="1F5E79D9">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34</w:t>
                  </w:r>
                </w:p>
              </w:tc>
              <w:tc>
                <w:tcPr>
                  <w:tcW w:w="390" w:type="pct"/>
                  <w:noWrap w:val="0"/>
                  <w:vAlign w:val="center"/>
                </w:tcPr>
                <w:p w14:paraId="5AEDB7E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46</w:t>
                  </w:r>
                </w:p>
              </w:tc>
            </w:tr>
            <w:tr w14:paraId="3AC97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250" w:type="pct"/>
                  <w:noWrap w:val="0"/>
                  <w:vAlign w:val="center"/>
                </w:tcPr>
                <w:p w14:paraId="56A806C4">
                  <w:pPr>
                    <w:keepNext w:val="0"/>
                    <w:keepLines w:val="0"/>
                    <w:widowControl/>
                    <w:suppressLineNumbers w:val="0"/>
                    <w:spacing w:before="0" w:beforeAutospacing="0" w:after="0" w:afterAutospacing="0"/>
                    <w:ind w:left="0" w:right="0"/>
                    <w:jc w:val="center"/>
                    <w:textAlignment w:val="center"/>
                    <w:rPr>
                      <w:rFonts w:hint="default" w:eastAsia="宋体"/>
                      <w:sz w:val="21"/>
                      <w:szCs w:val="21"/>
                      <w:lang w:val="en-US" w:eastAsia="zh-CN"/>
                    </w:rPr>
                  </w:pPr>
                  <w:r>
                    <w:rPr>
                      <w:rFonts w:hint="eastAsia"/>
                      <w:sz w:val="21"/>
                      <w:szCs w:val="21"/>
                      <w:lang w:val="en-US" w:eastAsia="zh-CN"/>
                    </w:rPr>
                    <w:t>12</w:t>
                  </w:r>
                </w:p>
              </w:tc>
              <w:tc>
                <w:tcPr>
                  <w:tcW w:w="259" w:type="pct"/>
                  <w:noWrap w:val="0"/>
                  <w:vAlign w:val="center"/>
                </w:tcPr>
                <w:p w14:paraId="5384BB64">
                  <w:pPr>
                    <w:keepNext w:val="0"/>
                    <w:keepLines w:val="0"/>
                    <w:widowControl/>
                    <w:suppressLineNumbers w:val="0"/>
                    <w:spacing w:before="0" w:beforeAutospacing="0" w:after="0" w:afterAutospacing="0"/>
                    <w:ind w:left="0" w:right="0"/>
                    <w:jc w:val="center"/>
                    <w:textAlignment w:val="center"/>
                    <w:rPr>
                      <w:rFonts w:hint="eastAsia" w:eastAsia="宋体"/>
                      <w:sz w:val="21"/>
                      <w:szCs w:val="21"/>
                      <w:lang w:val="en-US" w:eastAsia="zh-CN"/>
                    </w:rPr>
                  </w:pPr>
                  <w:r>
                    <w:rPr>
                      <w:rFonts w:hint="eastAsia"/>
                      <w:sz w:val="21"/>
                      <w:szCs w:val="21"/>
                      <w:lang w:val="en-US" w:eastAsia="zh-CN"/>
                    </w:rPr>
                    <w:t>雕刻机</w:t>
                  </w:r>
                </w:p>
              </w:tc>
              <w:tc>
                <w:tcPr>
                  <w:tcW w:w="403" w:type="pct"/>
                  <w:noWrap w:val="0"/>
                  <w:vAlign w:val="center"/>
                </w:tcPr>
                <w:p w14:paraId="38EFEDB2">
                  <w:pPr>
                    <w:keepNext w:val="0"/>
                    <w:keepLines w:val="0"/>
                    <w:widowControl/>
                    <w:suppressLineNumbers w:val="0"/>
                    <w:spacing w:before="0" w:beforeAutospacing="0" w:after="0" w:afterAutospacing="0"/>
                    <w:ind w:left="0" w:right="0"/>
                    <w:jc w:val="center"/>
                    <w:textAlignment w:val="center"/>
                    <w:rPr>
                      <w:rFonts w:hint="eastAsia" w:eastAsia="宋体"/>
                      <w:sz w:val="21"/>
                      <w:szCs w:val="21"/>
                      <w:lang w:val="en-US" w:eastAsia="zh-CN"/>
                    </w:rPr>
                  </w:pPr>
                  <w:r>
                    <w:rPr>
                      <w:rFonts w:hint="eastAsia"/>
                      <w:sz w:val="21"/>
                      <w:szCs w:val="21"/>
                      <w:lang w:val="en-US" w:eastAsia="zh-CN"/>
                    </w:rPr>
                    <w:t>1</w:t>
                  </w:r>
                </w:p>
              </w:tc>
              <w:tc>
                <w:tcPr>
                  <w:tcW w:w="751" w:type="pct"/>
                  <w:noWrap w:val="0"/>
                  <w:vAlign w:val="center"/>
                </w:tcPr>
                <w:p w14:paraId="28B90F35">
                  <w:pPr>
                    <w:keepNext w:val="0"/>
                    <w:keepLines w:val="0"/>
                    <w:widowControl/>
                    <w:suppressLineNumbers w:val="0"/>
                    <w:spacing w:before="0" w:beforeAutospacing="0" w:after="0" w:afterAutospacing="0"/>
                    <w:ind w:left="0" w:right="0"/>
                    <w:jc w:val="center"/>
                    <w:textAlignment w:val="center"/>
                    <w:rPr>
                      <w:rFonts w:hint="default" w:eastAsia="宋体"/>
                      <w:sz w:val="21"/>
                      <w:szCs w:val="21"/>
                      <w:lang w:val="en-US" w:eastAsia="zh-CN"/>
                    </w:rPr>
                  </w:pPr>
                  <w:r>
                    <w:rPr>
                      <w:rFonts w:hint="eastAsia"/>
                      <w:sz w:val="21"/>
                      <w:szCs w:val="21"/>
                      <w:lang w:val="en-US" w:eastAsia="zh-CN"/>
                    </w:rPr>
                    <w:t>80</w:t>
                  </w:r>
                </w:p>
              </w:tc>
              <w:tc>
                <w:tcPr>
                  <w:tcW w:w="403" w:type="pct"/>
                  <w:vMerge w:val="continue"/>
                  <w:noWrap w:val="0"/>
                  <w:vAlign w:val="center"/>
                </w:tcPr>
                <w:p w14:paraId="461A3EC3">
                  <w:pPr>
                    <w:keepNext w:val="0"/>
                    <w:keepLines w:val="0"/>
                    <w:widowControl/>
                    <w:suppressLineNumbers w:val="0"/>
                    <w:spacing w:before="0" w:beforeAutospacing="0" w:after="0" w:afterAutospacing="0"/>
                    <w:ind w:left="0" w:right="0"/>
                    <w:jc w:val="center"/>
                    <w:textAlignment w:val="center"/>
                    <w:rPr>
                      <w:rFonts w:hint="default"/>
                      <w:sz w:val="21"/>
                      <w:szCs w:val="21"/>
                    </w:rPr>
                  </w:pPr>
                </w:p>
              </w:tc>
              <w:tc>
                <w:tcPr>
                  <w:tcW w:w="270" w:type="pct"/>
                  <w:vMerge w:val="continue"/>
                  <w:noWrap w:val="0"/>
                  <w:vAlign w:val="center"/>
                </w:tcPr>
                <w:p w14:paraId="04BEA1A1">
                  <w:pPr>
                    <w:keepNext w:val="0"/>
                    <w:keepLines w:val="0"/>
                    <w:widowControl/>
                    <w:suppressLineNumbers w:val="0"/>
                    <w:spacing w:before="0" w:beforeAutospacing="0" w:after="0" w:afterAutospacing="0"/>
                    <w:ind w:left="0" w:right="0"/>
                    <w:jc w:val="center"/>
                    <w:textAlignment w:val="center"/>
                    <w:rPr>
                      <w:rFonts w:hint="default"/>
                      <w:sz w:val="21"/>
                      <w:szCs w:val="21"/>
                    </w:rPr>
                  </w:pPr>
                </w:p>
              </w:tc>
              <w:tc>
                <w:tcPr>
                  <w:tcW w:w="270" w:type="pct"/>
                  <w:noWrap w:val="0"/>
                  <w:vAlign w:val="center"/>
                </w:tcPr>
                <w:p w14:paraId="225B9F6C">
                  <w:pPr>
                    <w:keepNext w:val="0"/>
                    <w:keepLines w:val="0"/>
                    <w:widowControl/>
                    <w:suppressLineNumbers w:val="0"/>
                    <w:spacing w:before="0" w:beforeAutospacing="0" w:after="0" w:afterAutospacing="0"/>
                    <w:ind w:left="0" w:right="0"/>
                    <w:jc w:val="center"/>
                    <w:textAlignment w:val="center"/>
                    <w:rPr>
                      <w:rFonts w:hint="default"/>
                      <w:sz w:val="21"/>
                      <w:szCs w:val="21"/>
                    </w:rPr>
                  </w:pPr>
                  <w:r>
                    <w:rPr>
                      <w:rFonts w:hint="eastAsia" w:cs="Times New Roman"/>
                      <w:b w:val="0"/>
                      <w:bCs w:val="0"/>
                      <w:color w:val="auto"/>
                      <w:kern w:val="2"/>
                      <w:sz w:val="21"/>
                      <w:szCs w:val="21"/>
                      <w:highlight w:val="none"/>
                      <w:lang w:val="en-US" w:eastAsia="zh-CN" w:bidi="ar-SA"/>
                    </w:rPr>
                    <w:t>1</w:t>
                  </w:r>
                  <w:r>
                    <w:rPr>
                      <w:rFonts w:hint="eastAsia" w:ascii="Times New Roman" w:hAnsi="Times New Roman" w:eastAsia="宋体" w:cs="Times New Roman"/>
                      <w:b w:val="0"/>
                      <w:bCs w:val="0"/>
                      <w:color w:val="auto"/>
                      <w:kern w:val="2"/>
                      <w:sz w:val="21"/>
                      <w:szCs w:val="21"/>
                      <w:highlight w:val="none"/>
                      <w:lang w:val="en-US" w:eastAsia="zh-CN" w:bidi="ar-SA"/>
                    </w:rPr>
                    <w:t>#生产车间</w:t>
                  </w:r>
                </w:p>
              </w:tc>
              <w:tc>
                <w:tcPr>
                  <w:tcW w:w="307" w:type="pct"/>
                  <w:noWrap w:val="0"/>
                  <w:vAlign w:val="center"/>
                </w:tcPr>
                <w:p w14:paraId="673B71A3">
                  <w:pPr>
                    <w:keepNext w:val="0"/>
                    <w:keepLines w:val="0"/>
                    <w:widowControl/>
                    <w:suppressLineNumbers w:val="0"/>
                    <w:jc w:val="center"/>
                    <w:textAlignment w:val="center"/>
                    <w:rPr>
                      <w:rFonts w:hint="default"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296" w:type="pct"/>
                  <w:noWrap w:val="0"/>
                  <w:vAlign w:val="center"/>
                </w:tcPr>
                <w:p w14:paraId="41728FC4">
                  <w:pPr>
                    <w:keepNext w:val="0"/>
                    <w:keepLines w:val="0"/>
                    <w:widowControl/>
                    <w:suppressLineNumbers w:val="0"/>
                    <w:jc w:val="center"/>
                    <w:textAlignment w:val="center"/>
                    <w:rPr>
                      <w:rFonts w:hint="default"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38</w:t>
                  </w:r>
                </w:p>
              </w:tc>
              <w:tc>
                <w:tcPr>
                  <w:tcW w:w="277" w:type="pct"/>
                  <w:shd w:val="clear" w:color="auto" w:fill="auto"/>
                  <w:noWrap w:val="0"/>
                  <w:vAlign w:val="center"/>
                </w:tcPr>
                <w:p w14:paraId="5DAFFF3F">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393" w:type="pct"/>
                  <w:noWrap w:val="0"/>
                  <w:vAlign w:val="center"/>
                </w:tcPr>
                <w:p w14:paraId="117BFD0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70</w:t>
                  </w:r>
                </w:p>
              </w:tc>
              <w:tc>
                <w:tcPr>
                  <w:tcW w:w="378" w:type="pct"/>
                  <w:noWrap w:val="0"/>
                  <w:vAlign w:val="center"/>
                </w:tcPr>
                <w:p w14:paraId="72A3B73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38</w:t>
                  </w:r>
                </w:p>
              </w:tc>
              <w:tc>
                <w:tcPr>
                  <w:tcW w:w="348" w:type="pct"/>
                  <w:noWrap w:val="0"/>
                  <w:vAlign w:val="center"/>
                </w:tcPr>
                <w:p w14:paraId="63AE0D9C">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390" w:type="pct"/>
                  <w:noWrap w:val="0"/>
                  <w:vAlign w:val="center"/>
                </w:tcPr>
                <w:p w14:paraId="5972FC4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32</w:t>
                  </w:r>
                </w:p>
              </w:tc>
            </w:tr>
            <w:tr w14:paraId="2742D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250" w:type="pct"/>
                  <w:noWrap w:val="0"/>
                  <w:vAlign w:val="center"/>
                </w:tcPr>
                <w:p w14:paraId="4A16D3E2">
                  <w:pPr>
                    <w:keepNext w:val="0"/>
                    <w:keepLines w:val="0"/>
                    <w:widowControl/>
                    <w:suppressLineNumbers w:val="0"/>
                    <w:spacing w:before="0" w:beforeAutospacing="0" w:after="0" w:afterAutospacing="0"/>
                    <w:ind w:left="0" w:right="0"/>
                    <w:jc w:val="center"/>
                    <w:textAlignment w:val="center"/>
                    <w:rPr>
                      <w:rFonts w:hint="default" w:eastAsia="宋体"/>
                      <w:sz w:val="21"/>
                      <w:szCs w:val="21"/>
                      <w:lang w:val="en-US" w:eastAsia="zh-CN"/>
                    </w:rPr>
                  </w:pPr>
                  <w:r>
                    <w:rPr>
                      <w:rFonts w:hint="eastAsia"/>
                      <w:sz w:val="21"/>
                      <w:szCs w:val="21"/>
                      <w:lang w:val="en-US" w:eastAsia="zh-CN"/>
                    </w:rPr>
                    <w:t>13</w:t>
                  </w:r>
                </w:p>
              </w:tc>
              <w:tc>
                <w:tcPr>
                  <w:tcW w:w="259" w:type="pct"/>
                  <w:noWrap w:val="0"/>
                  <w:vAlign w:val="center"/>
                </w:tcPr>
                <w:p w14:paraId="23718AA1">
                  <w:pPr>
                    <w:keepNext w:val="0"/>
                    <w:keepLines w:val="0"/>
                    <w:widowControl/>
                    <w:suppressLineNumbers w:val="0"/>
                    <w:spacing w:before="0" w:beforeAutospacing="0" w:after="0" w:afterAutospacing="0"/>
                    <w:ind w:left="0" w:right="0"/>
                    <w:jc w:val="center"/>
                    <w:textAlignment w:val="center"/>
                    <w:rPr>
                      <w:rFonts w:hint="default" w:eastAsia="宋体"/>
                      <w:sz w:val="21"/>
                      <w:szCs w:val="21"/>
                      <w:lang w:val="en-US" w:eastAsia="zh-CN"/>
                    </w:rPr>
                  </w:pPr>
                  <w:r>
                    <w:rPr>
                      <w:rFonts w:hint="eastAsia"/>
                      <w:sz w:val="21"/>
                      <w:szCs w:val="21"/>
                      <w:lang w:val="en-US" w:eastAsia="zh-CN"/>
                    </w:rPr>
                    <w:t>拼板机</w:t>
                  </w:r>
                </w:p>
              </w:tc>
              <w:tc>
                <w:tcPr>
                  <w:tcW w:w="403" w:type="pct"/>
                  <w:noWrap w:val="0"/>
                  <w:vAlign w:val="center"/>
                </w:tcPr>
                <w:p w14:paraId="449C4CE3">
                  <w:pPr>
                    <w:keepNext w:val="0"/>
                    <w:keepLines w:val="0"/>
                    <w:widowControl/>
                    <w:suppressLineNumbers w:val="0"/>
                    <w:spacing w:before="0" w:beforeAutospacing="0" w:after="0" w:afterAutospacing="0"/>
                    <w:ind w:left="0" w:right="0"/>
                    <w:jc w:val="center"/>
                    <w:textAlignment w:val="center"/>
                    <w:rPr>
                      <w:rFonts w:hint="eastAsia" w:eastAsia="宋体"/>
                      <w:sz w:val="21"/>
                      <w:szCs w:val="21"/>
                      <w:lang w:val="en-US" w:eastAsia="zh-CN"/>
                    </w:rPr>
                  </w:pPr>
                  <w:r>
                    <w:rPr>
                      <w:rFonts w:hint="eastAsia"/>
                      <w:sz w:val="21"/>
                      <w:szCs w:val="21"/>
                      <w:lang w:val="en-US" w:eastAsia="zh-CN"/>
                    </w:rPr>
                    <w:t>1</w:t>
                  </w:r>
                </w:p>
              </w:tc>
              <w:tc>
                <w:tcPr>
                  <w:tcW w:w="751" w:type="pct"/>
                  <w:noWrap w:val="0"/>
                  <w:vAlign w:val="center"/>
                </w:tcPr>
                <w:p w14:paraId="532A8A1B">
                  <w:pPr>
                    <w:keepNext w:val="0"/>
                    <w:keepLines w:val="0"/>
                    <w:widowControl/>
                    <w:suppressLineNumbers w:val="0"/>
                    <w:spacing w:before="0" w:beforeAutospacing="0" w:after="0" w:afterAutospacing="0"/>
                    <w:ind w:left="0" w:right="0"/>
                    <w:jc w:val="center"/>
                    <w:textAlignment w:val="center"/>
                    <w:rPr>
                      <w:rFonts w:hint="default" w:eastAsia="宋体"/>
                      <w:sz w:val="21"/>
                      <w:szCs w:val="21"/>
                      <w:lang w:val="en-US" w:eastAsia="zh-CN"/>
                    </w:rPr>
                  </w:pPr>
                  <w:r>
                    <w:rPr>
                      <w:rFonts w:hint="eastAsia"/>
                      <w:sz w:val="21"/>
                      <w:szCs w:val="21"/>
                      <w:lang w:val="en-US" w:eastAsia="zh-CN"/>
                    </w:rPr>
                    <w:t>75</w:t>
                  </w:r>
                </w:p>
              </w:tc>
              <w:tc>
                <w:tcPr>
                  <w:tcW w:w="403" w:type="pct"/>
                  <w:vMerge w:val="continue"/>
                  <w:noWrap w:val="0"/>
                  <w:vAlign w:val="center"/>
                </w:tcPr>
                <w:p w14:paraId="0A0EF51A">
                  <w:pPr>
                    <w:keepNext w:val="0"/>
                    <w:keepLines w:val="0"/>
                    <w:widowControl/>
                    <w:suppressLineNumbers w:val="0"/>
                    <w:spacing w:before="0" w:beforeAutospacing="0" w:after="0" w:afterAutospacing="0"/>
                    <w:ind w:left="0" w:right="0"/>
                    <w:jc w:val="center"/>
                    <w:textAlignment w:val="center"/>
                    <w:rPr>
                      <w:rFonts w:hint="default"/>
                      <w:sz w:val="21"/>
                      <w:szCs w:val="21"/>
                    </w:rPr>
                  </w:pPr>
                </w:p>
              </w:tc>
              <w:tc>
                <w:tcPr>
                  <w:tcW w:w="270" w:type="pct"/>
                  <w:vMerge w:val="continue"/>
                  <w:noWrap w:val="0"/>
                  <w:vAlign w:val="center"/>
                </w:tcPr>
                <w:p w14:paraId="341BA032">
                  <w:pPr>
                    <w:keepNext w:val="0"/>
                    <w:keepLines w:val="0"/>
                    <w:widowControl/>
                    <w:suppressLineNumbers w:val="0"/>
                    <w:spacing w:before="0" w:beforeAutospacing="0" w:after="0" w:afterAutospacing="0"/>
                    <w:ind w:left="0" w:right="0"/>
                    <w:jc w:val="center"/>
                    <w:textAlignment w:val="center"/>
                    <w:rPr>
                      <w:rFonts w:hint="default"/>
                      <w:sz w:val="21"/>
                      <w:szCs w:val="21"/>
                    </w:rPr>
                  </w:pPr>
                </w:p>
              </w:tc>
              <w:tc>
                <w:tcPr>
                  <w:tcW w:w="270" w:type="pct"/>
                  <w:noWrap w:val="0"/>
                  <w:vAlign w:val="center"/>
                </w:tcPr>
                <w:p w14:paraId="12F28DFD">
                  <w:pPr>
                    <w:keepNext w:val="0"/>
                    <w:keepLines w:val="0"/>
                    <w:widowControl/>
                    <w:suppressLineNumbers w:val="0"/>
                    <w:spacing w:before="0" w:beforeAutospacing="0" w:after="0" w:afterAutospacing="0"/>
                    <w:ind w:left="0" w:right="0"/>
                    <w:jc w:val="center"/>
                    <w:textAlignment w:val="center"/>
                    <w:rPr>
                      <w:rFonts w:hint="default"/>
                      <w:sz w:val="21"/>
                      <w:szCs w:val="21"/>
                    </w:rPr>
                  </w:pPr>
                  <w:r>
                    <w:rPr>
                      <w:rFonts w:hint="eastAsia" w:cs="Times New Roman"/>
                      <w:b w:val="0"/>
                      <w:bCs w:val="0"/>
                      <w:color w:val="auto"/>
                      <w:kern w:val="2"/>
                      <w:sz w:val="21"/>
                      <w:szCs w:val="21"/>
                      <w:highlight w:val="none"/>
                      <w:lang w:val="en-US" w:eastAsia="zh-CN" w:bidi="ar-SA"/>
                    </w:rPr>
                    <w:t>1</w:t>
                  </w:r>
                  <w:r>
                    <w:rPr>
                      <w:rFonts w:hint="eastAsia" w:ascii="Times New Roman" w:hAnsi="Times New Roman" w:eastAsia="宋体" w:cs="Times New Roman"/>
                      <w:b w:val="0"/>
                      <w:bCs w:val="0"/>
                      <w:color w:val="auto"/>
                      <w:kern w:val="2"/>
                      <w:sz w:val="21"/>
                      <w:szCs w:val="21"/>
                      <w:highlight w:val="none"/>
                      <w:lang w:val="en-US" w:eastAsia="zh-CN" w:bidi="ar-SA"/>
                    </w:rPr>
                    <w:t>#生产车间</w:t>
                  </w:r>
                </w:p>
              </w:tc>
              <w:tc>
                <w:tcPr>
                  <w:tcW w:w="307" w:type="pct"/>
                  <w:noWrap w:val="0"/>
                  <w:vAlign w:val="center"/>
                </w:tcPr>
                <w:p w14:paraId="03053BAF">
                  <w:pPr>
                    <w:keepNext w:val="0"/>
                    <w:keepLines w:val="0"/>
                    <w:widowControl/>
                    <w:suppressLineNumbers w:val="0"/>
                    <w:jc w:val="center"/>
                    <w:textAlignment w:val="center"/>
                    <w:rPr>
                      <w:rFonts w:hint="default"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82</w:t>
                  </w:r>
                </w:p>
              </w:tc>
              <w:tc>
                <w:tcPr>
                  <w:tcW w:w="296" w:type="pct"/>
                  <w:noWrap w:val="0"/>
                  <w:vAlign w:val="center"/>
                </w:tcPr>
                <w:p w14:paraId="4801EFD7">
                  <w:pPr>
                    <w:keepNext w:val="0"/>
                    <w:keepLines w:val="0"/>
                    <w:widowControl/>
                    <w:suppressLineNumbers w:val="0"/>
                    <w:jc w:val="center"/>
                    <w:textAlignment w:val="center"/>
                    <w:rPr>
                      <w:rFonts w:hint="default"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36</w:t>
                  </w:r>
                </w:p>
              </w:tc>
              <w:tc>
                <w:tcPr>
                  <w:tcW w:w="277" w:type="pct"/>
                  <w:shd w:val="clear" w:color="auto" w:fill="auto"/>
                  <w:noWrap w:val="0"/>
                  <w:vAlign w:val="center"/>
                </w:tcPr>
                <w:p w14:paraId="449A09B3">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393" w:type="pct"/>
                  <w:noWrap w:val="0"/>
                  <w:vAlign w:val="center"/>
                </w:tcPr>
                <w:p w14:paraId="7BE3BCA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68</w:t>
                  </w:r>
                </w:p>
              </w:tc>
              <w:tc>
                <w:tcPr>
                  <w:tcW w:w="378" w:type="pct"/>
                  <w:noWrap w:val="0"/>
                  <w:vAlign w:val="center"/>
                </w:tcPr>
                <w:p w14:paraId="5BFD0DB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36</w:t>
                  </w:r>
                </w:p>
              </w:tc>
              <w:tc>
                <w:tcPr>
                  <w:tcW w:w="348" w:type="pct"/>
                  <w:noWrap w:val="0"/>
                  <w:vAlign w:val="center"/>
                </w:tcPr>
                <w:p w14:paraId="1FE5A816">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82</w:t>
                  </w:r>
                </w:p>
              </w:tc>
              <w:tc>
                <w:tcPr>
                  <w:tcW w:w="390" w:type="pct"/>
                  <w:noWrap w:val="0"/>
                  <w:vAlign w:val="center"/>
                </w:tcPr>
                <w:p w14:paraId="52B0923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34</w:t>
                  </w:r>
                </w:p>
              </w:tc>
            </w:tr>
            <w:tr w14:paraId="740A8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250" w:type="pct"/>
                  <w:noWrap w:val="0"/>
                  <w:vAlign w:val="center"/>
                </w:tcPr>
                <w:p w14:paraId="4A24F446">
                  <w:pPr>
                    <w:keepNext w:val="0"/>
                    <w:keepLines w:val="0"/>
                    <w:widowControl/>
                    <w:suppressLineNumbers w:val="0"/>
                    <w:spacing w:before="0" w:beforeAutospacing="0" w:after="0" w:afterAutospacing="0"/>
                    <w:ind w:left="0" w:right="0"/>
                    <w:jc w:val="center"/>
                    <w:textAlignment w:val="center"/>
                    <w:rPr>
                      <w:rFonts w:hint="default"/>
                      <w:sz w:val="21"/>
                      <w:szCs w:val="21"/>
                      <w:lang w:val="en-US" w:eastAsia="zh-CN"/>
                    </w:rPr>
                  </w:pPr>
                  <w:r>
                    <w:rPr>
                      <w:rFonts w:hint="eastAsia"/>
                      <w:sz w:val="21"/>
                      <w:szCs w:val="21"/>
                      <w:lang w:val="en-US" w:eastAsia="zh-CN"/>
                    </w:rPr>
                    <w:t>14</w:t>
                  </w:r>
                </w:p>
              </w:tc>
              <w:tc>
                <w:tcPr>
                  <w:tcW w:w="259" w:type="pct"/>
                  <w:noWrap w:val="0"/>
                  <w:vAlign w:val="center"/>
                </w:tcPr>
                <w:p w14:paraId="1ED83809">
                  <w:pPr>
                    <w:keepNext w:val="0"/>
                    <w:keepLines w:val="0"/>
                    <w:widowControl/>
                    <w:suppressLineNumbers w:val="0"/>
                    <w:spacing w:before="0" w:beforeAutospacing="0" w:after="0" w:afterAutospacing="0"/>
                    <w:ind w:left="0" w:right="0"/>
                    <w:jc w:val="center"/>
                    <w:textAlignment w:val="center"/>
                    <w:rPr>
                      <w:rFonts w:hint="eastAsia" w:eastAsia="宋体"/>
                      <w:sz w:val="21"/>
                      <w:szCs w:val="21"/>
                      <w:lang w:val="en-US" w:eastAsia="zh-CN"/>
                    </w:rPr>
                  </w:pPr>
                  <w:r>
                    <w:rPr>
                      <w:rFonts w:hint="eastAsia"/>
                      <w:sz w:val="21"/>
                      <w:szCs w:val="21"/>
                      <w:lang w:val="en-US" w:eastAsia="zh-CN"/>
                    </w:rPr>
                    <w:t>撕碎机</w:t>
                  </w:r>
                </w:p>
              </w:tc>
              <w:tc>
                <w:tcPr>
                  <w:tcW w:w="403" w:type="pct"/>
                  <w:noWrap w:val="0"/>
                  <w:vAlign w:val="center"/>
                </w:tcPr>
                <w:p w14:paraId="503CB39C">
                  <w:pPr>
                    <w:keepNext w:val="0"/>
                    <w:keepLines w:val="0"/>
                    <w:widowControl/>
                    <w:suppressLineNumbers w:val="0"/>
                    <w:spacing w:before="0" w:beforeAutospacing="0" w:after="0" w:afterAutospacing="0"/>
                    <w:ind w:left="0" w:right="0"/>
                    <w:jc w:val="center"/>
                    <w:textAlignment w:val="center"/>
                    <w:rPr>
                      <w:rFonts w:hint="eastAsia" w:eastAsia="宋体"/>
                      <w:sz w:val="21"/>
                      <w:szCs w:val="21"/>
                      <w:lang w:val="en-US" w:eastAsia="zh-CN"/>
                    </w:rPr>
                  </w:pPr>
                  <w:r>
                    <w:rPr>
                      <w:rFonts w:hint="eastAsia"/>
                      <w:sz w:val="21"/>
                      <w:szCs w:val="21"/>
                      <w:lang w:val="en-US" w:eastAsia="zh-CN"/>
                    </w:rPr>
                    <w:t>1</w:t>
                  </w:r>
                </w:p>
              </w:tc>
              <w:tc>
                <w:tcPr>
                  <w:tcW w:w="751" w:type="pct"/>
                  <w:noWrap w:val="0"/>
                  <w:vAlign w:val="center"/>
                </w:tcPr>
                <w:p w14:paraId="54D7B032">
                  <w:pPr>
                    <w:keepNext w:val="0"/>
                    <w:keepLines w:val="0"/>
                    <w:widowControl/>
                    <w:suppressLineNumbers w:val="0"/>
                    <w:spacing w:before="0" w:beforeAutospacing="0" w:after="0" w:afterAutospacing="0"/>
                    <w:ind w:left="0" w:right="0"/>
                    <w:jc w:val="center"/>
                    <w:textAlignment w:val="center"/>
                    <w:rPr>
                      <w:rFonts w:hint="default" w:eastAsia="宋体"/>
                      <w:sz w:val="21"/>
                      <w:szCs w:val="21"/>
                      <w:lang w:val="en-US" w:eastAsia="zh-CN"/>
                    </w:rPr>
                  </w:pPr>
                  <w:r>
                    <w:rPr>
                      <w:rFonts w:hint="eastAsia"/>
                      <w:sz w:val="21"/>
                      <w:szCs w:val="21"/>
                      <w:lang w:val="en-US" w:eastAsia="zh-CN"/>
                    </w:rPr>
                    <w:t>80</w:t>
                  </w:r>
                </w:p>
              </w:tc>
              <w:tc>
                <w:tcPr>
                  <w:tcW w:w="403" w:type="pct"/>
                  <w:vMerge w:val="continue"/>
                  <w:noWrap w:val="0"/>
                  <w:vAlign w:val="center"/>
                </w:tcPr>
                <w:p w14:paraId="2A51E729">
                  <w:pPr>
                    <w:keepNext w:val="0"/>
                    <w:keepLines w:val="0"/>
                    <w:widowControl/>
                    <w:suppressLineNumbers w:val="0"/>
                    <w:spacing w:before="0" w:beforeAutospacing="0" w:after="0" w:afterAutospacing="0"/>
                    <w:ind w:left="0" w:right="0"/>
                    <w:jc w:val="center"/>
                    <w:textAlignment w:val="center"/>
                    <w:rPr>
                      <w:rFonts w:hint="default"/>
                      <w:sz w:val="21"/>
                      <w:szCs w:val="21"/>
                    </w:rPr>
                  </w:pPr>
                </w:p>
              </w:tc>
              <w:tc>
                <w:tcPr>
                  <w:tcW w:w="270" w:type="pct"/>
                  <w:vMerge w:val="continue"/>
                  <w:noWrap w:val="0"/>
                  <w:vAlign w:val="center"/>
                </w:tcPr>
                <w:p w14:paraId="33876121">
                  <w:pPr>
                    <w:keepNext w:val="0"/>
                    <w:keepLines w:val="0"/>
                    <w:widowControl/>
                    <w:suppressLineNumbers w:val="0"/>
                    <w:spacing w:before="0" w:beforeAutospacing="0" w:after="0" w:afterAutospacing="0"/>
                    <w:ind w:left="0" w:right="0"/>
                    <w:jc w:val="center"/>
                    <w:textAlignment w:val="center"/>
                    <w:rPr>
                      <w:rFonts w:hint="default"/>
                      <w:sz w:val="21"/>
                      <w:szCs w:val="21"/>
                    </w:rPr>
                  </w:pPr>
                </w:p>
              </w:tc>
              <w:tc>
                <w:tcPr>
                  <w:tcW w:w="270" w:type="pct"/>
                  <w:noWrap w:val="0"/>
                  <w:vAlign w:val="center"/>
                </w:tcPr>
                <w:p w14:paraId="0D09A822">
                  <w:pPr>
                    <w:keepNext w:val="0"/>
                    <w:keepLines w:val="0"/>
                    <w:widowControl/>
                    <w:suppressLineNumbers w:val="0"/>
                    <w:spacing w:before="0" w:beforeAutospacing="0" w:after="0" w:afterAutospacing="0"/>
                    <w:ind w:left="0" w:right="0"/>
                    <w:jc w:val="center"/>
                    <w:textAlignment w:val="center"/>
                    <w:rPr>
                      <w:rFonts w:hint="eastAsia"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1</w:t>
                  </w:r>
                  <w:r>
                    <w:rPr>
                      <w:rFonts w:hint="eastAsia" w:ascii="Times New Roman" w:hAnsi="Times New Roman" w:eastAsia="宋体" w:cs="Times New Roman"/>
                      <w:b w:val="0"/>
                      <w:bCs w:val="0"/>
                      <w:color w:val="auto"/>
                      <w:kern w:val="2"/>
                      <w:sz w:val="21"/>
                      <w:szCs w:val="21"/>
                      <w:highlight w:val="none"/>
                      <w:lang w:val="en-US" w:eastAsia="zh-CN" w:bidi="ar-SA"/>
                    </w:rPr>
                    <w:t>#生产车间</w:t>
                  </w:r>
                </w:p>
              </w:tc>
              <w:tc>
                <w:tcPr>
                  <w:tcW w:w="307" w:type="pct"/>
                  <w:noWrap w:val="0"/>
                  <w:vAlign w:val="center"/>
                </w:tcPr>
                <w:p w14:paraId="17F013D2">
                  <w:pPr>
                    <w:keepNext w:val="0"/>
                    <w:keepLines w:val="0"/>
                    <w:widowControl/>
                    <w:suppressLineNumbers w:val="0"/>
                    <w:jc w:val="center"/>
                    <w:textAlignment w:val="center"/>
                    <w:rPr>
                      <w:rFonts w:hint="default"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296" w:type="pct"/>
                  <w:noWrap w:val="0"/>
                  <w:vAlign w:val="center"/>
                </w:tcPr>
                <w:p w14:paraId="3A16FC73">
                  <w:pPr>
                    <w:keepNext w:val="0"/>
                    <w:keepLines w:val="0"/>
                    <w:widowControl/>
                    <w:suppressLineNumbers w:val="0"/>
                    <w:jc w:val="center"/>
                    <w:textAlignment w:val="center"/>
                    <w:rPr>
                      <w:rFonts w:hint="default"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277" w:type="pct"/>
                  <w:shd w:val="clear" w:color="auto" w:fill="auto"/>
                  <w:noWrap w:val="0"/>
                  <w:vAlign w:val="center"/>
                </w:tcPr>
                <w:p w14:paraId="5C611676">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393" w:type="pct"/>
                  <w:noWrap w:val="0"/>
                  <w:vAlign w:val="center"/>
                </w:tcPr>
                <w:p w14:paraId="2922302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120</w:t>
                  </w:r>
                </w:p>
              </w:tc>
              <w:tc>
                <w:tcPr>
                  <w:tcW w:w="378" w:type="pct"/>
                  <w:noWrap w:val="0"/>
                  <w:vAlign w:val="center"/>
                </w:tcPr>
                <w:p w14:paraId="6E48C49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348" w:type="pct"/>
                  <w:noWrap w:val="0"/>
                  <w:vAlign w:val="center"/>
                </w:tcPr>
                <w:p w14:paraId="70381BEC">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390" w:type="pct"/>
                  <w:noWrap w:val="0"/>
                  <w:vAlign w:val="center"/>
                </w:tcPr>
                <w:p w14:paraId="034B40C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62</w:t>
                  </w:r>
                </w:p>
              </w:tc>
            </w:tr>
            <w:tr w14:paraId="17353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250" w:type="pct"/>
                  <w:noWrap w:val="0"/>
                  <w:vAlign w:val="center"/>
                </w:tcPr>
                <w:p w14:paraId="5E6F5EAF">
                  <w:pPr>
                    <w:keepNext w:val="0"/>
                    <w:keepLines w:val="0"/>
                    <w:widowControl/>
                    <w:suppressLineNumbers w:val="0"/>
                    <w:spacing w:before="0" w:beforeAutospacing="0" w:after="0" w:afterAutospacing="0" w:line="240" w:lineRule="auto"/>
                    <w:ind w:left="0" w:right="0"/>
                    <w:jc w:val="center"/>
                    <w:textAlignment w:val="bottom"/>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r>
                    <w:rPr>
                      <w:rFonts w:hint="eastAsia" w:cs="Times New Roman"/>
                      <w:color w:val="auto"/>
                      <w:sz w:val="21"/>
                      <w:szCs w:val="21"/>
                      <w:highlight w:val="none"/>
                      <w:lang w:val="en-US" w:eastAsia="zh-CN"/>
                    </w:rPr>
                    <w:t>5</w:t>
                  </w:r>
                </w:p>
              </w:tc>
              <w:tc>
                <w:tcPr>
                  <w:tcW w:w="259" w:type="pct"/>
                  <w:noWrap w:val="0"/>
                  <w:vAlign w:val="center"/>
                </w:tcPr>
                <w:p w14:paraId="257A69D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破碎机</w:t>
                  </w:r>
                </w:p>
              </w:tc>
              <w:tc>
                <w:tcPr>
                  <w:tcW w:w="403" w:type="pct"/>
                  <w:noWrap w:val="0"/>
                  <w:vAlign w:val="center"/>
                </w:tcPr>
                <w:p w14:paraId="6DC9ADD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751" w:type="pct"/>
                  <w:noWrap w:val="0"/>
                  <w:vAlign w:val="center"/>
                </w:tcPr>
                <w:p w14:paraId="75B7535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85</w:t>
                  </w:r>
                </w:p>
              </w:tc>
              <w:tc>
                <w:tcPr>
                  <w:tcW w:w="403" w:type="pct"/>
                  <w:vMerge w:val="continue"/>
                  <w:noWrap w:val="0"/>
                  <w:vAlign w:val="center"/>
                </w:tcPr>
                <w:p w14:paraId="6BFB7EE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p>
              </w:tc>
              <w:tc>
                <w:tcPr>
                  <w:tcW w:w="270" w:type="pct"/>
                  <w:vMerge w:val="continue"/>
                  <w:noWrap w:val="0"/>
                  <w:vAlign w:val="center"/>
                </w:tcPr>
                <w:p w14:paraId="6DCFDD2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p>
              </w:tc>
              <w:tc>
                <w:tcPr>
                  <w:tcW w:w="270" w:type="pct"/>
                  <w:noWrap w:val="0"/>
                  <w:vAlign w:val="center"/>
                </w:tcPr>
                <w:p w14:paraId="36D007D0">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1</w:t>
                  </w:r>
                  <w:r>
                    <w:rPr>
                      <w:rFonts w:hint="eastAsia" w:ascii="Times New Roman" w:hAnsi="Times New Roman" w:eastAsia="宋体" w:cs="Times New Roman"/>
                      <w:b w:val="0"/>
                      <w:bCs w:val="0"/>
                      <w:color w:val="auto"/>
                      <w:kern w:val="2"/>
                      <w:sz w:val="21"/>
                      <w:szCs w:val="21"/>
                      <w:highlight w:val="none"/>
                      <w:lang w:val="en-US" w:eastAsia="zh-CN" w:bidi="ar-SA"/>
                    </w:rPr>
                    <w:t>#生产车间</w:t>
                  </w:r>
                </w:p>
              </w:tc>
              <w:tc>
                <w:tcPr>
                  <w:tcW w:w="307" w:type="pct"/>
                  <w:noWrap w:val="0"/>
                  <w:vAlign w:val="center"/>
                </w:tcPr>
                <w:p w14:paraId="541CDDC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296" w:type="pct"/>
                  <w:noWrap w:val="0"/>
                  <w:vAlign w:val="center"/>
                </w:tcPr>
                <w:p w14:paraId="50D3A12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277" w:type="pct"/>
                  <w:shd w:val="clear" w:color="auto" w:fill="auto"/>
                  <w:noWrap w:val="0"/>
                  <w:vAlign w:val="center"/>
                </w:tcPr>
                <w:p w14:paraId="73E6E09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393" w:type="pct"/>
                  <w:noWrap w:val="0"/>
                  <w:vAlign w:val="center"/>
                </w:tcPr>
                <w:p w14:paraId="5E93C2F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120</w:t>
                  </w:r>
                </w:p>
              </w:tc>
              <w:tc>
                <w:tcPr>
                  <w:tcW w:w="378" w:type="pct"/>
                  <w:noWrap w:val="0"/>
                  <w:vAlign w:val="center"/>
                </w:tcPr>
                <w:p w14:paraId="5337AA8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348" w:type="pct"/>
                  <w:noWrap w:val="0"/>
                  <w:vAlign w:val="center"/>
                </w:tcPr>
                <w:p w14:paraId="7AA401B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390" w:type="pct"/>
                  <w:noWrap w:val="0"/>
                  <w:vAlign w:val="center"/>
                </w:tcPr>
                <w:p w14:paraId="4258A01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60</w:t>
                  </w:r>
                </w:p>
              </w:tc>
            </w:tr>
          </w:tbl>
          <w:p w14:paraId="7B55A2E3">
            <w:pPr>
              <w:keepNext w:val="0"/>
              <w:keepLines w:val="0"/>
              <w:suppressLineNumbers w:val="0"/>
              <w:snapToGrid w:val="0"/>
              <w:spacing w:before="0" w:beforeAutospacing="0" w:after="0" w:afterAutospacing="0" w:line="360" w:lineRule="auto"/>
              <w:ind w:left="0" w:right="0"/>
              <w:jc w:val="center"/>
              <w:rPr>
                <w:rFonts w:hint="default" w:ascii="Times New Roman" w:hAnsi="Times New Roman" w:cs="Times New Roman"/>
                <w:b/>
                <w:sz w:val="24"/>
                <w:szCs w:val="24"/>
              </w:rPr>
            </w:pPr>
          </w:p>
          <w:p w14:paraId="6084362E">
            <w:pPr>
              <w:keepNext w:val="0"/>
              <w:keepLines w:val="0"/>
              <w:suppressLineNumbers w:val="0"/>
              <w:snapToGrid w:val="0"/>
              <w:spacing w:before="0" w:beforeAutospacing="0" w:after="0" w:afterAutospacing="0" w:line="360" w:lineRule="auto"/>
              <w:ind w:left="0" w:right="0"/>
              <w:jc w:val="center"/>
              <w:rPr>
                <w:rFonts w:hint="default" w:ascii="Times New Roman" w:hAnsi="Times New Roman" w:cs="Times New Roman"/>
                <w:b/>
                <w:sz w:val="24"/>
                <w:szCs w:val="24"/>
              </w:rPr>
            </w:pPr>
          </w:p>
          <w:p w14:paraId="51B2BD96">
            <w:pPr>
              <w:keepNext w:val="0"/>
              <w:keepLines w:val="0"/>
              <w:suppressLineNumbers w:val="0"/>
              <w:snapToGrid w:val="0"/>
              <w:spacing w:before="0" w:beforeAutospacing="0" w:after="0" w:afterAutospacing="0" w:line="360" w:lineRule="auto"/>
              <w:ind w:left="0" w:right="0"/>
              <w:jc w:val="center"/>
              <w:rPr>
                <w:rFonts w:hint="default" w:ascii="Times New Roman" w:hAnsi="Times New Roman" w:cs="Times New Roman"/>
                <w:b/>
                <w:sz w:val="24"/>
              </w:rPr>
            </w:pPr>
            <w:r>
              <w:rPr>
                <w:rFonts w:hint="default" w:ascii="Times New Roman" w:hAnsi="Times New Roman" w:cs="Times New Roman"/>
                <w:b/>
                <w:sz w:val="24"/>
                <w:szCs w:val="24"/>
              </w:rPr>
              <w:t>表4-</w:t>
            </w:r>
            <w:r>
              <w:rPr>
                <w:rFonts w:hint="eastAsia" w:cs="Times New Roman"/>
                <w:b/>
                <w:sz w:val="24"/>
                <w:szCs w:val="24"/>
                <w:lang w:val="en-US" w:eastAsia="zh-CN"/>
              </w:rPr>
              <w:t xml:space="preserve">15  </w:t>
            </w:r>
            <w:r>
              <w:rPr>
                <w:rFonts w:hint="default" w:ascii="Times New Roman" w:hAnsi="Times New Roman" w:cs="Times New Roman"/>
                <w:b/>
                <w:sz w:val="24"/>
                <w:szCs w:val="24"/>
              </w:rPr>
              <w:t>主要设备噪声源强一览表</w:t>
            </w:r>
            <w:r>
              <w:rPr>
                <w:rFonts w:hint="default" w:ascii="Times New Roman" w:hAnsi="Times New Roman" w:cs="Times New Roman"/>
                <w:b/>
                <w:sz w:val="24"/>
                <w:szCs w:val="24"/>
                <w:lang w:eastAsia="zh-CN"/>
              </w:rPr>
              <w:t>（室外）</w:t>
            </w:r>
          </w:p>
          <w:tbl>
            <w:tblPr>
              <w:tblStyle w:val="2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98"/>
              <w:gridCol w:w="2506"/>
              <w:gridCol w:w="1122"/>
              <w:gridCol w:w="825"/>
              <w:gridCol w:w="762"/>
              <w:gridCol w:w="725"/>
              <w:gridCol w:w="3180"/>
              <w:gridCol w:w="1978"/>
              <w:gridCol w:w="1964"/>
            </w:tblGrid>
            <w:tr w14:paraId="4A4CA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9" w:hRule="atLeast"/>
                <w:jc w:val="center"/>
              </w:trPr>
              <w:tc>
                <w:tcPr>
                  <w:tcW w:w="420"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0621CEFA">
                  <w:pPr>
                    <w:keepNext w:val="0"/>
                    <w:keepLines w:val="0"/>
                    <w:suppressLineNumbers w:val="0"/>
                    <w:spacing w:before="0" w:beforeAutospacing="0" w:after="0" w:afterAutospacing="0"/>
                    <w:ind w:left="0" w:right="0"/>
                    <w:jc w:val="center"/>
                    <w:rPr>
                      <w:rFonts w:hint="default"/>
                      <w:b/>
                      <w:bCs/>
                      <w:sz w:val="21"/>
                      <w:szCs w:val="21"/>
                    </w:rPr>
                  </w:pPr>
                  <w:r>
                    <w:rPr>
                      <w:rFonts w:hint="eastAsia"/>
                      <w:b/>
                      <w:bCs/>
                      <w:sz w:val="21"/>
                      <w:szCs w:val="21"/>
                    </w:rPr>
                    <w:t>序号</w:t>
                  </w:r>
                </w:p>
              </w:tc>
              <w:tc>
                <w:tcPr>
                  <w:tcW w:w="878"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79DAF399">
                  <w:pPr>
                    <w:keepNext w:val="0"/>
                    <w:keepLines w:val="0"/>
                    <w:suppressLineNumbers w:val="0"/>
                    <w:spacing w:before="0" w:beforeAutospacing="0" w:after="0" w:afterAutospacing="0"/>
                    <w:ind w:left="0" w:right="0"/>
                    <w:jc w:val="center"/>
                    <w:rPr>
                      <w:rFonts w:hint="default"/>
                      <w:b/>
                      <w:bCs/>
                      <w:sz w:val="21"/>
                      <w:szCs w:val="21"/>
                    </w:rPr>
                  </w:pPr>
                  <w:r>
                    <w:rPr>
                      <w:rFonts w:hint="eastAsia"/>
                      <w:b/>
                      <w:bCs/>
                      <w:sz w:val="21"/>
                      <w:szCs w:val="21"/>
                    </w:rPr>
                    <w:t>声源名称</w:t>
                  </w:r>
                </w:p>
              </w:tc>
              <w:tc>
                <w:tcPr>
                  <w:tcW w:w="393"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03E9859A">
                  <w:pPr>
                    <w:keepNext w:val="0"/>
                    <w:keepLines w:val="0"/>
                    <w:suppressLineNumbers w:val="0"/>
                    <w:spacing w:before="0" w:beforeAutospacing="0" w:after="0" w:afterAutospacing="0"/>
                    <w:ind w:left="0" w:right="0"/>
                    <w:jc w:val="center"/>
                    <w:rPr>
                      <w:rFonts w:hint="eastAsia" w:eastAsia="宋体"/>
                      <w:b/>
                      <w:bCs/>
                      <w:sz w:val="21"/>
                      <w:szCs w:val="21"/>
                      <w:lang w:val="en-US" w:eastAsia="zh-CN"/>
                    </w:rPr>
                  </w:pPr>
                  <w:r>
                    <w:rPr>
                      <w:rFonts w:hint="eastAsia"/>
                      <w:b/>
                      <w:bCs/>
                      <w:sz w:val="21"/>
                      <w:szCs w:val="21"/>
                      <w:lang w:val="en-US" w:eastAsia="zh-CN"/>
                    </w:rPr>
                    <w:t>数量</w:t>
                  </w:r>
                </w:p>
              </w:tc>
              <w:tc>
                <w:tcPr>
                  <w:tcW w:w="810" w:type="pct"/>
                  <w:gridSpan w:val="3"/>
                  <w:tcBorders>
                    <w:top w:val="single" w:color="auto" w:sz="4" w:space="0"/>
                    <w:left w:val="single" w:color="auto" w:sz="4" w:space="0"/>
                    <w:bottom w:val="single" w:color="auto" w:sz="4" w:space="0"/>
                    <w:right w:val="single" w:color="auto" w:sz="4" w:space="0"/>
                    <w:tl2br w:val="nil"/>
                    <w:tr2bl w:val="nil"/>
                  </w:tcBorders>
                  <w:noWrap w:val="0"/>
                  <w:vAlign w:val="center"/>
                </w:tcPr>
                <w:p w14:paraId="24E89C91">
                  <w:pPr>
                    <w:keepNext w:val="0"/>
                    <w:keepLines w:val="0"/>
                    <w:suppressLineNumbers w:val="0"/>
                    <w:spacing w:before="0" w:beforeAutospacing="0" w:after="0" w:afterAutospacing="0"/>
                    <w:ind w:left="0" w:right="0"/>
                    <w:jc w:val="center"/>
                    <w:rPr>
                      <w:rFonts w:hint="default"/>
                      <w:b/>
                      <w:bCs/>
                      <w:sz w:val="21"/>
                      <w:szCs w:val="21"/>
                    </w:rPr>
                  </w:pPr>
                  <w:r>
                    <w:rPr>
                      <w:rFonts w:hint="eastAsia"/>
                      <w:b/>
                      <w:bCs/>
                      <w:sz w:val="21"/>
                      <w:szCs w:val="21"/>
                    </w:rPr>
                    <w:t>空间相对位置</w:t>
                  </w:r>
                  <w:r>
                    <w:rPr>
                      <w:rFonts w:hint="default"/>
                      <w:b/>
                      <w:bCs/>
                      <w:sz w:val="21"/>
                      <w:szCs w:val="21"/>
                    </w:rPr>
                    <w:t>/m</w:t>
                  </w:r>
                </w:p>
              </w:tc>
              <w:tc>
                <w:tcPr>
                  <w:tcW w:w="1114"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19CF8ED0">
                  <w:pPr>
                    <w:keepNext w:val="0"/>
                    <w:keepLines w:val="0"/>
                    <w:suppressLineNumbers w:val="0"/>
                    <w:spacing w:before="0" w:beforeAutospacing="0" w:after="0" w:afterAutospacing="0"/>
                    <w:ind w:left="0" w:right="0"/>
                    <w:jc w:val="center"/>
                    <w:rPr>
                      <w:rFonts w:hint="default"/>
                      <w:b/>
                      <w:bCs/>
                      <w:sz w:val="21"/>
                      <w:szCs w:val="21"/>
                    </w:rPr>
                  </w:pPr>
                  <w:r>
                    <w:rPr>
                      <w:rFonts w:hint="eastAsia"/>
                      <w:b/>
                      <w:bCs/>
                      <w:sz w:val="21"/>
                      <w:szCs w:val="21"/>
                      <w:lang w:val="en-US" w:eastAsia="zh-CN"/>
                    </w:rPr>
                    <w:t>（声压级/距声源距离）/（dB(A)/m）</w:t>
                  </w:r>
                </w:p>
              </w:tc>
              <w:tc>
                <w:tcPr>
                  <w:tcW w:w="693" w:type="pct"/>
                  <w:vMerge w:val="restart"/>
                  <w:tcBorders>
                    <w:top w:val="single" w:color="auto" w:sz="4" w:space="0"/>
                    <w:left w:val="single" w:color="auto" w:sz="4" w:space="0"/>
                    <w:right w:val="single" w:color="auto" w:sz="4" w:space="0"/>
                    <w:tl2br w:val="nil"/>
                    <w:tr2bl w:val="nil"/>
                  </w:tcBorders>
                  <w:noWrap w:val="0"/>
                  <w:vAlign w:val="center"/>
                </w:tcPr>
                <w:p w14:paraId="6B21835B">
                  <w:pPr>
                    <w:keepNext w:val="0"/>
                    <w:keepLines w:val="0"/>
                    <w:suppressLineNumbers w:val="0"/>
                    <w:spacing w:before="0" w:beforeAutospacing="0" w:after="0" w:afterAutospacing="0"/>
                    <w:ind w:left="0" w:right="0"/>
                    <w:jc w:val="center"/>
                    <w:rPr>
                      <w:rFonts w:hint="default"/>
                      <w:b/>
                      <w:bCs/>
                      <w:sz w:val="21"/>
                      <w:szCs w:val="21"/>
                    </w:rPr>
                  </w:pPr>
                  <w:r>
                    <w:rPr>
                      <w:rFonts w:hint="eastAsia"/>
                      <w:b/>
                      <w:bCs/>
                      <w:sz w:val="21"/>
                      <w:szCs w:val="21"/>
                      <w:lang w:val="en-US" w:eastAsia="zh-CN"/>
                    </w:rPr>
                    <w:t>声源控制措施</w:t>
                  </w:r>
                </w:p>
              </w:tc>
              <w:tc>
                <w:tcPr>
                  <w:tcW w:w="688" w:type="pct"/>
                  <w:vMerge w:val="restart"/>
                  <w:tcBorders>
                    <w:top w:val="single" w:color="auto" w:sz="4" w:space="0"/>
                    <w:left w:val="single" w:color="auto" w:sz="4" w:space="0"/>
                    <w:right w:val="single" w:color="auto" w:sz="4" w:space="0"/>
                    <w:tl2br w:val="nil"/>
                    <w:tr2bl w:val="nil"/>
                  </w:tcBorders>
                  <w:noWrap w:val="0"/>
                  <w:vAlign w:val="center"/>
                </w:tcPr>
                <w:p w14:paraId="2CEA6813">
                  <w:pPr>
                    <w:keepNext w:val="0"/>
                    <w:keepLines w:val="0"/>
                    <w:suppressLineNumbers w:val="0"/>
                    <w:spacing w:before="0" w:beforeAutospacing="0" w:after="0" w:afterAutospacing="0"/>
                    <w:ind w:left="0" w:right="0"/>
                    <w:jc w:val="center"/>
                    <w:rPr>
                      <w:rFonts w:hint="default"/>
                      <w:b/>
                      <w:bCs/>
                      <w:sz w:val="21"/>
                      <w:szCs w:val="21"/>
                    </w:rPr>
                  </w:pPr>
                  <w:r>
                    <w:rPr>
                      <w:rFonts w:hint="eastAsia"/>
                      <w:b/>
                      <w:bCs/>
                      <w:sz w:val="21"/>
                      <w:szCs w:val="21"/>
                      <w:lang w:val="en-US" w:eastAsia="zh-CN"/>
                    </w:rPr>
                    <w:t>运行时段</w:t>
                  </w:r>
                </w:p>
              </w:tc>
            </w:tr>
            <w:tr w14:paraId="59A96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4" w:hRule="atLeast"/>
                <w:jc w:val="center"/>
              </w:trPr>
              <w:tc>
                <w:tcPr>
                  <w:tcW w:w="420" w:type="pct"/>
                  <w:vMerge w:val="continue"/>
                  <w:tcBorders>
                    <w:top w:val="single" w:color="auto" w:sz="4" w:space="0"/>
                    <w:left w:val="single" w:color="auto" w:sz="4" w:space="0"/>
                    <w:bottom w:val="single" w:color="auto" w:sz="4" w:space="0"/>
                    <w:right w:val="single" w:color="auto" w:sz="4" w:space="0"/>
                    <w:tl2br w:val="nil"/>
                    <w:tr2bl w:val="nil"/>
                  </w:tcBorders>
                  <w:noWrap w:val="0"/>
                  <w:textDirection w:val="tbRlV"/>
                  <w:vAlign w:val="center"/>
                </w:tcPr>
                <w:p w14:paraId="40F7B4C9">
                  <w:pPr>
                    <w:keepNext w:val="0"/>
                    <w:keepLines w:val="0"/>
                    <w:suppressLineNumbers w:val="0"/>
                    <w:spacing w:before="0" w:beforeAutospacing="0" w:after="0" w:afterAutospacing="0"/>
                    <w:ind w:left="0" w:right="0"/>
                    <w:jc w:val="center"/>
                    <w:rPr>
                      <w:rFonts w:hint="default"/>
                      <w:sz w:val="21"/>
                      <w:szCs w:val="21"/>
                    </w:rPr>
                  </w:pPr>
                </w:p>
              </w:tc>
              <w:tc>
                <w:tcPr>
                  <w:tcW w:w="878"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013915EA">
                  <w:pPr>
                    <w:keepNext w:val="0"/>
                    <w:keepLines w:val="0"/>
                    <w:suppressLineNumbers w:val="0"/>
                    <w:spacing w:before="0" w:beforeAutospacing="0" w:after="0" w:afterAutospacing="0"/>
                    <w:ind w:left="0" w:right="0"/>
                    <w:jc w:val="center"/>
                    <w:rPr>
                      <w:rFonts w:hint="default"/>
                      <w:sz w:val="21"/>
                      <w:szCs w:val="21"/>
                    </w:rPr>
                  </w:pPr>
                </w:p>
              </w:tc>
              <w:tc>
                <w:tcPr>
                  <w:tcW w:w="393"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019365E9">
                  <w:pPr>
                    <w:keepNext w:val="0"/>
                    <w:keepLines w:val="0"/>
                    <w:suppressLineNumbers w:val="0"/>
                    <w:spacing w:before="0" w:beforeAutospacing="0" w:after="0" w:afterAutospacing="0"/>
                    <w:ind w:left="0" w:right="0"/>
                    <w:jc w:val="center"/>
                    <w:rPr>
                      <w:rFonts w:hint="default"/>
                      <w:sz w:val="21"/>
                      <w:szCs w:val="21"/>
                    </w:rPr>
                  </w:pPr>
                </w:p>
              </w:tc>
              <w:tc>
                <w:tcPr>
                  <w:tcW w:w="28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EC26C4C">
                  <w:pPr>
                    <w:keepNext w:val="0"/>
                    <w:keepLines w:val="0"/>
                    <w:suppressLineNumbers w:val="0"/>
                    <w:spacing w:before="0" w:beforeAutospacing="0" w:after="0" w:afterAutospacing="0"/>
                    <w:ind w:left="0" w:right="0"/>
                    <w:jc w:val="center"/>
                    <w:rPr>
                      <w:rFonts w:hint="default"/>
                      <w:sz w:val="21"/>
                      <w:szCs w:val="21"/>
                    </w:rPr>
                  </w:pPr>
                  <w:r>
                    <w:rPr>
                      <w:rFonts w:hint="default"/>
                      <w:sz w:val="21"/>
                      <w:szCs w:val="21"/>
                    </w:rPr>
                    <w:t>X</w:t>
                  </w:r>
                </w:p>
              </w:tc>
              <w:tc>
                <w:tcPr>
                  <w:tcW w:w="2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2554A3E">
                  <w:pPr>
                    <w:keepNext w:val="0"/>
                    <w:keepLines w:val="0"/>
                    <w:suppressLineNumbers w:val="0"/>
                    <w:spacing w:before="0" w:beforeAutospacing="0" w:after="0" w:afterAutospacing="0"/>
                    <w:ind w:left="0" w:right="0"/>
                    <w:jc w:val="center"/>
                    <w:rPr>
                      <w:rFonts w:hint="default"/>
                      <w:sz w:val="21"/>
                      <w:szCs w:val="21"/>
                    </w:rPr>
                  </w:pPr>
                  <w:r>
                    <w:rPr>
                      <w:rFonts w:hint="default"/>
                      <w:sz w:val="21"/>
                      <w:szCs w:val="21"/>
                    </w:rPr>
                    <w:t>Y</w:t>
                  </w:r>
                </w:p>
              </w:tc>
              <w:tc>
                <w:tcPr>
                  <w:tcW w:w="25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00873BF">
                  <w:pPr>
                    <w:keepNext w:val="0"/>
                    <w:keepLines w:val="0"/>
                    <w:suppressLineNumbers w:val="0"/>
                    <w:spacing w:before="0" w:beforeAutospacing="0" w:after="0" w:afterAutospacing="0"/>
                    <w:ind w:left="0" w:right="0"/>
                    <w:jc w:val="center"/>
                    <w:rPr>
                      <w:rFonts w:hint="default"/>
                      <w:sz w:val="21"/>
                      <w:szCs w:val="21"/>
                    </w:rPr>
                  </w:pPr>
                  <w:r>
                    <w:rPr>
                      <w:rFonts w:hint="default"/>
                      <w:sz w:val="21"/>
                      <w:szCs w:val="21"/>
                    </w:rPr>
                    <w:t>Z</w:t>
                  </w:r>
                </w:p>
              </w:tc>
              <w:tc>
                <w:tcPr>
                  <w:tcW w:w="1114"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4E2B02F3">
                  <w:pPr>
                    <w:keepNext w:val="0"/>
                    <w:keepLines w:val="0"/>
                    <w:suppressLineNumbers w:val="0"/>
                    <w:spacing w:before="0" w:beforeAutospacing="0" w:after="0" w:afterAutospacing="0"/>
                    <w:ind w:left="0" w:right="0"/>
                    <w:jc w:val="center"/>
                    <w:rPr>
                      <w:rFonts w:hint="default"/>
                      <w:sz w:val="21"/>
                      <w:szCs w:val="21"/>
                    </w:rPr>
                  </w:pPr>
                </w:p>
              </w:tc>
              <w:tc>
                <w:tcPr>
                  <w:tcW w:w="693" w:type="pct"/>
                  <w:vMerge w:val="continue"/>
                  <w:tcBorders>
                    <w:left w:val="single" w:color="auto" w:sz="4" w:space="0"/>
                    <w:bottom w:val="single" w:color="auto" w:sz="4" w:space="0"/>
                    <w:right w:val="single" w:color="auto" w:sz="4" w:space="0"/>
                    <w:tl2br w:val="nil"/>
                    <w:tr2bl w:val="nil"/>
                  </w:tcBorders>
                  <w:noWrap w:val="0"/>
                  <w:vAlign w:val="center"/>
                </w:tcPr>
                <w:p w14:paraId="2DBD647B">
                  <w:pPr>
                    <w:keepNext w:val="0"/>
                    <w:keepLines w:val="0"/>
                    <w:suppressLineNumbers w:val="0"/>
                    <w:spacing w:before="0" w:beforeAutospacing="0" w:after="0" w:afterAutospacing="0"/>
                    <w:ind w:left="0" w:right="0"/>
                    <w:jc w:val="center"/>
                    <w:rPr>
                      <w:rFonts w:hint="default"/>
                      <w:sz w:val="21"/>
                      <w:szCs w:val="21"/>
                    </w:rPr>
                  </w:pPr>
                </w:p>
              </w:tc>
              <w:tc>
                <w:tcPr>
                  <w:tcW w:w="688" w:type="pct"/>
                  <w:vMerge w:val="continue"/>
                  <w:tcBorders>
                    <w:left w:val="single" w:color="auto" w:sz="4" w:space="0"/>
                    <w:bottom w:val="single" w:color="auto" w:sz="4" w:space="0"/>
                    <w:right w:val="single" w:color="auto" w:sz="4" w:space="0"/>
                    <w:tl2br w:val="nil"/>
                    <w:tr2bl w:val="nil"/>
                  </w:tcBorders>
                  <w:noWrap w:val="0"/>
                  <w:vAlign w:val="center"/>
                </w:tcPr>
                <w:p w14:paraId="763CABD4">
                  <w:pPr>
                    <w:keepNext w:val="0"/>
                    <w:keepLines w:val="0"/>
                    <w:suppressLineNumbers w:val="0"/>
                    <w:spacing w:before="0" w:beforeAutospacing="0" w:after="0" w:afterAutospacing="0"/>
                    <w:ind w:left="0" w:right="0"/>
                    <w:jc w:val="center"/>
                    <w:rPr>
                      <w:rFonts w:hint="default"/>
                      <w:sz w:val="21"/>
                      <w:szCs w:val="21"/>
                    </w:rPr>
                  </w:pPr>
                </w:p>
              </w:tc>
            </w:tr>
            <w:tr w14:paraId="32EA4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420" w:type="pct"/>
                  <w:vMerge w:val="restart"/>
                  <w:tcBorders>
                    <w:top w:val="single" w:color="auto" w:sz="4" w:space="0"/>
                    <w:left w:val="single" w:color="auto" w:sz="4" w:space="0"/>
                    <w:right w:val="single" w:color="auto" w:sz="4" w:space="0"/>
                    <w:tl2br w:val="nil"/>
                    <w:tr2bl w:val="nil"/>
                  </w:tcBorders>
                  <w:noWrap w:val="0"/>
                  <w:vAlign w:val="center"/>
                </w:tcPr>
                <w:p w14:paraId="698FE963">
                  <w:pPr>
                    <w:keepNext w:val="0"/>
                    <w:keepLines w:val="0"/>
                    <w:suppressLineNumbers w:val="0"/>
                    <w:spacing w:before="0" w:beforeAutospacing="0" w:after="0" w:afterAutospacing="0"/>
                    <w:ind w:left="0" w:right="0"/>
                    <w:jc w:val="center"/>
                    <w:rPr>
                      <w:rFonts w:hint="default"/>
                      <w:sz w:val="21"/>
                      <w:szCs w:val="21"/>
                    </w:rPr>
                  </w:pPr>
                  <w:r>
                    <w:rPr>
                      <w:rFonts w:hint="eastAsia"/>
                      <w:sz w:val="21"/>
                      <w:szCs w:val="21"/>
                      <w:lang w:val="en-US" w:eastAsia="zh-CN"/>
                    </w:rPr>
                    <w:t>1</w:t>
                  </w:r>
                </w:p>
              </w:tc>
              <w:tc>
                <w:tcPr>
                  <w:tcW w:w="878" w:type="pct"/>
                  <w:vMerge w:val="restart"/>
                  <w:tcBorders>
                    <w:top w:val="single" w:color="auto" w:sz="4" w:space="0"/>
                    <w:left w:val="single" w:color="auto" w:sz="4" w:space="0"/>
                    <w:right w:val="single" w:color="auto" w:sz="4" w:space="0"/>
                    <w:tl2br w:val="nil"/>
                    <w:tr2bl w:val="nil"/>
                  </w:tcBorders>
                  <w:noWrap w:val="0"/>
                  <w:vAlign w:val="center"/>
                </w:tcPr>
                <w:p w14:paraId="5698E209">
                  <w:pPr>
                    <w:keepNext w:val="0"/>
                    <w:keepLines w:val="0"/>
                    <w:suppressLineNumbers w:val="0"/>
                    <w:spacing w:before="0" w:beforeAutospacing="0" w:after="0" w:afterAutospacing="0"/>
                    <w:ind w:left="0" w:right="0"/>
                    <w:jc w:val="center"/>
                    <w:rPr>
                      <w:rFonts w:hint="default"/>
                      <w:sz w:val="21"/>
                      <w:szCs w:val="21"/>
                    </w:rPr>
                  </w:pPr>
                  <w:r>
                    <w:rPr>
                      <w:rFonts w:hint="eastAsia" w:ascii="Times New Roman" w:hAnsi="Times New Roman" w:eastAsia="宋体" w:cs="Times New Roman"/>
                      <w:color w:val="auto"/>
                      <w:sz w:val="21"/>
                      <w:szCs w:val="21"/>
                      <w:lang w:val="en-US" w:eastAsia="zh-CN"/>
                    </w:rPr>
                    <w:t>风机</w:t>
                  </w:r>
                </w:p>
              </w:tc>
              <w:tc>
                <w:tcPr>
                  <w:tcW w:w="393" w:type="pct"/>
                  <w:vMerge w:val="restart"/>
                  <w:tcBorders>
                    <w:top w:val="single" w:color="auto" w:sz="4" w:space="0"/>
                    <w:left w:val="single" w:color="auto" w:sz="4" w:space="0"/>
                    <w:right w:val="single" w:color="auto" w:sz="4" w:space="0"/>
                    <w:tl2br w:val="nil"/>
                    <w:tr2bl w:val="nil"/>
                  </w:tcBorders>
                  <w:noWrap w:val="0"/>
                  <w:vAlign w:val="center"/>
                </w:tcPr>
                <w:p w14:paraId="1420A3BF">
                  <w:pPr>
                    <w:keepNext w:val="0"/>
                    <w:keepLines w:val="0"/>
                    <w:suppressLineNumbers w:val="0"/>
                    <w:spacing w:before="0" w:beforeAutospacing="0" w:after="0" w:afterAutospacing="0"/>
                    <w:ind w:left="0" w:right="0"/>
                    <w:jc w:val="center"/>
                    <w:rPr>
                      <w:rFonts w:hint="default"/>
                      <w:sz w:val="21"/>
                      <w:szCs w:val="21"/>
                    </w:rPr>
                  </w:pPr>
                  <w:r>
                    <w:rPr>
                      <w:rFonts w:hint="eastAsia"/>
                      <w:sz w:val="21"/>
                      <w:szCs w:val="21"/>
                      <w:lang w:val="en-US" w:eastAsia="zh-CN"/>
                    </w:rPr>
                    <w:t>1</w:t>
                  </w:r>
                </w:p>
              </w:tc>
              <w:tc>
                <w:tcPr>
                  <w:tcW w:w="28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955573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68</w:t>
                  </w:r>
                </w:p>
              </w:tc>
              <w:tc>
                <w:tcPr>
                  <w:tcW w:w="2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BA68E2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w:t>
                  </w:r>
                </w:p>
              </w:tc>
              <w:tc>
                <w:tcPr>
                  <w:tcW w:w="25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50E7D8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w:t>
                  </w:r>
                </w:p>
              </w:tc>
              <w:tc>
                <w:tcPr>
                  <w:tcW w:w="1114" w:type="pct"/>
                  <w:vMerge w:val="restart"/>
                  <w:tcBorders>
                    <w:top w:val="single" w:color="auto" w:sz="4" w:space="0"/>
                    <w:left w:val="single" w:color="auto" w:sz="4" w:space="0"/>
                    <w:right w:val="single" w:color="auto" w:sz="4" w:space="0"/>
                    <w:tl2br w:val="nil"/>
                    <w:tr2bl w:val="nil"/>
                  </w:tcBorders>
                  <w:noWrap w:val="0"/>
                  <w:vAlign w:val="center"/>
                </w:tcPr>
                <w:p w14:paraId="680F5376">
                  <w:pPr>
                    <w:keepNext w:val="0"/>
                    <w:keepLines w:val="0"/>
                    <w:suppressLineNumbers w:val="0"/>
                    <w:adjustRightInd w:val="0"/>
                    <w:snapToGrid w:val="0"/>
                    <w:spacing w:before="0" w:beforeAutospacing="0" w:after="0" w:afterAutospacing="0"/>
                    <w:ind w:left="0" w:leftChars="0" w:right="0" w:rightChars="0"/>
                    <w:jc w:val="center"/>
                    <w:rPr>
                      <w:rFonts w:hint="default"/>
                      <w:sz w:val="21"/>
                      <w:szCs w:val="21"/>
                      <w:lang w:val="en-US" w:eastAsia="zh-CN"/>
                    </w:rPr>
                  </w:pPr>
                  <w:r>
                    <w:rPr>
                      <w:rFonts w:hint="eastAsia" w:ascii="Times New Roman" w:hAnsi="Times New Roman" w:eastAsia="宋体" w:cs="Times New Roman"/>
                      <w:color w:val="auto"/>
                      <w:kern w:val="2"/>
                      <w:sz w:val="21"/>
                      <w:szCs w:val="21"/>
                      <w:highlight w:val="none"/>
                      <w:lang w:val="en-US" w:eastAsia="zh-CN" w:bidi="ar-SA"/>
                    </w:rPr>
                    <w:t>85</w:t>
                  </w:r>
                </w:p>
              </w:tc>
              <w:tc>
                <w:tcPr>
                  <w:tcW w:w="693" w:type="pct"/>
                  <w:vMerge w:val="restart"/>
                  <w:tcBorders>
                    <w:top w:val="single" w:color="auto" w:sz="4" w:space="0"/>
                    <w:left w:val="single" w:color="auto" w:sz="4" w:space="0"/>
                    <w:right w:val="single" w:color="auto" w:sz="4" w:space="0"/>
                    <w:tl2br w:val="nil"/>
                    <w:tr2bl w:val="nil"/>
                  </w:tcBorders>
                  <w:noWrap w:val="0"/>
                  <w:vAlign w:val="center"/>
                </w:tcPr>
                <w:p w14:paraId="6D0FF298">
                  <w:pPr>
                    <w:keepNext w:val="0"/>
                    <w:keepLines w:val="0"/>
                    <w:suppressLineNumbers w:val="0"/>
                    <w:spacing w:before="0" w:beforeAutospacing="0" w:after="0" w:afterAutospacing="0"/>
                    <w:ind w:left="0" w:right="0"/>
                    <w:jc w:val="center"/>
                    <w:rPr>
                      <w:rFonts w:hint="default"/>
                      <w:sz w:val="21"/>
                      <w:szCs w:val="21"/>
                      <w:lang w:val="en-US" w:eastAsia="zh-CN"/>
                    </w:rPr>
                  </w:pPr>
                  <w:r>
                    <w:rPr>
                      <w:rFonts w:hint="default"/>
                      <w:sz w:val="21"/>
                      <w:szCs w:val="21"/>
                      <w:lang w:val="en-US" w:eastAsia="zh-CN"/>
                    </w:rPr>
                    <w:t>选用低噪设备；风机进、出风管加设消音器，基础下加设减振器等降噪措施</w:t>
                  </w:r>
                </w:p>
              </w:tc>
              <w:tc>
                <w:tcPr>
                  <w:tcW w:w="688" w:type="pct"/>
                  <w:vMerge w:val="restart"/>
                  <w:tcBorders>
                    <w:top w:val="single" w:color="auto" w:sz="4" w:space="0"/>
                    <w:left w:val="single" w:color="auto" w:sz="4" w:space="0"/>
                    <w:right w:val="single" w:color="auto" w:sz="4" w:space="0"/>
                    <w:tl2br w:val="nil"/>
                    <w:tr2bl w:val="nil"/>
                  </w:tcBorders>
                  <w:noWrap w:val="0"/>
                  <w:vAlign w:val="center"/>
                </w:tcPr>
                <w:p w14:paraId="448833B8">
                  <w:pPr>
                    <w:keepNext w:val="0"/>
                    <w:keepLines w:val="0"/>
                    <w:suppressLineNumbers w:val="0"/>
                    <w:spacing w:before="0" w:beforeAutospacing="0" w:after="0" w:afterAutospacing="0"/>
                    <w:ind w:left="0" w:right="0"/>
                    <w:jc w:val="center"/>
                    <w:rPr>
                      <w:rFonts w:hint="default"/>
                      <w:sz w:val="21"/>
                      <w:szCs w:val="21"/>
                      <w:lang w:val="en-US" w:eastAsia="zh-CN"/>
                    </w:rPr>
                  </w:pPr>
                  <w:r>
                    <w:rPr>
                      <w:rFonts w:hint="eastAsia"/>
                      <w:sz w:val="21"/>
                      <w:szCs w:val="21"/>
                      <w:lang w:val="en-US" w:eastAsia="zh-CN"/>
                    </w:rPr>
                    <w:t>运行</w:t>
                  </w:r>
                  <w:r>
                    <w:rPr>
                      <w:rFonts w:hint="default"/>
                      <w:sz w:val="21"/>
                      <w:szCs w:val="21"/>
                      <w:lang w:val="en-US" w:eastAsia="zh-CN"/>
                    </w:rPr>
                    <w:t>期间</w:t>
                  </w:r>
                </w:p>
              </w:tc>
            </w:tr>
            <w:tr w14:paraId="5F8CF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420" w:type="pct"/>
                  <w:vMerge w:val="continue"/>
                  <w:tcBorders>
                    <w:left w:val="single" w:color="auto" w:sz="4" w:space="0"/>
                    <w:right w:val="single" w:color="auto" w:sz="4" w:space="0"/>
                    <w:tl2br w:val="nil"/>
                    <w:tr2bl w:val="nil"/>
                  </w:tcBorders>
                  <w:noWrap w:val="0"/>
                  <w:vAlign w:val="center"/>
                </w:tcPr>
                <w:p w14:paraId="66BAF992">
                  <w:pPr>
                    <w:keepNext w:val="0"/>
                    <w:keepLines w:val="0"/>
                    <w:widowControl/>
                    <w:suppressLineNumbers w:val="0"/>
                    <w:spacing w:before="0" w:beforeAutospacing="0" w:after="0" w:afterAutospacing="0"/>
                    <w:ind w:left="0" w:leftChars="0" w:right="0" w:rightChars="0"/>
                    <w:jc w:val="center"/>
                    <w:textAlignment w:val="center"/>
                  </w:pPr>
                </w:p>
              </w:tc>
              <w:tc>
                <w:tcPr>
                  <w:tcW w:w="878" w:type="pct"/>
                  <w:vMerge w:val="continue"/>
                  <w:tcBorders>
                    <w:left w:val="single" w:color="auto" w:sz="4" w:space="0"/>
                    <w:right w:val="single" w:color="auto" w:sz="4" w:space="0"/>
                    <w:tl2br w:val="nil"/>
                    <w:tr2bl w:val="nil"/>
                  </w:tcBorders>
                  <w:noWrap w:val="0"/>
                  <w:vAlign w:val="center"/>
                </w:tcPr>
                <w:p w14:paraId="584634C6">
                  <w:pPr>
                    <w:keepNext w:val="0"/>
                    <w:keepLines w:val="0"/>
                    <w:widowControl/>
                    <w:suppressLineNumbers w:val="0"/>
                    <w:spacing w:before="0" w:beforeAutospacing="0" w:after="0" w:afterAutospacing="0"/>
                    <w:ind w:left="0" w:leftChars="0" w:right="0" w:rightChars="0"/>
                    <w:jc w:val="center"/>
                    <w:textAlignment w:val="center"/>
                  </w:pPr>
                </w:p>
              </w:tc>
              <w:tc>
                <w:tcPr>
                  <w:tcW w:w="393" w:type="pct"/>
                  <w:vMerge w:val="continue"/>
                  <w:tcBorders>
                    <w:left w:val="single" w:color="auto" w:sz="4" w:space="0"/>
                    <w:right w:val="single" w:color="auto" w:sz="4" w:space="0"/>
                    <w:tl2br w:val="nil"/>
                    <w:tr2bl w:val="nil"/>
                  </w:tcBorders>
                  <w:noWrap w:val="0"/>
                  <w:vAlign w:val="center"/>
                </w:tcPr>
                <w:p w14:paraId="66D116AE">
                  <w:pPr>
                    <w:keepNext w:val="0"/>
                    <w:keepLines w:val="0"/>
                    <w:widowControl/>
                    <w:suppressLineNumbers w:val="0"/>
                    <w:spacing w:before="0" w:beforeAutospacing="0" w:after="0" w:afterAutospacing="0"/>
                    <w:ind w:left="0" w:leftChars="0" w:right="0" w:rightChars="0"/>
                    <w:jc w:val="center"/>
                    <w:textAlignment w:val="center"/>
                  </w:pPr>
                </w:p>
              </w:tc>
              <w:tc>
                <w:tcPr>
                  <w:tcW w:w="28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6219A39">
                  <w:pPr>
                    <w:keepNext w:val="0"/>
                    <w:keepLines w:val="0"/>
                    <w:widowControl/>
                    <w:suppressLineNumbers w:val="0"/>
                    <w:spacing w:before="0" w:beforeAutospacing="0" w:after="0" w:afterAutospacing="0"/>
                    <w:ind w:left="0" w:leftChars="0" w:right="0" w:rightChars="0"/>
                    <w:jc w:val="center"/>
                    <w:textAlignment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29</w:t>
                  </w:r>
                </w:p>
              </w:tc>
              <w:tc>
                <w:tcPr>
                  <w:tcW w:w="2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D8178F8">
                  <w:pPr>
                    <w:keepNext w:val="0"/>
                    <w:keepLines w:val="0"/>
                    <w:widowControl/>
                    <w:suppressLineNumbers w:val="0"/>
                    <w:spacing w:before="0" w:beforeAutospacing="0" w:after="0" w:afterAutospacing="0"/>
                    <w:ind w:left="0" w:leftChars="0" w:right="0" w:rightChars="0"/>
                    <w:jc w:val="center"/>
                    <w:textAlignment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w:t>
                  </w:r>
                </w:p>
              </w:tc>
              <w:tc>
                <w:tcPr>
                  <w:tcW w:w="25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D10C84A">
                  <w:pPr>
                    <w:keepNext w:val="0"/>
                    <w:keepLines w:val="0"/>
                    <w:widowControl/>
                    <w:suppressLineNumbers w:val="0"/>
                    <w:spacing w:before="0" w:beforeAutospacing="0" w:after="0" w:afterAutospacing="0"/>
                    <w:ind w:left="0" w:leftChars="0" w:right="0" w:rightChars="0"/>
                    <w:jc w:val="center"/>
                    <w:textAlignment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w:t>
                  </w:r>
                </w:p>
              </w:tc>
              <w:tc>
                <w:tcPr>
                  <w:tcW w:w="1114" w:type="pct"/>
                  <w:vMerge w:val="continue"/>
                  <w:tcBorders>
                    <w:left w:val="single" w:color="auto" w:sz="4" w:space="0"/>
                    <w:right w:val="single" w:color="auto" w:sz="4" w:space="0"/>
                    <w:tl2br w:val="nil"/>
                    <w:tr2bl w:val="nil"/>
                  </w:tcBorders>
                  <w:noWrap w:val="0"/>
                  <w:vAlign w:val="center"/>
                </w:tcPr>
                <w:p w14:paraId="0A31BE7F">
                  <w:pPr>
                    <w:keepNext w:val="0"/>
                    <w:keepLines w:val="0"/>
                    <w:widowControl/>
                    <w:suppressLineNumbers w:val="0"/>
                    <w:spacing w:before="0" w:beforeAutospacing="0" w:after="0" w:afterAutospacing="0"/>
                    <w:ind w:left="0" w:leftChars="0" w:right="0" w:rightChars="0"/>
                    <w:jc w:val="center"/>
                    <w:textAlignment w:val="center"/>
                    <w:rPr>
                      <w:rFonts w:hint="eastAsia" w:cs="Times New Roman"/>
                      <w:color w:val="auto"/>
                      <w:kern w:val="2"/>
                      <w:sz w:val="21"/>
                      <w:szCs w:val="21"/>
                      <w:highlight w:val="none"/>
                      <w:lang w:val="en-US" w:eastAsia="zh-CN" w:bidi="ar-SA"/>
                    </w:rPr>
                  </w:pPr>
                </w:p>
              </w:tc>
              <w:tc>
                <w:tcPr>
                  <w:tcW w:w="693" w:type="pct"/>
                  <w:vMerge w:val="continue"/>
                  <w:tcBorders>
                    <w:left w:val="single" w:color="auto" w:sz="4" w:space="0"/>
                    <w:right w:val="single" w:color="auto" w:sz="4" w:space="0"/>
                    <w:tl2br w:val="nil"/>
                    <w:tr2bl w:val="nil"/>
                  </w:tcBorders>
                  <w:noWrap w:val="0"/>
                  <w:vAlign w:val="center"/>
                </w:tcPr>
                <w:p w14:paraId="3FD87B6F">
                  <w:pPr>
                    <w:keepNext w:val="0"/>
                    <w:keepLines w:val="0"/>
                    <w:widowControl/>
                    <w:suppressLineNumbers w:val="0"/>
                    <w:spacing w:before="0" w:beforeAutospacing="0" w:after="0" w:afterAutospacing="0"/>
                    <w:ind w:left="0" w:leftChars="0" w:right="0" w:rightChars="0"/>
                    <w:jc w:val="center"/>
                    <w:textAlignment w:val="center"/>
                    <w:rPr>
                      <w:rFonts w:hint="eastAsia" w:cs="Times New Roman"/>
                      <w:color w:val="auto"/>
                      <w:kern w:val="2"/>
                      <w:sz w:val="21"/>
                      <w:szCs w:val="21"/>
                      <w:highlight w:val="none"/>
                      <w:lang w:val="en-US" w:eastAsia="zh-CN" w:bidi="ar-SA"/>
                    </w:rPr>
                  </w:pPr>
                </w:p>
              </w:tc>
              <w:tc>
                <w:tcPr>
                  <w:tcW w:w="688" w:type="pct"/>
                  <w:vMerge w:val="continue"/>
                  <w:tcBorders>
                    <w:left w:val="single" w:color="auto" w:sz="4" w:space="0"/>
                    <w:right w:val="single" w:color="auto" w:sz="4" w:space="0"/>
                    <w:tl2br w:val="nil"/>
                    <w:tr2bl w:val="nil"/>
                  </w:tcBorders>
                  <w:noWrap w:val="0"/>
                  <w:vAlign w:val="center"/>
                </w:tcPr>
                <w:p w14:paraId="60E33749">
                  <w:pPr>
                    <w:keepNext w:val="0"/>
                    <w:keepLines w:val="0"/>
                    <w:widowControl/>
                    <w:suppressLineNumbers w:val="0"/>
                    <w:spacing w:before="0" w:beforeAutospacing="0" w:after="0" w:afterAutospacing="0"/>
                    <w:ind w:left="0" w:leftChars="0" w:right="0" w:rightChars="0"/>
                    <w:jc w:val="center"/>
                    <w:textAlignment w:val="center"/>
                    <w:rPr>
                      <w:rFonts w:hint="eastAsia" w:cs="Times New Roman"/>
                      <w:color w:val="auto"/>
                      <w:kern w:val="2"/>
                      <w:sz w:val="21"/>
                      <w:szCs w:val="21"/>
                      <w:highlight w:val="none"/>
                      <w:lang w:val="en-US" w:eastAsia="zh-CN" w:bidi="ar-SA"/>
                    </w:rPr>
                  </w:pPr>
                </w:p>
              </w:tc>
            </w:tr>
          </w:tbl>
          <w:p w14:paraId="3C45B780">
            <w:pPr>
              <w:wordWrap w:val="0"/>
              <w:topLinePunct/>
              <w:spacing w:line="360" w:lineRule="auto"/>
              <w:contextualSpacing/>
              <w:jc w:val="both"/>
              <w:textAlignment w:val="center"/>
              <w:rPr>
                <w:rFonts w:ascii="Times New Roman" w:hAnsi="Times New Roman"/>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注：本项目以厂区西南角为坐标原点，南厂界为X轴，西厂界为Y轴，</w:t>
            </w:r>
            <w:r>
              <w:rPr>
                <w:rFonts w:hint="default" w:ascii="Times New Roman" w:hAnsi="Times New Roman" w:eastAsia="宋体" w:cs="Times New Roman"/>
                <w:b/>
                <w:bCs/>
                <w:color w:val="auto"/>
                <w:sz w:val="21"/>
                <w:szCs w:val="18"/>
                <w:lang w:val="en-US" w:eastAsia="zh-CN"/>
              </w:rPr>
              <w:t>厂区地面高程为Z</w:t>
            </w:r>
            <w:r>
              <w:rPr>
                <w:rFonts w:hint="default" w:ascii="Times New Roman" w:hAnsi="Times New Roman" w:eastAsia="宋体" w:cs="Times New Roman"/>
                <w:b/>
                <w:bCs/>
                <w:color w:val="auto"/>
                <w:sz w:val="21"/>
                <w:szCs w:val="21"/>
                <w:highlight w:val="none"/>
                <w:lang w:val="en-US" w:eastAsia="zh-CN"/>
              </w:rPr>
              <w:t>轴；</w:t>
            </w:r>
          </w:p>
          <w:p w14:paraId="7CCE7286">
            <w:pPr>
              <w:spacing w:line="360" w:lineRule="auto"/>
              <w:jc w:val="both"/>
              <w:rPr>
                <w:rFonts w:hint="default" w:ascii="Times New Roman" w:hAnsi="Times New Roman" w:cs="Times New Roman"/>
                <w:color w:val="0000FF"/>
                <w:sz w:val="21"/>
                <w:szCs w:val="21"/>
                <w:lang w:val="en-US" w:eastAsia="zh-CN"/>
              </w:rPr>
            </w:pPr>
          </w:p>
        </w:tc>
      </w:tr>
    </w:tbl>
    <w:p w14:paraId="61A31C9F">
      <w:pPr>
        <w:jc w:val="both"/>
        <w:rPr>
          <w:rFonts w:hint="default" w:ascii="Times New Roman" w:hAnsi="Times New Roman" w:cs="Times New Roman"/>
          <w:color w:val="0000FF"/>
          <w:sz w:val="24"/>
          <w:szCs w:val="22"/>
        </w:rPr>
        <w:sectPr>
          <w:pgSz w:w="16838" w:h="11906" w:orient="landscape"/>
          <w:pgMar w:top="1417" w:right="1417" w:bottom="1417" w:left="1417" w:header="851" w:footer="992" w:gutter="0"/>
          <w:pgNumType w:fmt="decimal"/>
          <w:cols w:space="720" w:num="1"/>
          <w:rtlGutter w:val="0"/>
          <w:docGrid w:type="lines" w:linePitch="312" w:charSpace="0"/>
        </w:sect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2"/>
        <w:gridCol w:w="8666"/>
      </w:tblGrid>
      <w:tr w14:paraId="6843C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4" w:hRule="atLeast"/>
        </w:trPr>
        <w:tc>
          <w:tcPr>
            <w:tcW w:w="622" w:type="dxa"/>
            <w:noWrap w:val="0"/>
            <w:vAlign w:val="center"/>
          </w:tcPr>
          <w:p w14:paraId="48910C52">
            <w:pPr>
              <w:bidi w:val="0"/>
              <w:jc w:val="center"/>
              <w:rPr>
                <w:rFonts w:hint="default" w:ascii="Times New Roman" w:hAnsi="Times New Roman" w:cs="Times New Roman"/>
                <w:color w:val="auto"/>
                <w:vertAlign w:val="baseline"/>
              </w:rPr>
            </w:pPr>
            <w:r>
              <w:rPr>
                <w:rFonts w:hint="default" w:ascii="Times New Roman" w:hAnsi="Times New Roman" w:cs="Times New Roman"/>
                <w:color w:val="auto"/>
                <w:vertAlign w:val="baseline"/>
              </w:rPr>
              <w:t>运营</w:t>
            </w:r>
          </w:p>
          <w:p w14:paraId="3235D7D7">
            <w:pPr>
              <w:bidi w:val="0"/>
              <w:jc w:val="center"/>
              <w:rPr>
                <w:rFonts w:hint="default" w:ascii="Times New Roman" w:hAnsi="Times New Roman" w:cs="Times New Roman"/>
                <w:color w:val="auto"/>
                <w:vertAlign w:val="baseline"/>
              </w:rPr>
            </w:pPr>
            <w:r>
              <w:rPr>
                <w:rFonts w:hint="default" w:ascii="Times New Roman" w:hAnsi="Times New Roman" w:cs="Times New Roman"/>
                <w:color w:val="auto"/>
                <w:vertAlign w:val="baseline"/>
              </w:rPr>
              <w:t>期环</w:t>
            </w:r>
          </w:p>
          <w:p w14:paraId="42CF73D9">
            <w:pPr>
              <w:bidi w:val="0"/>
              <w:jc w:val="center"/>
              <w:rPr>
                <w:rFonts w:hint="default" w:ascii="Times New Roman" w:hAnsi="Times New Roman" w:cs="Times New Roman"/>
                <w:color w:val="auto"/>
                <w:vertAlign w:val="baseline"/>
              </w:rPr>
            </w:pPr>
            <w:r>
              <w:rPr>
                <w:rFonts w:hint="default" w:ascii="Times New Roman" w:hAnsi="Times New Roman" w:cs="Times New Roman"/>
                <w:color w:val="auto"/>
                <w:vertAlign w:val="baseline"/>
              </w:rPr>
              <w:t>境影</w:t>
            </w:r>
          </w:p>
          <w:p w14:paraId="5C9BD1D5">
            <w:pPr>
              <w:bidi w:val="0"/>
              <w:jc w:val="center"/>
              <w:rPr>
                <w:rFonts w:hint="default" w:ascii="Times New Roman" w:hAnsi="Times New Roman" w:cs="Times New Roman"/>
                <w:color w:val="auto"/>
                <w:vertAlign w:val="baseline"/>
              </w:rPr>
            </w:pPr>
            <w:r>
              <w:rPr>
                <w:rFonts w:hint="default" w:ascii="Times New Roman" w:hAnsi="Times New Roman" w:cs="Times New Roman"/>
                <w:color w:val="auto"/>
                <w:vertAlign w:val="baseline"/>
              </w:rPr>
              <w:t>响和</w:t>
            </w:r>
          </w:p>
          <w:p w14:paraId="02D9A3C5">
            <w:pPr>
              <w:bidi w:val="0"/>
              <w:jc w:val="center"/>
              <w:rPr>
                <w:rFonts w:hint="default" w:ascii="Times New Roman" w:hAnsi="Times New Roman" w:cs="Times New Roman"/>
                <w:color w:val="auto"/>
                <w:vertAlign w:val="baseline"/>
              </w:rPr>
            </w:pPr>
            <w:r>
              <w:rPr>
                <w:rFonts w:hint="default" w:ascii="Times New Roman" w:hAnsi="Times New Roman" w:cs="Times New Roman"/>
                <w:color w:val="auto"/>
                <w:vertAlign w:val="baseline"/>
              </w:rPr>
              <w:t>保护</w:t>
            </w:r>
          </w:p>
          <w:p w14:paraId="729F4DCD">
            <w:pPr>
              <w:bidi w:val="0"/>
              <w:jc w:val="center"/>
              <w:rPr>
                <w:rFonts w:hint="default" w:ascii="Times New Roman" w:hAnsi="Times New Roman" w:cs="Times New Roman"/>
                <w:color w:val="0000FF"/>
                <w:vertAlign w:val="baseline"/>
              </w:rPr>
            </w:pPr>
            <w:r>
              <w:rPr>
                <w:rFonts w:hint="default" w:ascii="Times New Roman" w:hAnsi="Times New Roman" w:cs="Times New Roman"/>
                <w:color w:val="auto"/>
                <w:vertAlign w:val="baseline"/>
              </w:rPr>
              <w:t>措施</w:t>
            </w:r>
          </w:p>
        </w:tc>
        <w:tc>
          <w:tcPr>
            <w:tcW w:w="8666" w:type="dxa"/>
            <w:noWrap w:val="0"/>
            <w:vAlign w:val="top"/>
          </w:tcPr>
          <w:p w14:paraId="626D2728">
            <w:pPr>
              <w:wordWrap w:val="0"/>
              <w:topLinePunct/>
              <w:spacing w:line="360" w:lineRule="auto"/>
              <w:ind w:firstLine="480" w:firstLineChars="200"/>
              <w:contextualSpacing/>
              <w:jc w:val="both"/>
              <w:textAlignment w:val="center"/>
              <w:rPr>
                <w:rFonts w:hint="eastAsia" w:ascii="Times New Roman" w:hAnsi="Times New Roman"/>
                <w:color w:val="auto"/>
                <w:sz w:val="24"/>
              </w:rPr>
            </w:pPr>
            <w:r>
              <w:rPr>
                <w:sz w:val="24"/>
                <w:szCs w:val="32"/>
              </w:rPr>
              <w:t>（</w:t>
            </w:r>
            <w:r>
              <w:rPr>
                <w:rFonts w:hint="eastAsia"/>
                <w:sz w:val="24"/>
                <w:szCs w:val="32"/>
              </w:rPr>
              <w:t>2</w:t>
            </w:r>
            <w:r>
              <w:rPr>
                <w:sz w:val="24"/>
                <w:szCs w:val="32"/>
              </w:rPr>
              <w:t>）</w:t>
            </w:r>
            <w:r>
              <w:rPr>
                <w:rFonts w:ascii="Times New Roman" w:hAnsi="Times New Roman"/>
                <w:bCs/>
                <w:color w:val="auto"/>
                <w:sz w:val="24"/>
              </w:rPr>
              <w:t>噪声污染</w:t>
            </w:r>
            <w:r>
              <w:rPr>
                <w:rFonts w:hint="eastAsia" w:ascii="Times New Roman" w:hAnsi="Times New Roman"/>
                <w:bCs/>
                <w:color w:val="auto"/>
                <w:sz w:val="24"/>
              </w:rPr>
              <w:t>防治措施</w:t>
            </w:r>
          </w:p>
          <w:p w14:paraId="09C9852B">
            <w:pPr>
              <w:spacing w:line="360" w:lineRule="auto"/>
              <w:ind w:firstLine="480" w:firstLineChars="200"/>
              <w:jc w:val="both"/>
              <w:rPr>
                <w:rFonts w:hint="default" w:ascii="Times New Roman" w:hAnsi="Times New Roman" w:cs="Times New Roman"/>
                <w:color w:val="auto"/>
                <w:sz w:val="24"/>
                <w:highlight w:val="none"/>
                <w:lang w:val="zh-CN"/>
              </w:rPr>
            </w:pPr>
            <w:r>
              <w:rPr>
                <w:rFonts w:hint="default" w:ascii="Times New Roman" w:hAnsi="Times New Roman" w:cs="Times New Roman"/>
                <w:color w:val="auto"/>
                <w:sz w:val="24"/>
                <w:highlight w:val="none"/>
                <w:lang w:val="zh-CN"/>
              </w:rPr>
              <w:t>项目采取的噪声措施如下：</w:t>
            </w:r>
          </w:p>
          <w:p w14:paraId="4F4BBCB1">
            <w:pPr>
              <w:spacing w:line="360" w:lineRule="auto"/>
              <w:ind w:firstLine="480" w:firstLineChars="200"/>
              <w:jc w:val="both"/>
              <w:rPr>
                <w:rFonts w:hint="default" w:ascii="Times New Roman" w:hAnsi="Times New Roman" w:cs="Times New Roman"/>
                <w:color w:val="auto"/>
                <w:kern w:val="0"/>
                <w:sz w:val="24"/>
                <w:highlight w:val="none"/>
                <w:lang w:val="zh-CN"/>
              </w:rPr>
            </w:pPr>
            <w:r>
              <w:rPr>
                <w:rFonts w:hint="default" w:ascii="Times New Roman" w:hAnsi="Times New Roman" w:eastAsia="宋体" w:cs="Times New Roman"/>
                <w:color w:val="auto"/>
                <w:sz w:val="24"/>
                <w:u w:val="none" w:color="auto"/>
              </w:rPr>
              <w:t>①</w:t>
            </w:r>
            <w:r>
              <w:rPr>
                <w:rFonts w:hint="default" w:ascii="Times New Roman" w:hAnsi="Times New Roman" w:cs="Times New Roman"/>
                <w:color w:val="auto"/>
                <w:kern w:val="0"/>
                <w:sz w:val="24"/>
                <w:highlight w:val="none"/>
              </w:rPr>
              <w:t>合理布局车间</w:t>
            </w:r>
            <w:r>
              <w:rPr>
                <w:rFonts w:hint="default" w:ascii="Times New Roman" w:hAnsi="Times New Roman" w:cs="Times New Roman"/>
                <w:color w:val="auto"/>
                <w:kern w:val="0"/>
                <w:sz w:val="24"/>
                <w:highlight w:val="none"/>
                <w:lang w:val="zh-CN"/>
              </w:rPr>
              <w:t>、</w:t>
            </w:r>
            <w:r>
              <w:rPr>
                <w:rFonts w:hint="default" w:ascii="Times New Roman" w:hAnsi="Times New Roman" w:cs="Times New Roman"/>
                <w:color w:val="auto"/>
                <w:kern w:val="0"/>
                <w:sz w:val="24"/>
                <w:highlight w:val="none"/>
              </w:rPr>
              <w:t>生产车间</w:t>
            </w:r>
            <w:r>
              <w:rPr>
                <w:rFonts w:hint="default" w:ascii="Times New Roman" w:hAnsi="Times New Roman" w:cs="Times New Roman"/>
                <w:color w:val="auto"/>
                <w:kern w:val="0"/>
                <w:sz w:val="24"/>
                <w:highlight w:val="none"/>
                <w:lang w:val="zh-CN"/>
              </w:rPr>
              <w:t>密闭隔声</w:t>
            </w:r>
            <w:r>
              <w:rPr>
                <w:rFonts w:hint="default" w:ascii="Times New Roman" w:hAnsi="Times New Roman" w:cs="Times New Roman"/>
                <w:color w:val="auto"/>
                <w:kern w:val="0"/>
                <w:sz w:val="24"/>
                <w:highlight w:val="none"/>
                <w:lang w:val="zh-CN" w:eastAsia="zh-CN"/>
              </w:rPr>
              <w:t>，设置减振基座</w:t>
            </w:r>
            <w:r>
              <w:rPr>
                <w:rFonts w:hint="default" w:ascii="Times New Roman" w:hAnsi="Times New Roman" w:cs="Times New Roman"/>
                <w:color w:val="auto"/>
                <w:kern w:val="0"/>
                <w:sz w:val="24"/>
                <w:highlight w:val="none"/>
                <w:lang w:val="zh-CN"/>
              </w:rPr>
              <w:t>；</w:t>
            </w:r>
          </w:p>
          <w:p w14:paraId="6D556440">
            <w:pPr>
              <w:spacing w:line="360" w:lineRule="auto"/>
              <w:ind w:firstLine="480" w:firstLineChars="200"/>
              <w:jc w:val="both"/>
              <w:rPr>
                <w:rFonts w:hint="default" w:ascii="Times New Roman" w:hAnsi="Times New Roman" w:cs="Times New Roman"/>
                <w:color w:val="auto"/>
                <w:kern w:val="0"/>
                <w:sz w:val="24"/>
                <w:highlight w:val="none"/>
                <w:lang w:val="zh-CN"/>
              </w:rPr>
            </w:pPr>
            <w:r>
              <w:rPr>
                <w:rFonts w:hint="default" w:ascii="Times New Roman" w:hAnsi="Times New Roman" w:cs="Times New Roman"/>
                <w:color w:val="auto"/>
                <w:kern w:val="0"/>
                <w:sz w:val="24"/>
                <w:szCs w:val="24"/>
                <w:highlight w:val="none"/>
                <w:lang w:val="zh-CN"/>
              </w:rPr>
              <w:fldChar w:fldCharType="begin"/>
            </w:r>
            <w:r>
              <w:rPr>
                <w:rFonts w:hint="default" w:ascii="Times New Roman" w:hAnsi="Times New Roman" w:cs="Times New Roman"/>
                <w:color w:val="auto"/>
                <w:kern w:val="0"/>
                <w:sz w:val="24"/>
                <w:szCs w:val="24"/>
                <w:highlight w:val="none"/>
                <w:lang w:val="zh-CN"/>
              </w:rPr>
              <w:instrText xml:space="preserve"> = 2 \* GB3 \* MERGEFORMAT </w:instrText>
            </w:r>
            <w:r>
              <w:rPr>
                <w:rFonts w:hint="default" w:ascii="Times New Roman" w:hAnsi="Times New Roman" w:cs="Times New Roman"/>
                <w:color w:val="auto"/>
                <w:kern w:val="0"/>
                <w:sz w:val="24"/>
                <w:szCs w:val="24"/>
                <w:highlight w:val="none"/>
                <w:lang w:val="zh-CN"/>
              </w:rPr>
              <w:fldChar w:fldCharType="separate"/>
            </w:r>
            <w:r>
              <w:rPr>
                <w:rFonts w:hint="default" w:ascii="Times New Roman" w:hAnsi="Times New Roman" w:cs="Times New Roman"/>
                <w:color w:val="auto"/>
                <w:sz w:val="24"/>
                <w:szCs w:val="24"/>
                <w:highlight w:val="none"/>
              </w:rPr>
              <w:t>②</w:t>
            </w:r>
            <w:r>
              <w:rPr>
                <w:rFonts w:hint="default" w:ascii="Times New Roman" w:hAnsi="Times New Roman" w:cs="Times New Roman"/>
                <w:color w:val="auto"/>
                <w:kern w:val="0"/>
                <w:sz w:val="24"/>
                <w:szCs w:val="24"/>
                <w:highlight w:val="none"/>
                <w:lang w:val="zh-CN"/>
              </w:rPr>
              <w:fldChar w:fldCharType="end"/>
            </w:r>
            <w:r>
              <w:rPr>
                <w:rFonts w:hint="default" w:ascii="Times New Roman" w:hAnsi="Times New Roman" w:cs="Times New Roman"/>
                <w:color w:val="auto"/>
                <w:kern w:val="0"/>
                <w:sz w:val="24"/>
                <w:highlight w:val="none"/>
                <w:lang w:val="zh-CN"/>
              </w:rPr>
              <w:t>选用低噪声设备，</w:t>
            </w:r>
            <w:r>
              <w:rPr>
                <w:rFonts w:hint="default" w:ascii="Times New Roman" w:hAnsi="Times New Roman" w:cs="Times New Roman"/>
                <w:color w:val="auto"/>
                <w:kern w:val="0"/>
                <w:sz w:val="24"/>
                <w:highlight w:val="none"/>
              </w:rPr>
              <w:t>安装减震减噪措施，</w:t>
            </w:r>
            <w:r>
              <w:rPr>
                <w:rFonts w:hint="default" w:ascii="Times New Roman" w:hAnsi="Times New Roman" w:cs="Times New Roman"/>
                <w:color w:val="auto"/>
                <w:kern w:val="0"/>
                <w:sz w:val="24"/>
                <w:highlight w:val="none"/>
                <w:lang w:val="zh-CN"/>
              </w:rPr>
              <w:t>加强设备的日常检修；</w:t>
            </w:r>
          </w:p>
          <w:p w14:paraId="5153FC8F">
            <w:pPr>
              <w:spacing w:line="360" w:lineRule="auto"/>
              <w:ind w:firstLine="480" w:firstLineChars="200"/>
              <w:jc w:val="both"/>
              <w:rPr>
                <w:sz w:val="24"/>
                <w:szCs w:val="32"/>
              </w:rPr>
            </w:pPr>
            <w:r>
              <w:rPr>
                <w:rFonts w:hint="default" w:ascii="Times New Roman" w:hAnsi="Times New Roman" w:cs="Times New Roman"/>
                <w:color w:val="auto"/>
                <w:kern w:val="0"/>
                <w:sz w:val="24"/>
                <w:szCs w:val="24"/>
                <w:highlight w:val="none"/>
              </w:rPr>
              <w:fldChar w:fldCharType="begin"/>
            </w:r>
            <w:r>
              <w:rPr>
                <w:rFonts w:hint="default" w:ascii="Times New Roman" w:hAnsi="Times New Roman" w:cs="Times New Roman"/>
                <w:color w:val="auto"/>
                <w:kern w:val="0"/>
                <w:sz w:val="24"/>
                <w:szCs w:val="24"/>
                <w:highlight w:val="none"/>
              </w:rPr>
              <w:instrText xml:space="preserve"> = 3 \* GB3 \* MERGEFORMAT </w:instrText>
            </w:r>
            <w:r>
              <w:rPr>
                <w:rFonts w:hint="default" w:ascii="Times New Roman" w:hAnsi="Times New Roman" w:cs="Times New Roman"/>
                <w:color w:val="auto"/>
                <w:kern w:val="0"/>
                <w:sz w:val="24"/>
                <w:szCs w:val="24"/>
                <w:highlight w:val="none"/>
              </w:rPr>
              <w:fldChar w:fldCharType="separate"/>
            </w:r>
            <w:r>
              <w:rPr>
                <w:rFonts w:hint="default" w:ascii="Times New Roman" w:hAnsi="Times New Roman" w:cs="Times New Roman"/>
                <w:color w:val="auto"/>
                <w:sz w:val="24"/>
                <w:szCs w:val="24"/>
                <w:highlight w:val="none"/>
              </w:rPr>
              <w:t>③</w:t>
            </w:r>
            <w:r>
              <w:rPr>
                <w:rFonts w:hint="default" w:ascii="Times New Roman" w:hAnsi="Times New Roman" w:cs="Times New Roman"/>
                <w:color w:val="auto"/>
                <w:kern w:val="0"/>
                <w:sz w:val="24"/>
                <w:szCs w:val="24"/>
                <w:highlight w:val="none"/>
              </w:rPr>
              <w:fldChar w:fldCharType="end"/>
            </w:r>
            <w:r>
              <w:rPr>
                <w:rFonts w:hint="eastAsia" w:ascii="Times New Roman" w:hAnsi="Times New Roman" w:cs="Times New Roman"/>
                <w:color w:val="auto"/>
                <w:kern w:val="0"/>
                <w:sz w:val="24"/>
                <w:highlight w:val="none"/>
                <w:lang w:eastAsia="zh-CN"/>
              </w:rPr>
              <w:t>风机</w:t>
            </w:r>
            <w:r>
              <w:rPr>
                <w:rFonts w:hint="default" w:ascii="Times New Roman" w:hAnsi="Times New Roman" w:cs="Times New Roman"/>
                <w:color w:val="auto"/>
                <w:kern w:val="0"/>
                <w:sz w:val="24"/>
                <w:highlight w:val="none"/>
              </w:rPr>
              <w:t>基础下加设减振器</w:t>
            </w:r>
            <w:r>
              <w:rPr>
                <w:rFonts w:hint="eastAsia"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rPr>
              <w:t>风机进、出风管加设消音器</w:t>
            </w:r>
            <w:r>
              <w:rPr>
                <w:rFonts w:hint="eastAsia" w:ascii="Times New Roman" w:hAnsi="Times New Roman" w:cs="Times New Roman"/>
                <w:color w:val="auto"/>
                <w:kern w:val="0"/>
                <w:sz w:val="24"/>
                <w:highlight w:val="none"/>
                <w:lang w:eastAsia="zh-CN"/>
              </w:rPr>
              <w:t>。</w:t>
            </w:r>
          </w:p>
          <w:p w14:paraId="48233878">
            <w:pPr>
              <w:spacing w:line="360" w:lineRule="auto"/>
              <w:ind w:firstLine="480" w:firstLineChars="200"/>
              <w:jc w:val="both"/>
              <w:rPr>
                <w:sz w:val="24"/>
                <w:szCs w:val="32"/>
              </w:rPr>
            </w:pPr>
            <w:r>
              <w:rPr>
                <w:sz w:val="24"/>
                <w:szCs w:val="32"/>
              </w:rPr>
              <w:t>（</w:t>
            </w:r>
            <w:r>
              <w:rPr>
                <w:rFonts w:hint="eastAsia"/>
                <w:sz w:val="24"/>
                <w:szCs w:val="32"/>
              </w:rPr>
              <w:t>3</w:t>
            </w:r>
            <w:r>
              <w:rPr>
                <w:sz w:val="24"/>
                <w:szCs w:val="32"/>
              </w:rPr>
              <w:t>）噪声预测模式</w:t>
            </w:r>
          </w:p>
          <w:p w14:paraId="15365AD0">
            <w:pPr>
              <w:widowControl/>
              <w:spacing w:line="360" w:lineRule="auto"/>
              <w:ind w:firstLine="480" w:firstLineChars="200"/>
              <w:jc w:val="both"/>
              <w:rPr>
                <w:sz w:val="24"/>
                <w:szCs w:val="32"/>
              </w:rPr>
            </w:pPr>
            <w:r>
              <w:rPr>
                <w:sz w:val="24"/>
                <w:szCs w:val="32"/>
              </w:rPr>
              <w:t>根据项目设备噪声排放特点，并结合《环境影响评价技术导则 声环境》（HJ2.4-2021）的要求，</w:t>
            </w:r>
            <w:r>
              <w:rPr>
                <w:kern w:val="0"/>
                <w:sz w:val="24"/>
                <w:szCs w:val="32"/>
                <w:lang w:bidi="ar"/>
              </w:rPr>
              <w:t>根据拟建项目对声环境产生影响的主要设备噪声源、噪声辐射和结构特点，安装位置的环境条件以及噪声源至预测点的距离等因素进行预测。对</w:t>
            </w:r>
            <w:r>
              <w:rPr>
                <w:rFonts w:hint="eastAsia"/>
                <w:kern w:val="0"/>
                <w:sz w:val="24"/>
                <w:szCs w:val="32"/>
                <w:lang w:eastAsia="zh-CN" w:bidi="ar"/>
              </w:rPr>
              <w:t>同一栋</w:t>
            </w:r>
            <w:r>
              <w:rPr>
                <w:kern w:val="0"/>
                <w:sz w:val="24"/>
                <w:szCs w:val="32"/>
                <w:lang w:bidi="ar"/>
              </w:rPr>
              <w:t>厂房内多个设备可作为面源，将整个厂房等效作为面源；室外的噪声源设备，则均视为单个点源。</w:t>
            </w:r>
          </w:p>
          <w:p w14:paraId="291B4C00">
            <w:pPr>
              <w:spacing w:line="360" w:lineRule="auto"/>
              <w:ind w:firstLine="480" w:firstLineChars="200"/>
              <w:jc w:val="both"/>
              <w:rPr>
                <w:sz w:val="24"/>
                <w:szCs w:val="32"/>
              </w:rPr>
            </w:pPr>
            <w:r>
              <w:rPr>
                <w:sz w:val="24"/>
                <w:szCs w:val="32"/>
              </w:rPr>
              <w:t>①对于室外噪点声源，已知A声功率级或者某点的A声级时，可以按下列公式计算距离该点声源r米处的A声级：</w:t>
            </w:r>
          </w:p>
          <w:p w14:paraId="221B9004">
            <w:pPr>
              <w:spacing w:line="360" w:lineRule="auto"/>
              <w:ind w:firstLine="480" w:firstLineChars="200"/>
              <w:jc w:val="center"/>
              <w:rPr>
                <w:sz w:val="24"/>
                <w:szCs w:val="32"/>
              </w:rPr>
            </w:pPr>
            <w:r>
              <w:rPr>
                <w:sz w:val="24"/>
                <w:szCs w:val="32"/>
              </w:rPr>
              <w:drawing>
                <wp:inline distT="0" distB="0" distL="114300" distR="114300">
                  <wp:extent cx="2562860" cy="695325"/>
                  <wp:effectExtent l="0" t="0" r="12700" b="5715"/>
                  <wp:docPr id="6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4"/>
                          <pic:cNvPicPr>
                            <a:picLocks noChangeAspect="1"/>
                          </pic:cNvPicPr>
                        </pic:nvPicPr>
                        <pic:blipFill>
                          <a:blip r:embed="rId25"/>
                          <a:stretch>
                            <a:fillRect/>
                          </a:stretch>
                        </pic:blipFill>
                        <pic:spPr>
                          <a:xfrm>
                            <a:off x="0" y="0"/>
                            <a:ext cx="2562860" cy="695325"/>
                          </a:xfrm>
                          <a:prstGeom prst="rect">
                            <a:avLst/>
                          </a:prstGeom>
                          <a:noFill/>
                          <a:ln>
                            <a:noFill/>
                          </a:ln>
                        </pic:spPr>
                      </pic:pic>
                    </a:graphicData>
                  </a:graphic>
                </wp:inline>
              </w:drawing>
            </w:r>
          </w:p>
          <w:p w14:paraId="30A43D2B">
            <w:pPr>
              <w:spacing w:line="360" w:lineRule="auto"/>
              <w:ind w:firstLine="480" w:firstLineChars="200"/>
              <w:jc w:val="both"/>
              <w:rPr>
                <w:sz w:val="24"/>
                <w:szCs w:val="32"/>
              </w:rPr>
            </w:pPr>
            <w:r>
              <w:rPr>
                <w:sz w:val="24"/>
                <w:szCs w:val="32"/>
              </w:rPr>
              <w:t>式中：</w:t>
            </w:r>
          </w:p>
          <w:p w14:paraId="630620E0">
            <w:pPr>
              <w:spacing w:line="360" w:lineRule="auto"/>
              <w:ind w:firstLine="480" w:firstLineChars="200"/>
              <w:jc w:val="both"/>
              <w:rPr>
                <w:sz w:val="24"/>
                <w:szCs w:val="32"/>
              </w:rPr>
            </w:pPr>
            <w:r>
              <w:rPr>
                <w:sz w:val="24"/>
                <w:szCs w:val="32"/>
              </w:rPr>
              <w:drawing>
                <wp:inline distT="0" distB="0" distL="114300" distR="114300">
                  <wp:extent cx="381000" cy="219075"/>
                  <wp:effectExtent l="0" t="0" r="0" b="10160"/>
                  <wp:docPr id="6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5"/>
                          <pic:cNvPicPr>
                            <a:picLocks noChangeAspect="1"/>
                          </pic:cNvPicPr>
                        </pic:nvPicPr>
                        <pic:blipFill>
                          <a:blip r:embed="rId26"/>
                          <a:stretch>
                            <a:fillRect/>
                          </a:stretch>
                        </pic:blipFill>
                        <pic:spPr>
                          <a:xfrm>
                            <a:off x="0" y="0"/>
                            <a:ext cx="381000" cy="219075"/>
                          </a:xfrm>
                          <a:prstGeom prst="rect">
                            <a:avLst/>
                          </a:prstGeom>
                          <a:noFill/>
                          <a:ln>
                            <a:noFill/>
                          </a:ln>
                        </pic:spPr>
                      </pic:pic>
                    </a:graphicData>
                  </a:graphic>
                </wp:inline>
              </w:drawing>
            </w:r>
            <w:r>
              <w:rPr>
                <w:sz w:val="24"/>
                <w:szCs w:val="32"/>
              </w:rPr>
              <w:t>—距离声源r处的A声级；</w:t>
            </w:r>
          </w:p>
          <w:p w14:paraId="4D64270A">
            <w:pPr>
              <w:spacing w:line="360" w:lineRule="auto"/>
              <w:ind w:firstLine="480" w:firstLineChars="200"/>
              <w:jc w:val="both"/>
              <w:rPr>
                <w:sz w:val="24"/>
                <w:szCs w:val="32"/>
              </w:rPr>
            </w:pPr>
            <w:r>
              <w:rPr>
                <w:sz w:val="24"/>
                <w:szCs w:val="32"/>
              </w:rPr>
              <w:drawing>
                <wp:inline distT="0" distB="0" distL="114300" distR="114300">
                  <wp:extent cx="400050" cy="219075"/>
                  <wp:effectExtent l="0" t="0" r="0" b="10160"/>
                  <wp:docPr id="6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6"/>
                          <pic:cNvPicPr>
                            <a:picLocks noChangeAspect="1"/>
                          </pic:cNvPicPr>
                        </pic:nvPicPr>
                        <pic:blipFill>
                          <a:blip r:embed="rId27"/>
                          <a:stretch>
                            <a:fillRect/>
                          </a:stretch>
                        </pic:blipFill>
                        <pic:spPr>
                          <a:xfrm>
                            <a:off x="0" y="0"/>
                            <a:ext cx="400050" cy="219075"/>
                          </a:xfrm>
                          <a:prstGeom prst="rect">
                            <a:avLst/>
                          </a:prstGeom>
                          <a:noFill/>
                          <a:ln>
                            <a:noFill/>
                          </a:ln>
                        </pic:spPr>
                      </pic:pic>
                    </a:graphicData>
                  </a:graphic>
                </wp:inline>
              </w:drawing>
            </w:r>
            <w:r>
              <w:rPr>
                <w:sz w:val="24"/>
                <w:szCs w:val="32"/>
              </w:rPr>
              <w:t>—距离声源r米处的A声级；</w:t>
            </w:r>
          </w:p>
          <w:p w14:paraId="0428684F">
            <w:pPr>
              <w:spacing w:line="360" w:lineRule="auto"/>
              <w:ind w:firstLine="480" w:firstLineChars="200"/>
              <w:jc w:val="both"/>
              <w:rPr>
                <w:sz w:val="24"/>
                <w:szCs w:val="32"/>
              </w:rPr>
            </w:pPr>
            <w:r>
              <w:rPr>
                <w:sz w:val="24"/>
                <w:szCs w:val="32"/>
              </w:rPr>
              <w:drawing>
                <wp:inline distT="0" distB="0" distL="114300" distR="114300">
                  <wp:extent cx="266700" cy="219075"/>
                  <wp:effectExtent l="0" t="0" r="0" b="10160"/>
                  <wp:docPr id="6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7"/>
                          <pic:cNvPicPr>
                            <a:picLocks noChangeAspect="1"/>
                          </pic:cNvPicPr>
                        </pic:nvPicPr>
                        <pic:blipFill>
                          <a:blip r:embed="rId28"/>
                          <a:stretch>
                            <a:fillRect/>
                          </a:stretch>
                        </pic:blipFill>
                        <pic:spPr>
                          <a:xfrm>
                            <a:off x="0" y="0"/>
                            <a:ext cx="266700" cy="219075"/>
                          </a:xfrm>
                          <a:prstGeom prst="rect">
                            <a:avLst/>
                          </a:prstGeom>
                          <a:noFill/>
                          <a:ln>
                            <a:noFill/>
                          </a:ln>
                        </pic:spPr>
                      </pic:pic>
                    </a:graphicData>
                  </a:graphic>
                </wp:inline>
              </w:drawing>
            </w:r>
            <w:r>
              <w:rPr>
                <w:sz w:val="24"/>
                <w:szCs w:val="32"/>
              </w:rPr>
              <w:t>—声源的A声功率级；</w:t>
            </w:r>
          </w:p>
          <w:p w14:paraId="1CA0E309">
            <w:pPr>
              <w:spacing w:line="360" w:lineRule="auto"/>
              <w:ind w:firstLine="480" w:firstLineChars="200"/>
              <w:jc w:val="both"/>
              <w:rPr>
                <w:sz w:val="24"/>
                <w:szCs w:val="32"/>
              </w:rPr>
            </w:pPr>
            <w:r>
              <w:rPr>
                <w:sz w:val="24"/>
                <w:szCs w:val="32"/>
              </w:rPr>
              <w:drawing>
                <wp:inline distT="0" distB="0" distL="114300" distR="114300">
                  <wp:extent cx="190500" cy="171450"/>
                  <wp:effectExtent l="0" t="0" r="0" b="12065"/>
                  <wp:docPr id="6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8"/>
                          <pic:cNvPicPr>
                            <a:picLocks noChangeAspect="1"/>
                          </pic:cNvPicPr>
                        </pic:nvPicPr>
                        <pic:blipFill>
                          <a:blip r:embed="rId29"/>
                          <a:stretch>
                            <a:fillRect/>
                          </a:stretch>
                        </pic:blipFill>
                        <pic:spPr>
                          <a:xfrm>
                            <a:off x="0" y="0"/>
                            <a:ext cx="190500" cy="171450"/>
                          </a:xfrm>
                          <a:prstGeom prst="rect">
                            <a:avLst/>
                          </a:prstGeom>
                          <a:noFill/>
                          <a:ln>
                            <a:noFill/>
                          </a:ln>
                        </pic:spPr>
                      </pic:pic>
                    </a:graphicData>
                  </a:graphic>
                </wp:inline>
              </w:drawing>
            </w:r>
            <w:r>
              <w:rPr>
                <w:sz w:val="24"/>
                <w:szCs w:val="32"/>
              </w:rPr>
              <w:t>—各因素衰减；</w:t>
            </w:r>
          </w:p>
          <w:p w14:paraId="0FE9D89D">
            <w:pPr>
              <w:spacing w:line="360" w:lineRule="auto"/>
              <w:ind w:firstLine="480" w:firstLineChars="200"/>
              <w:jc w:val="both"/>
              <w:rPr>
                <w:sz w:val="24"/>
                <w:szCs w:val="32"/>
              </w:rPr>
            </w:pPr>
            <w:r>
              <w:rPr>
                <w:sz w:val="24"/>
                <w:szCs w:val="32"/>
              </w:rPr>
              <w:drawing>
                <wp:inline distT="0" distB="0" distL="114300" distR="114300">
                  <wp:extent cx="257175" cy="219075"/>
                  <wp:effectExtent l="0" t="0" r="0" b="10160"/>
                  <wp:docPr id="7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9"/>
                          <pic:cNvPicPr>
                            <a:picLocks noChangeAspect="1"/>
                          </pic:cNvPicPr>
                        </pic:nvPicPr>
                        <pic:blipFill>
                          <a:blip r:embed="rId30"/>
                          <a:stretch>
                            <a:fillRect/>
                          </a:stretch>
                        </pic:blipFill>
                        <pic:spPr>
                          <a:xfrm>
                            <a:off x="0" y="0"/>
                            <a:ext cx="257175" cy="219075"/>
                          </a:xfrm>
                          <a:prstGeom prst="rect">
                            <a:avLst/>
                          </a:prstGeom>
                          <a:noFill/>
                          <a:ln>
                            <a:noFill/>
                          </a:ln>
                        </pic:spPr>
                      </pic:pic>
                    </a:graphicData>
                  </a:graphic>
                </wp:inline>
              </w:drawing>
            </w:r>
            <w:r>
              <w:rPr>
                <w:sz w:val="24"/>
                <w:szCs w:val="32"/>
              </w:rPr>
              <w:t>—几何发散衰减；</w:t>
            </w:r>
          </w:p>
          <w:p w14:paraId="121D3106">
            <w:pPr>
              <w:spacing w:line="360" w:lineRule="auto"/>
              <w:ind w:firstLine="480" w:firstLineChars="200"/>
              <w:jc w:val="both"/>
              <w:rPr>
                <w:sz w:val="24"/>
                <w:szCs w:val="32"/>
              </w:rPr>
            </w:pPr>
            <w:r>
              <w:rPr>
                <w:sz w:val="24"/>
                <w:szCs w:val="32"/>
              </w:rPr>
              <w:drawing>
                <wp:inline distT="0" distB="0" distL="114300" distR="114300">
                  <wp:extent cx="266700" cy="219075"/>
                  <wp:effectExtent l="0" t="0" r="0" b="10160"/>
                  <wp:docPr id="7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0"/>
                          <pic:cNvPicPr>
                            <a:picLocks noChangeAspect="1"/>
                          </pic:cNvPicPr>
                        </pic:nvPicPr>
                        <pic:blipFill>
                          <a:blip r:embed="rId31"/>
                          <a:stretch>
                            <a:fillRect/>
                          </a:stretch>
                        </pic:blipFill>
                        <pic:spPr>
                          <a:xfrm>
                            <a:off x="0" y="0"/>
                            <a:ext cx="266700" cy="219075"/>
                          </a:xfrm>
                          <a:prstGeom prst="rect">
                            <a:avLst/>
                          </a:prstGeom>
                          <a:noFill/>
                          <a:ln>
                            <a:noFill/>
                          </a:ln>
                        </pic:spPr>
                      </pic:pic>
                    </a:graphicData>
                  </a:graphic>
                </wp:inline>
              </w:drawing>
            </w:r>
            <w:r>
              <w:rPr>
                <w:sz w:val="24"/>
                <w:szCs w:val="32"/>
              </w:rPr>
              <w:t>—空气吸收引起的衰减；</w:t>
            </w:r>
          </w:p>
          <w:p w14:paraId="4FC51967">
            <w:pPr>
              <w:spacing w:line="360" w:lineRule="auto"/>
              <w:ind w:firstLine="480" w:firstLineChars="200"/>
              <w:jc w:val="both"/>
              <w:rPr>
                <w:sz w:val="24"/>
                <w:szCs w:val="32"/>
              </w:rPr>
            </w:pPr>
            <w:r>
              <w:rPr>
                <w:sz w:val="24"/>
                <w:szCs w:val="32"/>
              </w:rPr>
              <w:drawing>
                <wp:inline distT="0" distB="0" distL="114300" distR="114300">
                  <wp:extent cx="219075" cy="228600"/>
                  <wp:effectExtent l="0" t="0" r="0" b="0"/>
                  <wp:docPr id="7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1"/>
                          <pic:cNvPicPr>
                            <a:picLocks noChangeAspect="1"/>
                          </pic:cNvPicPr>
                        </pic:nvPicPr>
                        <pic:blipFill>
                          <a:blip r:embed="rId32"/>
                          <a:stretch>
                            <a:fillRect/>
                          </a:stretch>
                        </pic:blipFill>
                        <pic:spPr>
                          <a:xfrm>
                            <a:off x="0" y="0"/>
                            <a:ext cx="219075" cy="228600"/>
                          </a:xfrm>
                          <a:prstGeom prst="rect">
                            <a:avLst/>
                          </a:prstGeom>
                          <a:noFill/>
                          <a:ln>
                            <a:noFill/>
                          </a:ln>
                        </pic:spPr>
                      </pic:pic>
                    </a:graphicData>
                  </a:graphic>
                </wp:inline>
              </w:drawing>
            </w:r>
            <w:r>
              <w:rPr>
                <w:sz w:val="24"/>
                <w:szCs w:val="32"/>
              </w:rPr>
              <w:t>—地面效应衰减；</w:t>
            </w:r>
          </w:p>
          <w:p w14:paraId="12A974B9">
            <w:pPr>
              <w:spacing w:line="360" w:lineRule="auto"/>
              <w:ind w:firstLine="480" w:firstLineChars="200"/>
              <w:jc w:val="both"/>
              <w:rPr>
                <w:sz w:val="24"/>
                <w:szCs w:val="32"/>
              </w:rPr>
            </w:pPr>
            <w:r>
              <w:rPr>
                <w:sz w:val="24"/>
                <w:szCs w:val="32"/>
              </w:rPr>
              <w:drawing>
                <wp:inline distT="0" distB="0" distL="114300" distR="114300">
                  <wp:extent cx="257175" cy="219075"/>
                  <wp:effectExtent l="0" t="0" r="0" b="10160"/>
                  <wp:docPr id="7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2"/>
                          <pic:cNvPicPr>
                            <a:picLocks noChangeAspect="1"/>
                          </pic:cNvPicPr>
                        </pic:nvPicPr>
                        <pic:blipFill>
                          <a:blip r:embed="rId33"/>
                          <a:stretch>
                            <a:fillRect/>
                          </a:stretch>
                        </pic:blipFill>
                        <pic:spPr>
                          <a:xfrm>
                            <a:off x="0" y="0"/>
                            <a:ext cx="257175" cy="219075"/>
                          </a:xfrm>
                          <a:prstGeom prst="rect">
                            <a:avLst/>
                          </a:prstGeom>
                          <a:noFill/>
                          <a:ln>
                            <a:noFill/>
                          </a:ln>
                        </pic:spPr>
                      </pic:pic>
                    </a:graphicData>
                  </a:graphic>
                </wp:inline>
              </w:drawing>
            </w:r>
            <w:r>
              <w:rPr>
                <w:sz w:val="24"/>
                <w:szCs w:val="32"/>
              </w:rPr>
              <w:t>—屏障引起的衰减；</w:t>
            </w:r>
          </w:p>
          <w:p w14:paraId="3A229EC2">
            <w:pPr>
              <w:spacing w:line="360" w:lineRule="auto"/>
              <w:ind w:firstLine="480" w:firstLineChars="200"/>
              <w:jc w:val="both"/>
              <w:rPr>
                <w:sz w:val="24"/>
                <w:szCs w:val="32"/>
              </w:rPr>
            </w:pPr>
            <w:r>
              <w:rPr>
                <w:sz w:val="24"/>
                <w:szCs w:val="32"/>
              </w:rPr>
              <w:drawing>
                <wp:inline distT="0" distB="0" distL="114300" distR="114300">
                  <wp:extent cx="304800" cy="219075"/>
                  <wp:effectExtent l="0" t="0" r="0" b="10160"/>
                  <wp:docPr id="7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3"/>
                          <pic:cNvPicPr>
                            <a:picLocks noChangeAspect="1"/>
                          </pic:cNvPicPr>
                        </pic:nvPicPr>
                        <pic:blipFill>
                          <a:blip r:embed="rId34"/>
                          <a:stretch>
                            <a:fillRect/>
                          </a:stretch>
                        </pic:blipFill>
                        <pic:spPr>
                          <a:xfrm>
                            <a:off x="0" y="0"/>
                            <a:ext cx="304800" cy="219075"/>
                          </a:xfrm>
                          <a:prstGeom prst="rect">
                            <a:avLst/>
                          </a:prstGeom>
                          <a:noFill/>
                          <a:ln>
                            <a:noFill/>
                          </a:ln>
                        </pic:spPr>
                      </pic:pic>
                    </a:graphicData>
                  </a:graphic>
                </wp:inline>
              </w:drawing>
            </w:r>
            <w:r>
              <w:rPr>
                <w:sz w:val="24"/>
                <w:szCs w:val="32"/>
              </w:rPr>
              <w:t>—其他多方面引起的衰减；</w:t>
            </w:r>
          </w:p>
          <w:p w14:paraId="5AA479CE">
            <w:pPr>
              <w:spacing w:line="360" w:lineRule="auto"/>
              <w:ind w:firstLine="480" w:firstLineChars="200"/>
              <w:jc w:val="both"/>
              <w:rPr>
                <w:sz w:val="24"/>
                <w:szCs w:val="32"/>
              </w:rPr>
            </w:pPr>
            <w:r>
              <w:rPr>
                <w:sz w:val="24"/>
                <w:szCs w:val="32"/>
              </w:rPr>
              <w:drawing>
                <wp:inline distT="0" distB="0" distL="114300" distR="114300">
                  <wp:extent cx="124460" cy="162560"/>
                  <wp:effectExtent l="0" t="0" r="12700" b="3810"/>
                  <wp:docPr id="7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4"/>
                          <pic:cNvPicPr>
                            <a:picLocks noChangeAspect="1"/>
                          </pic:cNvPicPr>
                        </pic:nvPicPr>
                        <pic:blipFill>
                          <a:blip r:embed="rId35"/>
                          <a:stretch>
                            <a:fillRect/>
                          </a:stretch>
                        </pic:blipFill>
                        <pic:spPr>
                          <a:xfrm>
                            <a:off x="0" y="0"/>
                            <a:ext cx="124460" cy="162560"/>
                          </a:xfrm>
                          <a:prstGeom prst="rect">
                            <a:avLst/>
                          </a:prstGeom>
                          <a:noFill/>
                          <a:ln>
                            <a:noFill/>
                          </a:ln>
                        </pic:spPr>
                      </pic:pic>
                    </a:graphicData>
                  </a:graphic>
                </wp:inline>
              </w:drawing>
            </w:r>
            <w:r>
              <w:rPr>
                <w:sz w:val="24"/>
                <w:szCs w:val="32"/>
              </w:rPr>
              <w:t>—预测点与声源的距离；</w:t>
            </w:r>
          </w:p>
          <w:p w14:paraId="608E977F">
            <w:pPr>
              <w:spacing w:line="360" w:lineRule="auto"/>
              <w:ind w:firstLine="480" w:firstLineChars="200"/>
              <w:jc w:val="both"/>
              <w:rPr>
                <w:sz w:val="24"/>
                <w:szCs w:val="32"/>
              </w:rPr>
            </w:pPr>
            <w:r>
              <w:rPr>
                <w:sz w:val="24"/>
                <w:szCs w:val="32"/>
              </w:rPr>
              <w:drawing>
                <wp:inline distT="0" distB="0" distL="114300" distR="114300">
                  <wp:extent cx="142875" cy="219075"/>
                  <wp:effectExtent l="0" t="0" r="9525" b="11430"/>
                  <wp:docPr id="7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5"/>
                          <pic:cNvPicPr>
                            <a:picLocks noChangeAspect="1"/>
                          </pic:cNvPicPr>
                        </pic:nvPicPr>
                        <pic:blipFill>
                          <a:blip r:embed="rId36"/>
                          <a:stretch>
                            <a:fillRect/>
                          </a:stretch>
                        </pic:blipFill>
                        <pic:spPr>
                          <a:xfrm>
                            <a:off x="0" y="0"/>
                            <a:ext cx="142875" cy="219075"/>
                          </a:xfrm>
                          <a:prstGeom prst="rect">
                            <a:avLst/>
                          </a:prstGeom>
                          <a:noFill/>
                          <a:ln>
                            <a:noFill/>
                          </a:ln>
                        </pic:spPr>
                      </pic:pic>
                    </a:graphicData>
                  </a:graphic>
                </wp:inline>
              </w:drawing>
            </w:r>
            <w:r>
              <w:rPr>
                <w:sz w:val="24"/>
                <w:szCs w:val="32"/>
              </w:rPr>
              <w:t>—距离声源</w:t>
            </w:r>
            <w:r>
              <w:rPr>
                <w:sz w:val="24"/>
                <w:szCs w:val="32"/>
              </w:rPr>
              <w:drawing>
                <wp:inline distT="0" distB="0" distL="114300" distR="114300">
                  <wp:extent cx="142875" cy="219075"/>
                  <wp:effectExtent l="0" t="0" r="9525" b="11430"/>
                  <wp:docPr id="7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6"/>
                          <pic:cNvPicPr>
                            <a:picLocks noChangeAspect="1"/>
                          </pic:cNvPicPr>
                        </pic:nvPicPr>
                        <pic:blipFill>
                          <a:blip r:embed="rId37"/>
                          <a:stretch>
                            <a:fillRect/>
                          </a:stretch>
                        </pic:blipFill>
                        <pic:spPr>
                          <a:xfrm>
                            <a:off x="0" y="0"/>
                            <a:ext cx="142875" cy="219075"/>
                          </a:xfrm>
                          <a:prstGeom prst="rect">
                            <a:avLst/>
                          </a:prstGeom>
                          <a:noFill/>
                          <a:ln>
                            <a:noFill/>
                          </a:ln>
                        </pic:spPr>
                      </pic:pic>
                    </a:graphicData>
                  </a:graphic>
                </wp:inline>
              </w:drawing>
            </w:r>
            <w:r>
              <w:rPr>
                <w:sz w:val="24"/>
                <w:szCs w:val="32"/>
              </w:rPr>
              <w:t>米处的距离。</w:t>
            </w:r>
          </w:p>
          <w:p w14:paraId="63844175">
            <w:pPr>
              <w:spacing w:line="360" w:lineRule="auto"/>
              <w:ind w:firstLine="480" w:firstLineChars="200"/>
              <w:jc w:val="both"/>
              <w:rPr>
                <w:sz w:val="24"/>
                <w:szCs w:val="32"/>
              </w:rPr>
            </w:pPr>
            <w:r>
              <w:rPr>
                <w:sz w:val="24"/>
                <w:szCs w:val="32"/>
              </w:rPr>
              <w:t>②对于室内的点声源，先按下式计算其等效室外声源声功率级，然后按室外点声源预测方法计算预测点的A声级。</w:t>
            </w:r>
          </w:p>
          <w:p w14:paraId="2EB9486B">
            <w:pPr>
              <w:spacing w:line="360" w:lineRule="auto"/>
              <w:ind w:firstLine="480" w:firstLineChars="200"/>
              <w:jc w:val="center"/>
              <w:rPr>
                <w:sz w:val="24"/>
                <w:szCs w:val="32"/>
              </w:rPr>
            </w:pPr>
            <w:r>
              <w:rPr>
                <w:sz w:val="24"/>
                <w:szCs w:val="32"/>
              </w:rPr>
              <w:drawing>
                <wp:inline distT="0" distB="0" distL="114300" distR="114300">
                  <wp:extent cx="1686560" cy="866775"/>
                  <wp:effectExtent l="0" t="0" r="0" b="1905"/>
                  <wp:docPr id="7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7"/>
                          <pic:cNvPicPr>
                            <a:picLocks noChangeAspect="1"/>
                          </pic:cNvPicPr>
                        </pic:nvPicPr>
                        <pic:blipFill>
                          <a:blip r:embed="rId38"/>
                          <a:stretch>
                            <a:fillRect/>
                          </a:stretch>
                        </pic:blipFill>
                        <pic:spPr>
                          <a:xfrm>
                            <a:off x="0" y="0"/>
                            <a:ext cx="1686560" cy="866775"/>
                          </a:xfrm>
                          <a:prstGeom prst="rect">
                            <a:avLst/>
                          </a:prstGeom>
                          <a:noFill/>
                          <a:ln>
                            <a:noFill/>
                          </a:ln>
                        </pic:spPr>
                      </pic:pic>
                    </a:graphicData>
                  </a:graphic>
                </wp:inline>
              </w:drawing>
            </w:r>
          </w:p>
          <w:p w14:paraId="17A22E14">
            <w:pPr>
              <w:spacing w:line="360" w:lineRule="auto"/>
              <w:ind w:firstLine="480" w:firstLineChars="200"/>
              <w:jc w:val="both"/>
              <w:rPr>
                <w:sz w:val="24"/>
                <w:szCs w:val="32"/>
              </w:rPr>
            </w:pPr>
            <w:r>
              <w:rPr>
                <w:sz w:val="24"/>
                <w:szCs w:val="32"/>
              </w:rPr>
              <w:t>式中：</w:t>
            </w:r>
          </w:p>
          <w:p w14:paraId="3C4C1BC5">
            <w:pPr>
              <w:spacing w:line="360" w:lineRule="auto"/>
              <w:ind w:firstLine="480" w:firstLineChars="200"/>
              <w:jc w:val="both"/>
              <w:rPr>
                <w:sz w:val="24"/>
                <w:szCs w:val="32"/>
              </w:rPr>
            </w:pPr>
            <w:r>
              <w:rPr>
                <w:sz w:val="24"/>
                <w:szCs w:val="32"/>
              </w:rPr>
              <w:drawing>
                <wp:inline distT="0" distB="0" distL="114300" distR="114300">
                  <wp:extent cx="190500" cy="219075"/>
                  <wp:effectExtent l="0" t="0" r="0" b="10160"/>
                  <wp:docPr id="7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8"/>
                          <pic:cNvPicPr>
                            <a:picLocks noChangeAspect="1"/>
                          </pic:cNvPicPr>
                        </pic:nvPicPr>
                        <pic:blipFill>
                          <a:blip r:embed="rId39"/>
                          <a:stretch>
                            <a:fillRect/>
                          </a:stretch>
                        </pic:blipFill>
                        <pic:spPr>
                          <a:xfrm>
                            <a:off x="0" y="0"/>
                            <a:ext cx="190500" cy="219075"/>
                          </a:xfrm>
                          <a:prstGeom prst="rect">
                            <a:avLst/>
                          </a:prstGeom>
                          <a:noFill/>
                          <a:ln>
                            <a:noFill/>
                          </a:ln>
                        </pic:spPr>
                      </pic:pic>
                    </a:graphicData>
                  </a:graphic>
                </wp:inline>
              </w:drawing>
            </w:r>
            <w:r>
              <w:rPr>
                <w:sz w:val="24"/>
                <w:szCs w:val="32"/>
              </w:rPr>
              <w:t>—等效室外声源的声功率级；</w:t>
            </w:r>
          </w:p>
          <w:p w14:paraId="3E22A233">
            <w:pPr>
              <w:spacing w:line="360" w:lineRule="auto"/>
              <w:ind w:firstLine="480" w:firstLineChars="200"/>
              <w:jc w:val="both"/>
              <w:rPr>
                <w:sz w:val="24"/>
                <w:szCs w:val="32"/>
              </w:rPr>
            </w:pPr>
            <w:r>
              <w:rPr>
                <w:sz w:val="24"/>
                <w:szCs w:val="32"/>
              </w:rPr>
              <w:drawing>
                <wp:inline distT="0" distB="0" distL="114300" distR="114300">
                  <wp:extent cx="180975" cy="219075"/>
                  <wp:effectExtent l="0" t="0" r="0" b="10160"/>
                  <wp:docPr id="8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9"/>
                          <pic:cNvPicPr>
                            <a:picLocks noChangeAspect="1"/>
                          </pic:cNvPicPr>
                        </pic:nvPicPr>
                        <pic:blipFill>
                          <a:blip r:embed="rId40"/>
                          <a:stretch>
                            <a:fillRect/>
                          </a:stretch>
                        </pic:blipFill>
                        <pic:spPr>
                          <a:xfrm>
                            <a:off x="0" y="0"/>
                            <a:ext cx="180975" cy="219075"/>
                          </a:xfrm>
                          <a:prstGeom prst="rect">
                            <a:avLst/>
                          </a:prstGeom>
                          <a:noFill/>
                          <a:ln>
                            <a:noFill/>
                          </a:ln>
                        </pic:spPr>
                      </pic:pic>
                    </a:graphicData>
                  </a:graphic>
                </wp:inline>
              </w:drawing>
            </w:r>
            <w:r>
              <w:rPr>
                <w:sz w:val="24"/>
                <w:szCs w:val="32"/>
              </w:rPr>
              <w:t>—室内声源的声功率级；</w:t>
            </w:r>
          </w:p>
          <w:p w14:paraId="686BE844">
            <w:pPr>
              <w:spacing w:line="360" w:lineRule="auto"/>
              <w:ind w:firstLine="480" w:firstLineChars="200"/>
              <w:jc w:val="both"/>
              <w:rPr>
                <w:sz w:val="24"/>
                <w:szCs w:val="32"/>
              </w:rPr>
            </w:pPr>
            <w:r>
              <w:rPr>
                <w:sz w:val="24"/>
                <w:szCs w:val="32"/>
              </w:rPr>
              <w:drawing>
                <wp:inline distT="0" distB="0" distL="114300" distR="114300">
                  <wp:extent cx="123825" cy="142875"/>
                  <wp:effectExtent l="0" t="0" r="0" b="10795"/>
                  <wp:docPr id="8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0"/>
                          <pic:cNvPicPr>
                            <a:picLocks noChangeAspect="1"/>
                          </pic:cNvPicPr>
                        </pic:nvPicPr>
                        <pic:blipFill>
                          <a:blip r:embed="rId41"/>
                          <a:stretch>
                            <a:fillRect/>
                          </a:stretch>
                        </pic:blipFill>
                        <pic:spPr>
                          <a:xfrm>
                            <a:off x="0" y="0"/>
                            <a:ext cx="123825" cy="142875"/>
                          </a:xfrm>
                          <a:prstGeom prst="rect">
                            <a:avLst/>
                          </a:prstGeom>
                          <a:noFill/>
                          <a:ln>
                            <a:noFill/>
                          </a:ln>
                        </pic:spPr>
                      </pic:pic>
                    </a:graphicData>
                  </a:graphic>
                </wp:inline>
              </w:drawing>
            </w:r>
            <w:r>
              <w:rPr>
                <w:sz w:val="24"/>
                <w:szCs w:val="32"/>
              </w:rPr>
              <w:t>—透声面积；</w:t>
            </w:r>
          </w:p>
          <w:p w14:paraId="5B1B288E">
            <w:pPr>
              <w:spacing w:line="360" w:lineRule="auto"/>
              <w:ind w:firstLine="480" w:firstLineChars="200"/>
              <w:jc w:val="both"/>
              <w:rPr>
                <w:sz w:val="24"/>
                <w:szCs w:val="32"/>
              </w:rPr>
            </w:pPr>
            <w:r>
              <w:rPr>
                <w:sz w:val="24"/>
                <w:szCs w:val="32"/>
              </w:rPr>
              <w:drawing>
                <wp:inline distT="0" distB="0" distL="114300" distR="114300">
                  <wp:extent cx="219075" cy="219075"/>
                  <wp:effectExtent l="0" t="0" r="10160" b="10160"/>
                  <wp:docPr id="8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1"/>
                          <pic:cNvPicPr>
                            <a:picLocks noChangeAspect="1"/>
                          </pic:cNvPicPr>
                        </pic:nvPicPr>
                        <pic:blipFill>
                          <a:blip r:embed="rId42"/>
                          <a:stretch>
                            <a:fillRect/>
                          </a:stretch>
                        </pic:blipFill>
                        <pic:spPr>
                          <a:xfrm>
                            <a:off x="0" y="0"/>
                            <a:ext cx="219075" cy="219075"/>
                          </a:xfrm>
                          <a:prstGeom prst="rect">
                            <a:avLst/>
                          </a:prstGeom>
                          <a:noFill/>
                          <a:ln>
                            <a:noFill/>
                          </a:ln>
                        </pic:spPr>
                      </pic:pic>
                    </a:graphicData>
                  </a:graphic>
                </wp:inline>
              </w:drawing>
            </w:r>
            <w:r>
              <w:rPr>
                <w:sz w:val="24"/>
                <w:szCs w:val="32"/>
              </w:rPr>
              <w:t>—室内靠近围护结构处的声压级；</w:t>
            </w:r>
          </w:p>
          <w:p w14:paraId="6DCAA446">
            <w:pPr>
              <w:spacing w:line="360" w:lineRule="auto"/>
              <w:ind w:firstLine="480" w:firstLineChars="200"/>
              <w:jc w:val="both"/>
              <w:rPr>
                <w:sz w:val="24"/>
                <w:szCs w:val="32"/>
              </w:rPr>
            </w:pPr>
            <w:r>
              <w:rPr>
                <w:sz w:val="24"/>
                <w:szCs w:val="32"/>
              </w:rPr>
              <w:drawing>
                <wp:inline distT="0" distB="0" distL="114300" distR="114300">
                  <wp:extent cx="228600" cy="219075"/>
                  <wp:effectExtent l="0" t="0" r="0" b="10160"/>
                  <wp:docPr id="8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2"/>
                          <pic:cNvPicPr>
                            <a:picLocks noChangeAspect="1"/>
                          </pic:cNvPicPr>
                        </pic:nvPicPr>
                        <pic:blipFill>
                          <a:blip r:embed="rId43"/>
                          <a:stretch>
                            <a:fillRect/>
                          </a:stretch>
                        </pic:blipFill>
                        <pic:spPr>
                          <a:xfrm>
                            <a:off x="0" y="0"/>
                            <a:ext cx="228600" cy="219075"/>
                          </a:xfrm>
                          <a:prstGeom prst="rect">
                            <a:avLst/>
                          </a:prstGeom>
                          <a:noFill/>
                          <a:ln>
                            <a:noFill/>
                          </a:ln>
                        </pic:spPr>
                      </pic:pic>
                    </a:graphicData>
                  </a:graphic>
                </wp:inline>
              </w:drawing>
            </w:r>
            <w:r>
              <w:rPr>
                <w:sz w:val="24"/>
                <w:szCs w:val="32"/>
              </w:rPr>
              <w:t>—室外靠近围护结构处的声压级；</w:t>
            </w:r>
          </w:p>
          <w:p w14:paraId="16A281AE">
            <w:pPr>
              <w:spacing w:line="360" w:lineRule="auto"/>
              <w:ind w:firstLine="480" w:firstLineChars="200"/>
              <w:jc w:val="both"/>
              <w:rPr>
                <w:sz w:val="24"/>
                <w:szCs w:val="32"/>
              </w:rPr>
            </w:pPr>
            <w:r>
              <w:rPr>
                <w:sz w:val="24"/>
                <w:szCs w:val="32"/>
              </w:rPr>
              <w:drawing>
                <wp:inline distT="0" distB="0" distL="114300" distR="114300">
                  <wp:extent cx="219075" cy="171450"/>
                  <wp:effectExtent l="0" t="0" r="0" b="12065"/>
                  <wp:docPr id="8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3"/>
                          <pic:cNvPicPr>
                            <a:picLocks noChangeAspect="1"/>
                          </pic:cNvPicPr>
                        </pic:nvPicPr>
                        <pic:blipFill>
                          <a:blip r:embed="rId44"/>
                          <a:stretch>
                            <a:fillRect/>
                          </a:stretch>
                        </pic:blipFill>
                        <pic:spPr>
                          <a:xfrm>
                            <a:off x="0" y="0"/>
                            <a:ext cx="219075" cy="171450"/>
                          </a:xfrm>
                          <a:prstGeom prst="rect">
                            <a:avLst/>
                          </a:prstGeom>
                          <a:noFill/>
                          <a:ln>
                            <a:noFill/>
                          </a:ln>
                        </pic:spPr>
                      </pic:pic>
                    </a:graphicData>
                  </a:graphic>
                </wp:inline>
              </w:drawing>
            </w:r>
            <w:r>
              <w:rPr>
                <w:sz w:val="24"/>
                <w:szCs w:val="32"/>
              </w:rPr>
              <w:t>—隔墙（或窗户）隔离声量；</w:t>
            </w:r>
          </w:p>
          <w:p w14:paraId="6FFDA63F">
            <w:pPr>
              <w:spacing w:line="360" w:lineRule="auto"/>
              <w:ind w:firstLine="480" w:firstLineChars="200"/>
              <w:jc w:val="both"/>
              <w:rPr>
                <w:sz w:val="24"/>
                <w:szCs w:val="32"/>
              </w:rPr>
            </w:pPr>
            <w:r>
              <w:rPr>
                <w:sz w:val="24"/>
                <w:szCs w:val="32"/>
              </w:rPr>
              <w:drawing>
                <wp:inline distT="0" distB="0" distL="114300" distR="114300">
                  <wp:extent cx="124460" cy="123825"/>
                  <wp:effectExtent l="0" t="0" r="12700" b="13335"/>
                  <wp:docPr id="8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4"/>
                          <pic:cNvPicPr>
                            <a:picLocks noChangeAspect="1"/>
                          </pic:cNvPicPr>
                        </pic:nvPicPr>
                        <pic:blipFill>
                          <a:blip r:embed="rId35"/>
                          <a:stretch>
                            <a:fillRect/>
                          </a:stretch>
                        </pic:blipFill>
                        <pic:spPr>
                          <a:xfrm>
                            <a:off x="0" y="0"/>
                            <a:ext cx="124460" cy="123825"/>
                          </a:xfrm>
                          <a:prstGeom prst="rect">
                            <a:avLst/>
                          </a:prstGeom>
                          <a:noFill/>
                          <a:ln>
                            <a:noFill/>
                          </a:ln>
                        </pic:spPr>
                      </pic:pic>
                    </a:graphicData>
                  </a:graphic>
                </wp:inline>
              </w:drawing>
            </w:r>
            <w:r>
              <w:rPr>
                <w:sz w:val="24"/>
                <w:szCs w:val="32"/>
              </w:rPr>
              <w:t>—声源到靠近围护结构某点处的距离；</w:t>
            </w:r>
          </w:p>
          <w:p w14:paraId="07582FEA">
            <w:pPr>
              <w:widowControl/>
              <w:spacing w:line="360" w:lineRule="auto"/>
              <w:ind w:firstLine="480" w:firstLineChars="200"/>
              <w:jc w:val="both"/>
              <w:rPr>
                <w:sz w:val="24"/>
                <w:szCs w:val="32"/>
              </w:rPr>
            </w:pPr>
            <w:r>
              <w:rPr>
                <w:sz w:val="24"/>
                <w:szCs w:val="32"/>
              </w:rPr>
              <w:drawing>
                <wp:inline distT="0" distB="0" distL="114300" distR="114300">
                  <wp:extent cx="161925" cy="171450"/>
                  <wp:effectExtent l="0" t="0" r="0" b="12065"/>
                  <wp:docPr id="8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5"/>
                          <pic:cNvPicPr>
                            <a:picLocks noChangeAspect="1"/>
                          </pic:cNvPicPr>
                        </pic:nvPicPr>
                        <pic:blipFill>
                          <a:blip r:embed="rId45"/>
                          <a:stretch>
                            <a:fillRect/>
                          </a:stretch>
                        </pic:blipFill>
                        <pic:spPr>
                          <a:xfrm>
                            <a:off x="0" y="0"/>
                            <a:ext cx="161925" cy="171450"/>
                          </a:xfrm>
                          <a:prstGeom prst="rect">
                            <a:avLst/>
                          </a:prstGeom>
                          <a:noFill/>
                          <a:ln>
                            <a:noFill/>
                          </a:ln>
                        </pic:spPr>
                      </pic:pic>
                    </a:graphicData>
                  </a:graphic>
                </wp:inline>
              </w:drawing>
            </w:r>
            <w:r>
              <w:rPr>
                <w:sz w:val="24"/>
                <w:szCs w:val="32"/>
              </w:rPr>
              <w:t>—房间常数；</w:t>
            </w:r>
            <w:r>
              <w:rPr>
                <w:kern w:val="0"/>
                <w:sz w:val="24"/>
                <w:szCs w:val="32"/>
                <w:lang w:bidi="ar"/>
              </w:rPr>
              <w:t>R=Sα/(1-α)，S 为房间内表面面积，m</w:t>
            </w:r>
            <w:r>
              <w:rPr>
                <w:kern w:val="0"/>
                <w:sz w:val="24"/>
                <w:szCs w:val="32"/>
                <w:vertAlign w:val="superscript"/>
                <w:lang w:bidi="ar"/>
              </w:rPr>
              <w:t>2</w:t>
            </w:r>
            <w:r>
              <w:rPr>
                <w:kern w:val="0"/>
                <w:sz w:val="24"/>
                <w:szCs w:val="32"/>
                <w:lang w:bidi="ar"/>
              </w:rPr>
              <w:t>，α为平均吸声系数；</w:t>
            </w:r>
          </w:p>
          <w:p w14:paraId="1F636D47">
            <w:pPr>
              <w:spacing w:line="360" w:lineRule="auto"/>
              <w:ind w:firstLine="480" w:firstLineChars="200"/>
              <w:jc w:val="both"/>
              <w:rPr>
                <w:sz w:val="24"/>
                <w:szCs w:val="32"/>
              </w:rPr>
            </w:pPr>
            <w:r>
              <w:rPr>
                <w:sz w:val="24"/>
                <w:szCs w:val="32"/>
              </w:rPr>
              <w:drawing>
                <wp:inline distT="0" distB="0" distL="114300" distR="114300">
                  <wp:extent cx="161925" cy="209550"/>
                  <wp:effectExtent l="0" t="0" r="0" b="3175"/>
                  <wp:docPr id="8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6"/>
                          <pic:cNvPicPr>
                            <a:picLocks noChangeAspect="1"/>
                          </pic:cNvPicPr>
                        </pic:nvPicPr>
                        <pic:blipFill>
                          <a:blip r:embed="rId46"/>
                          <a:stretch>
                            <a:fillRect/>
                          </a:stretch>
                        </pic:blipFill>
                        <pic:spPr>
                          <a:xfrm>
                            <a:off x="0" y="0"/>
                            <a:ext cx="161925" cy="209550"/>
                          </a:xfrm>
                          <a:prstGeom prst="rect">
                            <a:avLst/>
                          </a:prstGeom>
                          <a:noFill/>
                          <a:ln>
                            <a:noFill/>
                          </a:ln>
                        </pic:spPr>
                      </pic:pic>
                    </a:graphicData>
                  </a:graphic>
                </wp:inline>
              </w:drawing>
            </w:r>
            <w:r>
              <w:rPr>
                <w:sz w:val="24"/>
                <w:szCs w:val="32"/>
              </w:rPr>
              <w:t>—指向性因数。通常对无指向性声源，当声源放在房间中心时，Q=1；当</w:t>
            </w:r>
          </w:p>
          <w:p w14:paraId="3C9FB4B5">
            <w:pPr>
              <w:spacing w:line="360" w:lineRule="auto"/>
              <w:ind w:firstLine="480" w:firstLineChars="200"/>
              <w:jc w:val="both"/>
              <w:rPr>
                <w:sz w:val="24"/>
                <w:szCs w:val="32"/>
              </w:rPr>
            </w:pPr>
            <w:r>
              <w:rPr>
                <w:sz w:val="24"/>
                <w:szCs w:val="32"/>
              </w:rPr>
              <w:t>放在一面墙的中心时，Q=2；当放在两面墙夹角处时，Q=4；当放在三面墙夹角处时，Q=8</w:t>
            </w:r>
          </w:p>
          <w:p w14:paraId="60FFD9AD">
            <w:pPr>
              <w:spacing w:line="360" w:lineRule="auto"/>
              <w:ind w:firstLine="480" w:firstLineChars="200"/>
              <w:jc w:val="both"/>
              <w:rPr>
                <w:sz w:val="24"/>
                <w:szCs w:val="32"/>
              </w:rPr>
            </w:pPr>
            <w:r>
              <w:rPr>
                <w:sz w:val="24"/>
                <w:szCs w:val="32"/>
              </w:rPr>
              <w:t>③对两个以上多个声源同时存在时，多点源叠加计算总源强，采用如下公式：</w:t>
            </w:r>
          </w:p>
          <w:p w14:paraId="72FAFCC0">
            <w:pPr>
              <w:spacing w:line="360" w:lineRule="auto"/>
              <w:ind w:firstLine="480" w:firstLineChars="200"/>
              <w:jc w:val="center"/>
              <w:rPr>
                <w:sz w:val="24"/>
                <w:szCs w:val="32"/>
              </w:rPr>
            </w:pPr>
            <w:r>
              <w:rPr>
                <w:sz w:val="24"/>
                <w:szCs w:val="32"/>
              </w:rPr>
              <w:drawing>
                <wp:inline distT="0" distB="0" distL="114300" distR="114300">
                  <wp:extent cx="1219200" cy="257175"/>
                  <wp:effectExtent l="0" t="0" r="0" b="1905"/>
                  <wp:docPr id="8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7"/>
                          <pic:cNvPicPr>
                            <a:picLocks noChangeAspect="1"/>
                          </pic:cNvPicPr>
                        </pic:nvPicPr>
                        <pic:blipFill>
                          <a:blip r:embed="rId47"/>
                          <a:stretch>
                            <a:fillRect/>
                          </a:stretch>
                        </pic:blipFill>
                        <pic:spPr>
                          <a:xfrm>
                            <a:off x="0" y="0"/>
                            <a:ext cx="1219200" cy="257175"/>
                          </a:xfrm>
                          <a:prstGeom prst="rect">
                            <a:avLst/>
                          </a:prstGeom>
                          <a:noFill/>
                          <a:ln>
                            <a:noFill/>
                          </a:ln>
                        </pic:spPr>
                      </pic:pic>
                    </a:graphicData>
                  </a:graphic>
                </wp:inline>
              </w:drawing>
            </w:r>
          </w:p>
          <w:p w14:paraId="1CE3AFD3">
            <w:pPr>
              <w:spacing w:line="360" w:lineRule="auto"/>
              <w:ind w:firstLine="480" w:firstLineChars="200"/>
              <w:jc w:val="both"/>
              <w:rPr>
                <w:sz w:val="24"/>
                <w:szCs w:val="32"/>
              </w:rPr>
            </w:pPr>
            <w:r>
              <w:rPr>
                <w:sz w:val="24"/>
                <w:szCs w:val="32"/>
              </w:rPr>
              <w:t>式中：</w:t>
            </w:r>
          </w:p>
          <w:p w14:paraId="6BAEFFB4">
            <w:pPr>
              <w:spacing w:line="360" w:lineRule="auto"/>
              <w:ind w:firstLine="480" w:firstLineChars="200"/>
              <w:jc w:val="both"/>
              <w:rPr>
                <w:sz w:val="24"/>
                <w:szCs w:val="32"/>
              </w:rPr>
            </w:pPr>
            <w:r>
              <w:rPr>
                <w:sz w:val="24"/>
                <w:szCs w:val="32"/>
              </w:rPr>
              <w:drawing>
                <wp:inline distT="0" distB="0" distL="114300" distR="114300">
                  <wp:extent cx="219075" cy="228600"/>
                  <wp:effectExtent l="0" t="0" r="10160" b="0"/>
                  <wp:docPr id="8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8"/>
                          <pic:cNvPicPr>
                            <a:picLocks noChangeAspect="1"/>
                          </pic:cNvPicPr>
                        </pic:nvPicPr>
                        <pic:blipFill>
                          <a:blip r:embed="rId48"/>
                          <a:stretch>
                            <a:fillRect/>
                          </a:stretch>
                        </pic:blipFill>
                        <pic:spPr>
                          <a:xfrm>
                            <a:off x="0" y="0"/>
                            <a:ext cx="219075" cy="228600"/>
                          </a:xfrm>
                          <a:prstGeom prst="rect">
                            <a:avLst/>
                          </a:prstGeom>
                          <a:noFill/>
                          <a:ln>
                            <a:noFill/>
                          </a:ln>
                        </pic:spPr>
                      </pic:pic>
                    </a:graphicData>
                  </a:graphic>
                </wp:inline>
              </w:drawing>
            </w:r>
            <w:r>
              <w:rPr>
                <w:sz w:val="24"/>
                <w:szCs w:val="32"/>
              </w:rPr>
              <w:t>—预测点的总等效声级，dB（A）；</w:t>
            </w:r>
          </w:p>
          <w:p w14:paraId="62A13567">
            <w:pPr>
              <w:spacing w:line="360" w:lineRule="auto"/>
              <w:ind w:firstLine="480" w:firstLineChars="200"/>
              <w:jc w:val="both"/>
              <w:rPr>
                <w:sz w:val="24"/>
                <w:szCs w:val="32"/>
              </w:rPr>
            </w:pPr>
            <w:r>
              <w:rPr>
                <w:sz w:val="24"/>
                <w:szCs w:val="32"/>
              </w:rPr>
              <w:drawing>
                <wp:inline distT="0" distB="0" distL="114300" distR="114300">
                  <wp:extent cx="171450" cy="228600"/>
                  <wp:effectExtent l="0" t="0" r="0" b="0"/>
                  <wp:docPr id="9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9"/>
                          <pic:cNvPicPr>
                            <a:picLocks noChangeAspect="1"/>
                          </pic:cNvPicPr>
                        </pic:nvPicPr>
                        <pic:blipFill>
                          <a:blip r:embed="rId49"/>
                          <a:stretch>
                            <a:fillRect/>
                          </a:stretch>
                        </pic:blipFill>
                        <pic:spPr>
                          <a:xfrm>
                            <a:off x="0" y="0"/>
                            <a:ext cx="171450" cy="228600"/>
                          </a:xfrm>
                          <a:prstGeom prst="rect">
                            <a:avLst/>
                          </a:prstGeom>
                          <a:noFill/>
                          <a:ln>
                            <a:noFill/>
                          </a:ln>
                        </pic:spPr>
                      </pic:pic>
                    </a:graphicData>
                  </a:graphic>
                </wp:inline>
              </w:drawing>
            </w:r>
            <w:r>
              <w:rPr>
                <w:sz w:val="24"/>
                <w:szCs w:val="32"/>
              </w:rPr>
              <w:t>—第i个声源对预测点的声级，dB（A）。</w:t>
            </w:r>
          </w:p>
          <w:p w14:paraId="2B27D6A1">
            <w:pPr>
              <w:autoSpaceDE w:val="0"/>
              <w:autoSpaceDN w:val="0"/>
              <w:spacing w:line="360" w:lineRule="auto"/>
              <w:ind w:firstLine="480" w:firstLineChars="200"/>
              <w:jc w:val="both"/>
              <w:rPr>
                <w:kern w:val="0"/>
                <w:sz w:val="24"/>
                <w:szCs w:val="32"/>
              </w:rPr>
            </w:pPr>
            <w:r>
              <w:rPr>
                <w:kern w:val="0"/>
                <w:sz w:val="24"/>
                <w:szCs w:val="32"/>
              </w:rPr>
              <w:t>④噪声贡献值计算</w:t>
            </w:r>
          </w:p>
          <w:p w14:paraId="7F141431">
            <w:pPr>
              <w:spacing w:line="360" w:lineRule="auto"/>
              <w:ind w:firstLine="480" w:firstLineChars="200"/>
              <w:jc w:val="both"/>
              <w:rPr>
                <w:kern w:val="0"/>
                <w:sz w:val="24"/>
                <w:szCs w:val="32"/>
              </w:rPr>
            </w:pPr>
            <w:r>
              <w:rPr>
                <w:kern w:val="0"/>
                <w:sz w:val="24"/>
                <w:szCs w:val="32"/>
              </w:rPr>
              <w:t>设第i个室外声源在预测点产生的A声级为LAi，在T时间内该声源工作时间为ti；第j个等效室外声源在预测点产生的A声级为LAj，在T时间内该声源工作时间为tj，则本工程声源对预测点产生的贡献值（Leqg）为：</w:t>
            </w:r>
          </w:p>
          <w:p w14:paraId="7B3316D3">
            <w:pPr>
              <w:spacing w:line="360" w:lineRule="auto"/>
              <w:ind w:firstLine="480" w:firstLineChars="200"/>
              <w:jc w:val="center"/>
              <w:rPr>
                <w:kern w:val="0"/>
                <w:sz w:val="24"/>
                <w:szCs w:val="32"/>
              </w:rPr>
            </w:pPr>
            <w:r>
              <w:rPr>
                <w:position w:val="-34"/>
                <w:sz w:val="24"/>
                <w:szCs w:val="32"/>
              </w:rPr>
              <w:object>
                <v:shape id="_x0000_i1029" o:spt="75" type="#_x0000_t75" style="height:38.8pt;width:195.9pt;" o:ole="t" filled="f" o:preferrelative="t" stroked="f" coordsize="21600,21600">
                  <v:path/>
                  <v:fill on="f" focussize="0,0"/>
                  <v:stroke on="f"/>
                  <v:imagedata r:id="rId51" o:title=""/>
                  <o:lock v:ext="edit" aspectratio="t"/>
                  <w10:wrap type="none"/>
                  <w10:anchorlock/>
                </v:shape>
                <o:OLEObject Type="Embed" ProgID="Equation.3" ShapeID="_x0000_i1029" DrawAspect="Content" ObjectID="_1468075729" r:id="rId50">
                  <o:LockedField>false</o:LockedField>
                </o:OLEObject>
              </w:object>
            </w:r>
            <w:r>
              <w:rPr>
                <w:position w:val="-28"/>
                <w:sz w:val="24"/>
                <w:szCs w:val="32"/>
              </w:rPr>
              <w:t xml:space="preserve">  </w:t>
            </w:r>
            <w:r>
              <w:rPr>
                <w:sz w:val="24"/>
                <w:szCs w:val="32"/>
              </w:rPr>
              <w:t>（11）</w:t>
            </w:r>
          </w:p>
          <w:p w14:paraId="2BA934A8">
            <w:pPr>
              <w:autoSpaceDE w:val="0"/>
              <w:autoSpaceDN w:val="0"/>
              <w:spacing w:line="360" w:lineRule="auto"/>
              <w:ind w:firstLine="480" w:firstLineChars="200"/>
              <w:jc w:val="both"/>
              <w:rPr>
                <w:kern w:val="0"/>
                <w:sz w:val="24"/>
                <w:szCs w:val="32"/>
              </w:rPr>
            </w:pPr>
            <w:r>
              <w:rPr>
                <w:kern w:val="0"/>
                <w:sz w:val="24"/>
                <w:szCs w:val="32"/>
              </w:rPr>
              <w:t>式中：t</w:t>
            </w:r>
            <w:r>
              <w:rPr>
                <w:kern w:val="0"/>
                <w:sz w:val="24"/>
                <w:szCs w:val="32"/>
                <w:vertAlign w:val="subscript"/>
              </w:rPr>
              <w:t>j</w:t>
            </w:r>
            <w:r>
              <w:rPr>
                <w:kern w:val="0"/>
                <w:sz w:val="24"/>
                <w:szCs w:val="32"/>
              </w:rPr>
              <w:t>—在T时间内j声源工作时间，s；</w:t>
            </w:r>
          </w:p>
          <w:p w14:paraId="4FC77D31">
            <w:pPr>
              <w:autoSpaceDE w:val="0"/>
              <w:autoSpaceDN w:val="0"/>
              <w:spacing w:line="360" w:lineRule="auto"/>
              <w:ind w:firstLine="480" w:firstLineChars="200"/>
              <w:jc w:val="both"/>
              <w:rPr>
                <w:kern w:val="0"/>
                <w:sz w:val="24"/>
                <w:szCs w:val="32"/>
              </w:rPr>
            </w:pPr>
            <w:r>
              <w:rPr>
                <w:kern w:val="0"/>
                <w:sz w:val="24"/>
                <w:szCs w:val="32"/>
              </w:rPr>
              <w:t>t</w:t>
            </w:r>
            <w:r>
              <w:rPr>
                <w:kern w:val="0"/>
                <w:sz w:val="24"/>
                <w:szCs w:val="32"/>
                <w:vertAlign w:val="subscript"/>
              </w:rPr>
              <w:t>i</w:t>
            </w:r>
            <w:r>
              <w:rPr>
                <w:kern w:val="0"/>
                <w:sz w:val="24"/>
                <w:szCs w:val="32"/>
              </w:rPr>
              <w:t>—在T时间内i声源工作时间，s；</w:t>
            </w:r>
          </w:p>
          <w:p w14:paraId="5509E39F">
            <w:pPr>
              <w:autoSpaceDE w:val="0"/>
              <w:autoSpaceDN w:val="0"/>
              <w:spacing w:line="360" w:lineRule="auto"/>
              <w:ind w:firstLine="480" w:firstLineChars="200"/>
              <w:jc w:val="both"/>
              <w:rPr>
                <w:kern w:val="0"/>
                <w:sz w:val="24"/>
                <w:szCs w:val="32"/>
              </w:rPr>
            </w:pPr>
            <w:r>
              <w:rPr>
                <w:kern w:val="0"/>
                <w:sz w:val="24"/>
                <w:szCs w:val="32"/>
              </w:rPr>
              <w:t>T—用于计算等效声级的时间，s；</w:t>
            </w:r>
          </w:p>
          <w:p w14:paraId="3B7B923A">
            <w:pPr>
              <w:autoSpaceDE w:val="0"/>
              <w:autoSpaceDN w:val="0"/>
              <w:spacing w:line="360" w:lineRule="auto"/>
              <w:ind w:firstLine="480" w:firstLineChars="200"/>
              <w:jc w:val="both"/>
              <w:rPr>
                <w:kern w:val="0"/>
                <w:sz w:val="24"/>
                <w:szCs w:val="32"/>
              </w:rPr>
            </w:pPr>
            <w:r>
              <w:rPr>
                <w:kern w:val="0"/>
                <w:sz w:val="24"/>
                <w:szCs w:val="32"/>
              </w:rPr>
              <w:t>N—室外声源个数；</w:t>
            </w:r>
          </w:p>
          <w:p w14:paraId="26E45E4E">
            <w:pPr>
              <w:spacing w:line="360" w:lineRule="auto"/>
              <w:ind w:firstLine="480" w:firstLineChars="200"/>
              <w:jc w:val="both"/>
              <w:rPr>
                <w:kern w:val="0"/>
                <w:sz w:val="24"/>
                <w:szCs w:val="32"/>
              </w:rPr>
            </w:pPr>
            <w:r>
              <w:rPr>
                <w:kern w:val="0"/>
                <w:sz w:val="24"/>
                <w:szCs w:val="32"/>
              </w:rPr>
              <w:t>M—等效室外声源个数。</w:t>
            </w:r>
          </w:p>
          <w:p w14:paraId="6E6E3537">
            <w:pPr>
              <w:widowControl/>
              <w:spacing w:line="360" w:lineRule="auto"/>
              <w:ind w:firstLine="480" w:firstLineChars="200"/>
              <w:jc w:val="both"/>
              <w:rPr>
                <w:sz w:val="24"/>
                <w:szCs w:val="32"/>
              </w:rPr>
            </w:pPr>
            <w:r>
              <w:rPr>
                <w:kern w:val="0"/>
                <w:sz w:val="24"/>
                <w:szCs w:val="32"/>
                <w:lang w:bidi="ar"/>
              </w:rPr>
              <w:t xml:space="preserve">将设备噪声源在厂区平面图上进行定位，利用上述的预测数字模型，将有关参数代入公式计算，预测拟建工程噪声源对各向厂界的影响。 </w:t>
            </w:r>
          </w:p>
          <w:p w14:paraId="6677B76F">
            <w:pPr>
              <w:widowControl/>
              <w:spacing w:line="360" w:lineRule="auto"/>
              <w:ind w:firstLine="480" w:firstLineChars="200"/>
              <w:jc w:val="both"/>
              <w:rPr>
                <w:sz w:val="24"/>
                <w:szCs w:val="32"/>
              </w:rPr>
            </w:pPr>
            <w:r>
              <w:rPr>
                <w:kern w:val="0"/>
                <w:sz w:val="24"/>
                <w:szCs w:val="32"/>
                <w:lang w:bidi="ar"/>
              </w:rPr>
              <w:t>本项目评价时，采用类比法，按车间等效噪声值(类比值)做点源处理。将设备噪声源在厂区平面图上进行定位，利用上述预测模型，将有关参数代入公式计算，预测拟建项目噪声源对厂界外的影响。</w:t>
            </w:r>
          </w:p>
          <w:p w14:paraId="1684580D">
            <w:pPr>
              <w:widowControl/>
              <w:spacing w:line="360" w:lineRule="auto"/>
              <w:ind w:firstLine="480" w:firstLineChars="200"/>
              <w:jc w:val="both"/>
              <w:rPr>
                <w:sz w:val="24"/>
                <w:szCs w:val="32"/>
              </w:rPr>
            </w:pPr>
            <w:r>
              <w:rPr>
                <w:kern w:val="0"/>
                <w:sz w:val="24"/>
                <w:szCs w:val="32"/>
                <w:lang w:bidi="ar"/>
              </w:rPr>
              <w:t>（</w:t>
            </w:r>
            <w:r>
              <w:rPr>
                <w:rFonts w:hint="eastAsia"/>
                <w:kern w:val="0"/>
                <w:sz w:val="24"/>
                <w:szCs w:val="32"/>
                <w:lang w:bidi="ar"/>
              </w:rPr>
              <w:t>4</w:t>
            </w:r>
            <w:r>
              <w:rPr>
                <w:kern w:val="0"/>
                <w:sz w:val="24"/>
                <w:szCs w:val="32"/>
                <w:lang w:bidi="ar"/>
              </w:rPr>
              <w:t xml:space="preserve">）评价标准 </w:t>
            </w:r>
          </w:p>
          <w:p w14:paraId="40501D6B">
            <w:pPr>
              <w:spacing w:line="360" w:lineRule="auto"/>
              <w:ind w:firstLine="480" w:firstLineChars="200"/>
              <w:jc w:val="both"/>
              <w:rPr>
                <w:sz w:val="24"/>
                <w:szCs w:val="32"/>
              </w:rPr>
            </w:pPr>
            <w:r>
              <w:rPr>
                <w:kern w:val="0"/>
                <w:sz w:val="24"/>
                <w:szCs w:val="32"/>
                <w:lang w:bidi="ar"/>
              </w:rPr>
              <w:t>厂界噪声评价执行《工业企业厂界环境噪声排放标准》</w:t>
            </w:r>
            <w:r>
              <w:rPr>
                <w:rFonts w:hint="eastAsia"/>
                <w:kern w:val="0"/>
                <w:sz w:val="24"/>
                <w:szCs w:val="32"/>
                <w:lang w:eastAsia="zh-CN" w:bidi="ar"/>
              </w:rPr>
              <w:t>（</w:t>
            </w:r>
            <w:r>
              <w:rPr>
                <w:kern w:val="0"/>
                <w:sz w:val="24"/>
                <w:szCs w:val="32"/>
                <w:lang w:bidi="ar"/>
              </w:rPr>
              <w:t>GB12348-2008</w:t>
            </w:r>
            <w:r>
              <w:rPr>
                <w:rFonts w:hint="eastAsia"/>
                <w:kern w:val="0"/>
                <w:sz w:val="24"/>
                <w:szCs w:val="32"/>
                <w:lang w:eastAsia="zh-CN" w:bidi="ar"/>
              </w:rPr>
              <w:t>）</w:t>
            </w:r>
            <w:r>
              <w:rPr>
                <w:kern w:val="0"/>
                <w:sz w:val="24"/>
                <w:szCs w:val="32"/>
                <w:lang w:bidi="ar"/>
              </w:rPr>
              <w:t>中</w:t>
            </w:r>
            <w:r>
              <w:rPr>
                <w:rFonts w:hint="eastAsia"/>
                <w:kern w:val="0"/>
                <w:sz w:val="24"/>
                <w:szCs w:val="32"/>
                <w:lang w:val="en-US" w:eastAsia="zh-CN" w:bidi="ar"/>
              </w:rPr>
              <w:t>2类</w:t>
            </w:r>
            <w:r>
              <w:rPr>
                <w:kern w:val="0"/>
                <w:sz w:val="24"/>
                <w:szCs w:val="32"/>
                <w:lang w:bidi="ar"/>
              </w:rPr>
              <w:t>标准。</w:t>
            </w:r>
          </w:p>
          <w:p w14:paraId="499621EB">
            <w:pPr>
              <w:spacing w:line="360" w:lineRule="auto"/>
              <w:ind w:firstLine="480" w:firstLineChars="200"/>
              <w:jc w:val="both"/>
              <w:rPr>
                <w:kern w:val="0"/>
                <w:sz w:val="24"/>
                <w:szCs w:val="32"/>
                <w:lang w:bidi="ar"/>
              </w:rPr>
            </w:pPr>
            <w:r>
              <w:rPr>
                <w:kern w:val="0"/>
                <w:sz w:val="24"/>
                <w:szCs w:val="32"/>
                <w:lang w:bidi="ar"/>
              </w:rPr>
              <w:t>（</w:t>
            </w:r>
            <w:r>
              <w:rPr>
                <w:rFonts w:hint="eastAsia"/>
                <w:kern w:val="0"/>
                <w:sz w:val="24"/>
                <w:szCs w:val="32"/>
                <w:lang w:bidi="ar"/>
              </w:rPr>
              <w:t>5</w:t>
            </w:r>
            <w:r>
              <w:rPr>
                <w:kern w:val="0"/>
                <w:sz w:val="24"/>
                <w:szCs w:val="32"/>
                <w:lang w:bidi="ar"/>
              </w:rPr>
              <w:t>）声环境影响预测结果评价</w:t>
            </w:r>
          </w:p>
          <w:p w14:paraId="1AF60C98">
            <w:pPr>
              <w:spacing w:line="360" w:lineRule="auto"/>
              <w:ind w:firstLine="480" w:firstLineChars="200"/>
              <w:jc w:val="both"/>
              <w:rPr>
                <w:sz w:val="24"/>
                <w:szCs w:val="32"/>
              </w:rPr>
            </w:pPr>
            <w:r>
              <w:rPr>
                <w:sz w:val="24"/>
                <w:szCs w:val="32"/>
              </w:rPr>
              <w:t>本项目</w:t>
            </w:r>
            <w:r>
              <w:rPr>
                <w:rFonts w:hint="eastAsia"/>
                <w:sz w:val="24"/>
                <w:szCs w:val="32"/>
                <w:lang w:eastAsia="zh-CN"/>
              </w:rPr>
              <w:t>运营期为单班制</w:t>
            </w:r>
            <w:r>
              <w:rPr>
                <w:sz w:val="24"/>
                <w:szCs w:val="32"/>
              </w:rPr>
              <w:t>，</w:t>
            </w:r>
            <w:r>
              <w:rPr>
                <w:rFonts w:hint="eastAsia"/>
                <w:sz w:val="24"/>
                <w:szCs w:val="32"/>
                <w:lang w:val="en-US" w:eastAsia="zh-CN"/>
              </w:rPr>
              <w:t>夜间不生产，</w:t>
            </w:r>
            <w:r>
              <w:rPr>
                <w:sz w:val="24"/>
                <w:szCs w:val="32"/>
              </w:rPr>
              <w:t>通过上述预测模式，对本项目厂界噪声贡献值进行预测，预测结果见下表。</w:t>
            </w:r>
          </w:p>
          <w:p w14:paraId="056907E6">
            <w:pPr>
              <w:pStyle w:val="70"/>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sz w:val="24"/>
                <w:szCs w:val="24"/>
                <w:lang w:val="en-GB" w:eastAsia="zh-CN"/>
              </w:rPr>
            </w:pPr>
            <w:r>
              <w:rPr>
                <w:sz w:val="24"/>
                <w:szCs w:val="24"/>
                <w:lang w:val="en-GB"/>
              </w:rPr>
              <w:t>表</w:t>
            </w:r>
            <w:r>
              <w:rPr>
                <w:rFonts w:hint="eastAsia"/>
                <w:sz w:val="24"/>
                <w:szCs w:val="24"/>
              </w:rPr>
              <w:t>4-</w:t>
            </w:r>
            <w:r>
              <w:rPr>
                <w:rFonts w:hint="eastAsia"/>
                <w:sz w:val="24"/>
                <w:szCs w:val="24"/>
                <w:lang w:val="en-US" w:eastAsia="zh-CN"/>
              </w:rPr>
              <w:t xml:space="preserve">16  </w:t>
            </w:r>
            <w:r>
              <w:rPr>
                <w:sz w:val="24"/>
                <w:szCs w:val="24"/>
                <w:lang w:val="en-GB"/>
              </w:rPr>
              <w:t>噪声预测结果   单位：dB</w:t>
            </w:r>
            <w:r>
              <w:rPr>
                <w:rFonts w:hint="eastAsia"/>
                <w:sz w:val="24"/>
                <w:szCs w:val="24"/>
                <w:lang w:val="en-US" w:eastAsia="zh-CN"/>
              </w:rPr>
              <w:t>(</w:t>
            </w:r>
            <w:r>
              <w:rPr>
                <w:sz w:val="24"/>
                <w:szCs w:val="24"/>
                <w:lang w:val="en-GB"/>
              </w:rPr>
              <w:t>A</w:t>
            </w:r>
            <w:r>
              <w:rPr>
                <w:rFonts w:hint="eastAsia"/>
                <w:sz w:val="24"/>
                <w:szCs w:val="24"/>
                <w:lang w:val="en-US" w:eastAsia="zh-CN"/>
              </w:rPr>
              <w:t>)</w:t>
            </w:r>
          </w:p>
          <w:tbl>
            <w:tblPr>
              <w:tblStyle w:val="26"/>
              <w:tblW w:w="504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1556"/>
              <w:gridCol w:w="1479"/>
              <w:gridCol w:w="1066"/>
              <w:gridCol w:w="1067"/>
              <w:gridCol w:w="1280"/>
              <w:gridCol w:w="1284"/>
            </w:tblGrid>
            <w:tr w14:paraId="10F3B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4" w:hRule="atLeast"/>
                <w:jc w:val="center"/>
              </w:trPr>
              <w:tc>
                <w:tcPr>
                  <w:tcW w:w="456" w:type="pct"/>
                  <w:vMerge w:val="restart"/>
                  <w:tcBorders>
                    <w:top w:val="single" w:color="auto" w:sz="4" w:space="0"/>
                    <w:left w:val="single" w:color="auto" w:sz="4" w:space="0"/>
                    <w:bottom w:val="single" w:color="auto" w:sz="4" w:space="0"/>
                    <w:right w:val="single" w:color="auto" w:sz="4" w:space="0"/>
                  </w:tcBorders>
                  <w:noWrap w:val="0"/>
                  <w:vAlign w:val="center"/>
                </w:tcPr>
                <w:p w14:paraId="2B7BE9AE">
                  <w:pPr>
                    <w:keepNext w:val="0"/>
                    <w:keepLines w:val="0"/>
                    <w:suppressLineNumbers w:val="0"/>
                    <w:adjustRightInd w:val="0"/>
                    <w:spacing w:before="0" w:beforeAutospacing="0" w:after="0" w:afterAutospacing="0"/>
                    <w:ind w:left="0" w:right="0"/>
                    <w:jc w:val="center"/>
                    <w:rPr>
                      <w:rFonts w:hint="default"/>
                      <w:color w:val="auto"/>
                      <w:sz w:val="21"/>
                      <w:szCs w:val="21"/>
                    </w:rPr>
                  </w:pPr>
                  <w:r>
                    <w:rPr>
                      <w:rFonts w:hint="eastAsia"/>
                      <w:color w:val="auto"/>
                      <w:sz w:val="21"/>
                      <w:szCs w:val="21"/>
                    </w:rPr>
                    <w:t>序号</w:t>
                  </w:r>
                </w:p>
              </w:tc>
              <w:tc>
                <w:tcPr>
                  <w:tcW w:w="914" w:type="pct"/>
                  <w:vMerge w:val="restart"/>
                  <w:tcBorders>
                    <w:top w:val="single" w:color="auto" w:sz="4" w:space="0"/>
                    <w:left w:val="single" w:color="auto" w:sz="4" w:space="0"/>
                    <w:bottom w:val="single" w:color="auto" w:sz="4" w:space="0"/>
                    <w:right w:val="single" w:color="auto" w:sz="4" w:space="0"/>
                  </w:tcBorders>
                  <w:noWrap w:val="0"/>
                  <w:vAlign w:val="center"/>
                </w:tcPr>
                <w:p w14:paraId="36B1873C">
                  <w:pPr>
                    <w:keepNext w:val="0"/>
                    <w:keepLines w:val="0"/>
                    <w:suppressLineNumbers w:val="0"/>
                    <w:adjustRightInd w:val="0"/>
                    <w:spacing w:before="0" w:beforeAutospacing="0" w:after="0" w:afterAutospacing="0"/>
                    <w:ind w:left="0" w:right="0"/>
                    <w:jc w:val="center"/>
                    <w:rPr>
                      <w:rFonts w:hint="default"/>
                      <w:color w:val="auto"/>
                      <w:sz w:val="21"/>
                      <w:szCs w:val="21"/>
                    </w:rPr>
                  </w:pPr>
                  <w:r>
                    <w:rPr>
                      <w:rFonts w:hint="eastAsia"/>
                      <w:color w:val="auto"/>
                      <w:sz w:val="21"/>
                      <w:szCs w:val="21"/>
                    </w:rPr>
                    <w:t>厂界点</w:t>
                  </w:r>
                </w:p>
              </w:tc>
              <w:tc>
                <w:tcPr>
                  <w:tcW w:w="869" w:type="pct"/>
                  <w:vMerge w:val="restart"/>
                  <w:tcBorders>
                    <w:top w:val="single" w:color="auto" w:sz="4" w:space="0"/>
                    <w:left w:val="single" w:color="auto" w:sz="4" w:space="0"/>
                    <w:right w:val="single" w:color="auto" w:sz="4" w:space="0"/>
                  </w:tcBorders>
                  <w:noWrap w:val="0"/>
                  <w:vAlign w:val="center"/>
                </w:tcPr>
                <w:p w14:paraId="07117943">
                  <w:pPr>
                    <w:keepNext w:val="0"/>
                    <w:keepLines w:val="0"/>
                    <w:suppressLineNumbers w:val="0"/>
                    <w:adjustRightInd w:val="0"/>
                    <w:spacing w:before="0" w:beforeAutospacing="0" w:after="0" w:afterAutospacing="0"/>
                    <w:ind w:left="0" w:leftChars="0" w:right="0" w:rightChars="0"/>
                    <w:jc w:val="center"/>
                    <w:rPr>
                      <w:rFonts w:hint="eastAsia"/>
                      <w:color w:val="auto"/>
                      <w:sz w:val="21"/>
                      <w:szCs w:val="21"/>
                    </w:rPr>
                  </w:pPr>
                  <w:r>
                    <w:rPr>
                      <w:rFonts w:hint="eastAsia"/>
                      <w:color w:val="auto"/>
                      <w:sz w:val="21"/>
                      <w:szCs w:val="21"/>
                      <w:lang w:val="en-US" w:eastAsia="zh-CN"/>
                    </w:rPr>
                    <w:t>贡献</w:t>
                  </w:r>
                  <w:r>
                    <w:rPr>
                      <w:rFonts w:hint="eastAsia"/>
                      <w:color w:val="auto"/>
                      <w:sz w:val="21"/>
                      <w:szCs w:val="21"/>
                    </w:rPr>
                    <w:t>值</w:t>
                  </w:r>
                </w:p>
              </w:tc>
              <w:tc>
                <w:tcPr>
                  <w:tcW w:w="1253" w:type="pct"/>
                  <w:gridSpan w:val="2"/>
                  <w:tcBorders>
                    <w:top w:val="single" w:color="auto" w:sz="4" w:space="0"/>
                    <w:left w:val="single" w:color="auto" w:sz="4" w:space="0"/>
                    <w:bottom w:val="single" w:color="auto" w:sz="4" w:space="0"/>
                    <w:right w:val="single" w:color="auto" w:sz="4" w:space="0"/>
                  </w:tcBorders>
                  <w:noWrap w:val="0"/>
                  <w:vAlign w:val="center"/>
                </w:tcPr>
                <w:p w14:paraId="1F37D97D">
                  <w:pPr>
                    <w:keepNext w:val="0"/>
                    <w:keepLines w:val="0"/>
                    <w:suppressLineNumbers w:val="0"/>
                    <w:adjustRightInd w:val="0"/>
                    <w:spacing w:before="0" w:beforeAutospacing="0" w:after="0" w:afterAutospacing="0"/>
                    <w:ind w:left="0" w:right="0"/>
                    <w:jc w:val="center"/>
                    <w:rPr>
                      <w:rFonts w:hint="default"/>
                      <w:color w:val="auto"/>
                      <w:sz w:val="21"/>
                      <w:szCs w:val="21"/>
                    </w:rPr>
                  </w:pPr>
                  <w:r>
                    <w:rPr>
                      <w:rFonts w:hint="eastAsia"/>
                      <w:color w:val="auto"/>
                      <w:sz w:val="21"/>
                      <w:szCs w:val="21"/>
                    </w:rPr>
                    <w:t>标准值</w:t>
                  </w:r>
                </w:p>
              </w:tc>
              <w:tc>
                <w:tcPr>
                  <w:tcW w:w="1506" w:type="pct"/>
                  <w:gridSpan w:val="2"/>
                  <w:tcBorders>
                    <w:top w:val="single" w:color="auto" w:sz="4" w:space="0"/>
                    <w:left w:val="single" w:color="auto" w:sz="4" w:space="0"/>
                    <w:bottom w:val="single" w:color="auto" w:sz="4" w:space="0"/>
                    <w:right w:val="single" w:color="auto" w:sz="4" w:space="0"/>
                  </w:tcBorders>
                  <w:noWrap w:val="0"/>
                  <w:vAlign w:val="center"/>
                </w:tcPr>
                <w:p w14:paraId="10E70D7C">
                  <w:pPr>
                    <w:keepNext w:val="0"/>
                    <w:keepLines w:val="0"/>
                    <w:suppressLineNumbers w:val="0"/>
                    <w:adjustRightInd w:val="0"/>
                    <w:spacing w:before="0" w:beforeAutospacing="0" w:after="0" w:afterAutospacing="0"/>
                    <w:ind w:left="0" w:right="0"/>
                    <w:jc w:val="center"/>
                    <w:rPr>
                      <w:rFonts w:hint="default"/>
                      <w:color w:val="auto"/>
                      <w:sz w:val="21"/>
                      <w:szCs w:val="21"/>
                    </w:rPr>
                  </w:pPr>
                  <w:r>
                    <w:rPr>
                      <w:rFonts w:hint="eastAsia"/>
                      <w:color w:val="auto"/>
                      <w:sz w:val="21"/>
                      <w:szCs w:val="21"/>
                    </w:rPr>
                    <w:t>是否达标</w:t>
                  </w:r>
                </w:p>
              </w:tc>
            </w:tr>
            <w:tr w14:paraId="4CDE3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4" w:hRule="atLeast"/>
                <w:jc w:val="center"/>
              </w:trPr>
              <w:tc>
                <w:tcPr>
                  <w:tcW w:w="456" w:type="pct"/>
                  <w:vMerge w:val="continue"/>
                  <w:tcBorders>
                    <w:top w:val="single" w:color="auto" w:sz="4" w:space="0"/>
                    <w:left w:val="single" w:color="auto" w:sz="4" w:space="0"/>
                    <w:bottom w:val="single" w:color="auto" w:sz="4" w:space="0"/>
                    <w:right w:val="single" w:color="auto" w:sz="4" w:space="0"/>
                  </w:tcBorders>
                  <w:noWrap w:val="0"/>
                  <w:vAlign w:val="center"/>
                </w:tcPr>
                <w:p w14:paraId="469E2D7D">
                  <w:pPr>
                    <w:keepNext w:val="0"/>
                    <w:keepLines w:val="0"/>
                    <w:widowControl/>
                    <w:suppressLineNumbers w:val="0"/>
                    <w:spacing w:before="0" w:beforeAutospacing="0" w:after="0" w:afterAutospacing="0"/>
                    <w:ind w:left="0" w:right="0"/>
                    <w:jc w:val="left"/>
                    <w:rPr>
                      <w:rFonts w:hint="default"/>
                      <w:color w:val="auto"/>
                      <w:sz w:val="21"/>
                      <w:szCs w:val="21"/>
                    </w:rPr>
                  </w:pPr>
                </w:p>
              </w:tc>
              <w:tc>
                <w:tcPr>
                  <w:tcW w:w="914" w:type="pct"/>
                  <w:vMerge w:val="continue"/>
                  <w:tcBorders>
                    <w:top w:val="single" w:color="auto" w:sz="4" w:space="0"/>
                    <w:left w:val="single" w:color="auto" w:sz="4" w:space="0"/>
                    <w:bottom w:val="single" w:color="auto" w:sz="4" w:space="0"/>
                    <w:right w:val="single" w:color="auto" w:sz="4" w:space="0"/>
                  </w:tcBorders>
                  <w:noWrap w:val="0"/>
                  <w:vAlign w:val="center"/>
                </w:tcPr>
                <w:p w14:paraId="0181571E">
                  <w:pPr>
                    <w:keepNext w:val="0"/>
                    <w:keepLines w:val="0"/>
                    <w:widowControl/>
                    <w:suppressLineNumbers w:val="0"/>
                    <w:spacing w:before="0" w:beforeAutospacing="0" w:after="0" w:afterAutospacing="0"/>
                    <w:ind w:left="0" w:right="0"/>
                    <w:jc w:val="left"/>
                    <w:rPr>
                      <w:rFonts w:hint="default"/>
                      <w:color w:val="auto"/>
                      <w:sz w:val="21"/>
                      <w:szCs w:val="21"/>
                    </w:rPr>
                  </w:pPr>
                </w:p>
              </w:tc>
              <w:tc>
                <w:tcPr>
                  <w:tcW w:w="869" w:type="pct"/>
                  <w:vMerge w:val="continue"/>
                  <w:tcBorders>
                    <w:left w:val="single" w:color="auto" w:sz="4" w:space="0"/>
                    <w:bottom w:val="single" w:color="auto" w:sz="4" w:space="0"/>
                    <w:right w:val="single" w:color="auto" w:sz="4" w:space="0"/>
                  </w:tcBorders>
                  <w:noWrap w:val="0"/>
                  <w:vAlign w:val="center"/>
                </w:tcPr>
                <w:p w14:paraId="7339BABE">
                  <w:pPr>
                    <w:keepNext w:val="0"/>
                    <w:keepLines w:val="0"/>
                    <w:widowControl/>
                    <w:suppressLineNumbers w:val="0"/>
                    <w:spacing w:before="0" w:beforeAutospacing="0" w:after="0" w:afterAutospacing="0"/>
                    <w:ind w:left="0" w:right="0"/>
                    <w:jc w:val="left"/>
                    <w:rPr>
                      <w:rFonts w:hint="default"/>
                      <w:color w:val="auto"/>
                      <w:sz w:val="21"/>
                      <w:szCs w:val="21"/>
                    </w:rPr>
                  </w:pPr>
                </w:p>
              </w:tc>
              <w:tc>
                <w:tcPr>
                  <w:tcW w:w="626" w:type="pct"/>
                  <w:tcBorders>
                    <w:top w:val="single" w:color="auto" w:sz="4" w:space="0"/>
                    <w:left w:val="single" w:color="auto" w:sz="4" w:space="0"/>
                    <w:bottom w:val="single" w:color="auto" w:sz="4" w:space="0"/>
                    <w:right w:val="single" w:color="auto" w:sz="4" w:space="0"/>
                  </w:tcBorders>
                  <w:noWrap w:val="0"/>
                  <w:vAlign w:val="center"/>
                </w:tcPr>
                <w:p w14:paraId="6DCC5F39">
                  <w:pPr>
                    <w:keepNext w:val="0"/>
                    <w:keepLines w:val="0"/>
                    <w:suppressLineNumbers w:val="0"/>
                    <w:adjustRightInd w:val="0"/>
                    <w:spacing w:before="0" w:beforeAutospacing="0" w:after="0" w:afterAutospacing="0"/>
                    <w:ind w:left="0" w:right="0"/>
                    <w:jc w:val="center"/>
                    <w:rPr>
                      <w:rFonts w:hint="default"/>
                      <w:color w:val="auto"/>
                      <w:sz w:val="21"/>
                      <w:szCs w:val="21"/>
                    </w:rPr>
                  </w:pPr>
                  <w:r>
                    <w:rPr>
                      <w:rFonts w:hint="eastAsia"/>
                      <w:color w:val="auto"/>
                      <w:sz w:val="21"/>
                      <w:szCs w:val="21"/>
                    </w:rPr>
                    <w:t>昼间</w:t>
                  </w:r>
                </w:p>
              </w:tc>
              <w:tc>
                <w:tcPr>
                  <w:tcW w:w="627" w:type="pct"/>
                  <w:tcBorders>
                    <w:top w:val="single" w:color="auto" w:sz="4" w:space="0"/>
                    <w:left w:val="single" w:color="auto" w:sz="4" w:space="0"/>
                    <w:bottom w:val="single" w:color="auto" w:sz="4" w:space="0"/>
                    <w:right w:val="single" w:color="auto" w:sz="4" w:space="0"/>
                  </w:tcBorders>
                  <w:noWrap w:val="0"/>
                  <w:vAlign w:val="center"/>
                </w:tcPr>
                <w:p w14:paraId="15894FAC">
                  <w:pPr>
                    <w:keepNext w:val="0"/>
                    <w:keepLines w:val="0"/>
                    <w:suppressLineNumbers w:val="0"/>
                    <w:adjustRightInd w:val="0"/>
                    <w:spacing w:before="0" w:beforeAutospacing="0" w:after="0" w:afterAutospacing="0"/>
                    <w:ind w:left="0" w:right="0"/>
                    <w:jc w:val="center"/>
                    <w:rPr>
                      <w:rFonts w:hint="default"/>
                      <w:color w:val="auto"/>
                      <w:sz w:val="21"/>
                      <w:szCs w:val="21"/>
                    </w:rPr>
                  </w:pPr>
                  <w:r>
                    <w:rPr>
                      <w:rFonts w:hint="eastAsia"/>
                      <w:color w:val="auto"/>
                      <w:sz w:val="21"/>
                      <w:szCs w:val="21"/>
                    </w:rPr>
                    <w:t>夜间</w:t>
                  </w:r>
                </w:p>
              </w:tc>
              <w:tc>
                <w:tcPr>
                  <w:tcW w:w="752" w:type="pct"/>
                  <w:tcBorders>
                    <w:top w:val="single" w:color="auto" w:sz="4" w:space="0"/>
                    <w:left w:val="single" w:color="auto" w:sz="4" w:space="0"/>
                    <w:bottom w:val="single" w:color="auto" w:sz="4" w:space="0"/>
                    <w:right w:val="single" w:color="auto" w:sz="4" w:space="0"/>
                  </w:tcBorders>
                  <w:noWrap w:val="0"/>
                  <w:vAlign w:val="center"/>
                </w:tcPr>
                <w:p w14:paraId="33A0621E">
                  <w:pPr>
                    <w:keepNext w:val="0"/>
                    <w:keepLines w:val="0"/>
                    <w:suppressLineNumbers w:val="0"/>
                    <w:adjustRightInd w:val="0"/>
                    <w:spacing w:before="0" w:beforeAutospacing="0" w:after="0" w:afterAutospacing="0"/>
                    <w:ind w:left="0" w:right="0"/>
                    <w:jc w:val="center"/>
                    <w:rPr>
                      <w:rFonts w:hint="default"/>
                      <w:color w:val="auto"/>
                      <w:sz w:val="21"/>
                      <w:szCs w:val="21"/>
                    </w:rPr>
                  </w:pPr>
                  <w:r>
                    <w:rPr>
                      <w:rFonts w:hint="eastAsia"/>
                      <w:color w:val="auto"/>
                      <w:sz w:val="21"/>
                      <w:szCs w:val="21"/>
                    </w:rPr>
                    <w:t>昼间</w:t>
                  </w:r>
                </w:p>
              </w:tc>
              <w:tc>
                <w:tcPr>
                  <w:tcW w:w="754" w:type="pct"/>
                  <w:tcBorders>
                    <w:top w:val="single" w:color="auto" w:sz="4" w:space="0"/>
                    <w:left w:val="single" w:color="auto" w:sz="4" w:space="0"/>
                    <w:bottom w:val="single" w:color="auto" w:sz="4" w:space="0"/>
                    <w:right w:val="single" w:color="auto" w:sz="4" w:space="0"/>
                  </w:tcBorders>
                  <w:noWrap w:val="0"/>
                  <w:vAlign w:val="center"/>
                </w:tcPr>
                <w:p w14:paraId="1575AF43">
                  <w:pPr>
                    <w:keepNext w:val="0"/>
                    <w:keepLines w:val="0"/>
                    <w:suppressLineNumbers w:val="0"/>
                    <w:adjustRightInd w:val="0"/>
                    <w:spacing w:before="0" w:beforeAutospacing="0" w:after="0" w:afterAutospacing="0"/>
                    <w:ind w:left="0" w:right="0"/>
                    <w:jc w:val="center"/>
                    <w:rPr>
                      <w:rFonts w:hint="default"/>
                      <w:color w:val="auto"/>
                      <w:sz w:val="21"/>
                      <w:szCs w:val="21"/>
                    </w:rPr>
                  </w:pPr>
                  <w:r>
                    <w:rPr>
                      <w:rFonts w:hint="eastAsia"/>
                      <w:color w:val="auto"/>
                      <w:sz w:val="21"/>
                      <w:szCs w:val="21"/>
                    </w:rPr>
                    <w:t>夜间</w:t>
                  </w:r>
                </w:p>
              </w:tc>
            </w:tr>
            <w:tr w14:paraId="2866E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456" w:type="pct"/>
                  <w:tcBorders>
                    <w:top w:val="single" w:color="auto" w:sz="4" w:space="0"/>
                    <w:left w:val="single" w:color="auto" w:sz="4" w:space="0"/>
                    <w:bottom w:val="single" w:color="auto" w:sz="4" w:space="0"/>
                    <w:right w:val="single" w:color="auto" w:sz="4" w:space="0"/>
                  </w:tcBorders>
                  <w:noWrap w:val="0"/>
                  <w:vAlign w:val="center"/>
                </w:tcPr>
                <w:p w14:paraId="0842A1C2">
                  <w:pPr>
                    <w:keepNext w:val="0"/>
                    <w:keepLines w:val="0"/>
                    <w:suppressLineNumbers w:val="0"/>
                    <w:adjustRightInd w:val="0"/>
                    <w:spacing w:before="0" w:beforeAutospacing="0" w:after="0" w:afterAutospacing="0"/>
                    <w:ind w:left="0" w:right="0"/>
                    <w:jc w:val="center"/>
                    <w:rPr>
                      <w:rFonts w:hint="default"/>
                      <w:color w:val="auto"/>
                      <w:sz w:val="21"/>
                      <w:szCs w:val="21"/>
                    </w:rPr>
                  </w:pPr>
                  <w:r>
                    <w:rPr>
                      <w:rFonts w:hint="default"/>
                      <w:color w:val="auto"/>
                      <w:sz w:val="21"/>
                      <w:szCs w:val="21"/>
                    </w:rPr>
                    <w:t>1</w:t>
                  </w:r>
                </w:p>
              </w:tc>
              <w:tc>
                <w:tcPr>
                  <w:tcW w:w="914" w:type="pct"/>
                  <w:tcBorders>
                    <w:top w:val="single" w:color="auto" w:sz="4" w:space="0"/>
                    <w:left w:val="single" w:color="auto" w:sz="4" w:space="0"/>
                    <w:bottom w:val="single" w:color="auto" w:sz="4" w:space="0"/>
                    <w:right w:val="single" w:color="auto" w:sz="4" w:space="0"/>
                  </w:tcBorders>
                  <w:noWrap w:val="0"/>
                  <w:vAlign w:val="center"/>
                </w:tcPr>
                <w:p w14:paraId="271F4264">
                  <w:pPr>
                    <w:keepNext w:val="0"/>
                    <w:keepLines w:val="0"/>
                    <w:suppressLineNumbers w:val="0"/>
                    <w:adjustRightInd w:val="0"/>
                    <w:spacing w:before="0" w:beforeAutospacing="0" w:after="0" w:afterAutospacing="0"/>
                    <w:ind w:left="0" w:right="0"/>
                    <w:jc w:val="center"/>
                    <w:rPr>
                      <w:rFonts w:hint="default"/>
                      <w:color w:val="auto"/>
                      <w:sz w:val="21"/>
                      <w:szCs w:val="21"/>
                    </w:rPr>
                  </w:pPr>
                  <w:r>
                    <w:rPr>
                      <w:rFonts w:hint="eastAsia"/>
                      <w:color w:val="auto"/>
                      <w:sz w:val="21"/>
                      <w:szCs w:val="21"/>
                    </w:rPr>
                    <w:t>东厂界</w:t>
                  </w:r>
                </w:p>
              </w:tc>
              <w:tc>
                <w:tcPr>
                  <w:tcW w:w="869" w:type="pct"/>
                  <w:tcBorders>
                    <w:top w:val="single" w:color="auto" w:sz="4" w:space="0"/>
                    <w:left w:val="single" w:color="auto" w:sz="4" w:space="0"/>
                    <w:bottom w:val="single" w:color="auto" w:sz="4" w:space="0"/>
                    <w:right w:val="single" w:color="auto" w:sz="4" w:space="0"/>
                  </w:tcBorders>
                  <w:noWrap w:val="0"/>
                  <w:vAlign w:val="center"/>
                </w:tcPr>
                <w:p w14:paraId="3EAE4772">
                  <w:pPr>
                    <w:keepNext w:val="0"/>
                    <w:keepLines w:val="0"/>
                    <w:suppressLineNumbers w:val="0"/>
                    <w:adjustRightInd w:val="0"/>
                    <w:spacing w:before="0" w:beforeAutospacing="0" w:after="0" w:afterAutospacing="0"/>
                    <w:ind w:left="0" w:leftChars="0" w:right="0" w:rightChars="0"/>
                    <w:jc w:val="center"/>
                    <w:rPr>
                      <w:rFonts w:hint="default" w:eastAsia="宋体"/>
                      <w:color w:val="auto"/>
                      <w:sz w:val="21"/>
                      <w:szCs w:val="21"/>
                      <w:lang w:val="en-US" w:eastAsia="zh-CN"/>
                    </w:rPr>
                  </w:pPr>
                  <w:r>
                    <w:rPr>
                      <w:rFonts w:hint="eastAsia"/>
                      <w:color w:val="auto"/>
                      <w:sz w:val="21"/>
                      <w:szCs w:val="21"/>
                      <w:lang w:val="en-US" w:eastAsia="zh-CN"/>
                    </w:rPr>
                    <w:t>44.1</w:t>
                  </w:r>
                </w:p>
              </w:tc>
              <w:tc>
                <w:tcPr>
                  <w:tcW w:w="62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232873B">
                  <w:pPr>
                    <w:keepNext w:val="0"/>
                    <w:keepLines w:val="0"/>
                    <w:suppressLineNumbers w:val="0"/>
                    <w:adjustRightIn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default"/>
                      <w:color w:val="auto"/>
                      <w:sz w:val="21"/>
                      <w:szCs w:val="21"/>
                    </w:rPr>
                    <w:t>6</w:t>
                  </w:r>
                  <w:r>
                    <w:rPr>
                      <w:rFonts w:hint="eastAsia"/>
                      <w:color w:val="auto"/>
                      <w:sz w:val="21"/>
                      <w:szCs w:val="21"/>
                      <w:lang w:val="en-US" w:eastAsia="zh-CN"/>
                    </w:rPr>
                    <w:t>0</w:t>
                  </w:r>
                </w:p>
              </w:tc>
              <w:tc>
                <w:tcPr>
                  <w:tcW w:w="627" w:type="pct"/>
                  <w:tcBorders>
                    <w:top w:val="single" w:color="auto" w:sz="4" w:space="0"/>
                    <w:left w:val="single" w:color="auto" w:sz="4" w:space="0"/>
                    <w:bottom w:val="single" w:color="auto" w:sz="4" w:space="0"/>
                    <w:right w:val="single" w:color="auto" w:sz="4" w:space="0"/>
                  </w:tcBorders>
                  <w:noWrap w:val="0"/>
                  <w:vAlign w:val="center"/>
                </w:tcPr>
                <w:p w14:paraId="538759B3">
                  <w:pPr>
                    <w:keepNext w:val="0"/>
                    <w:keepLines w:val="0"/>
                    <w:suppressLineNumbers w:val="0"/>
                    <w:adjustRightInd w:val="0"/>
                    <w:spacing w:before="0" w:beforeAutospacing="0" w:after="0" w:afterAutospacing="0"/>
                    <w:ind w:left="0" w:right="0"/>
                    <w:jc w:val="center"/>
                    <w:rPr>
                      <w:rFonts w:hint="eastAsia" w:eastAsia="宋体"/>
                      <w:color w:val="auto"/>
                      <w:sz w:val="21"/>
                      <w:szCs w:val="21"/>
                      <w:lang w:eastAsia="zh-CN"/>
                    </w:rPr>
                  </w:pPr>
                  <w:r>
                    <w:rPr>
                      <w:rFonts w:hint="eastAsia"/>
                      <w:color w:val="auto"/>
                      <w:sz w:val="21"/>
                      <w:szCs w:val="21"/>
                      <w:lang w:val="en-US" w:eastAsia="zh-CN"/>
                    </w:rPr>
                    <w:t>/</w:t>
                  </w:r>
                </w:p>
              </w:tc>
              <w:tc>
                <w:tcPr>
                  <w:tcW w:w="752" w:type="pct"/>
                  <w:tcBorders>
                    <w:top w:val="single" w:color="auto" w:sz="4" w:space="0"/>
                    <w:left w:val="single" w:color="auto" w:sz="4" w:space="0"/>
                    <w:bottom w:val="single" w:color="auto" w:sz="4" w:space="0"/>
                    <w:right w:val="single" w:color="auto" w:sz="4" w:space="0"/>
                  </w:tcBorders>
                  <w:noWrap w:val="0"/>
                  <w:vAlign w:val="center"/>
                </w:tcPr>
                <w:p w14:paraId="78E8BB39">
                  <w:pPr>
                    <w:keepNext w:val="0"/>
                    <w:keepLines w:val="0"/>
                    <w:suppressLineNumbers w:val="0"/>
                    <w:adjustRightInd w:val="0"/>
                    <w:spacing w:before="0" w:beforeAutospacing="0" w:after="0" w:afterAutospacing="0"/>
                    <w:ind w:left="0" w:right="0"/>
                    <w:jc w:val="center"/>
                    <w:rPr>
                      <w:rFonts w:hint="default"/>
                      <w:color w:val="auto"/>
                      <w:sz w:val="21"/>
                      <w:szCs w:val="21"/>
                    </w:rPr>
                  </w:pPr>
                  <w:r>
                    <w:rPr>
                      <w:rFonts w:hint="eastAsia"/>
                      <w:color w:val="auto"/>
                      <w:sz w:val="21"/>
                      <w:szCs w:val="21"/>
                    </w:rPr>
                    <w:t>是</w:t>
                  </w:r>
                </w:p>
              </w:tc>
              <w:tc>
                <w:tcPr>
                  <w:tcW w:w="754" w:type="pct"/>
                  <w:tcBorders>
                    <w:top w:val="single" w:color="auto" w:sz="4" w:space="0"/>
                    <w:left w:val="single" w:color="auto" w:sz="4" w:space="0"/>
                    <w:bottom w:val="single" w:color="auto" w:sz="4" w:space="0"/>
                    <w:right w:val="single" w:color="auto" w:sz="4" w:space="0"/>
                  </w:tcBorders>
                  <w:noWrap w:val="0"/>
                  <w:vAlign w:val="center"/>
                </w:tcPr>
                <w:p w14:paraId="10287817">
                  <w:pPr>
                    <w:keepNext w:val="0"/>
                    <w:keepLines w:val="0"/>
                    <w:suppressLineNumbers w:val="0"/>
                    <w:adjustRightInd w:val="0"/>
                    <w:spacing w:before="0" w:beforeAutospacing="0" w:after="0" w:afterAutospacing="0"/>
                    <w:ind w:left="0" w:right="0"/>
                    <w:jc w:val="center"/>
                    <w:rPr>
                      <w:rFonts w:hint="eastAsia" w:eastAsia="宋体"/>
                      <w:color w:val="auto"/>
                      <w:sz w:val="21"/>
                      <w:szCs w:val="21"/>
                      <w:lang w:eastAsia="zh-CN"/>
                    </w:rPr>
                  </w:pPr>
                  <w:r>
                    <w:rPr>
                      <w:rFonts w:hint="eastAsia"/>
                      <w:color w:val="auto"/>
                      <w:sz w:val="21"/>
                      <w:szCs w:val="21"/>
                      <w:lang w:val="en-US" w:eastAsia="zh-CN"/>
                    </w:rPr>
                    <w:t>/</w:t>
                  </w:r>
                </w:p>
              </w:tc>
            </w:tr>
            <w:tr w14:paraId="006A4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456" w:type="pct"/>
                  <w:tcBorders>
                    <w:top w:val="single" w:color="auto" w:sz="4" w:space="0"/>
                    <w:left w:val="single" w:color="auto" w:sz="4" w:space="0"/>
                    <w:bottom w:val="single" w:color="auto" w:sz="4" w:space="0"/>
                    <w:right w:val="single" w:color="auto" w:sz="4" w:space="0"/>
                  </w:tcBorders>
                  <w:noWrap w:val="0"/>
                  <w:vAlign w:val="center"/>
                </w:tcPr>
                <w:p w14:paraId="52861766">
                  <w:pPr>
                    <w:keepNext w:val="0"/>
                    <w:keepLines w:val="0"/>
                    <w:suppressLineNumbers w:val="0"/>
                    <w:adjustRightInd w:val="0"/>
                    <w:spacing w:before="0" w:beforeAutospacing="0" w:after="0" w:afterAutospacing="0"/>
                    <w:ind w:left="0" w:right="0"/>
                    <w:jc w:val="center"/>
                    <w:rPr>
                      <w:rFonts w:hint="default"/>
                      <w:color w:val="auto"/>
                      <w:sz w:val="21"/>
                      <w:szCs w:val="21"/>
                    </w:rPr>
                  </w:pPr>
                  <w:r>
                    <w:rPr>
                      <w:rFonts w:hint="default"/>
                      <w:color w:val="auto"/>
                      <w:sz w:val="21"/>
                      <w:szCs w:val="21"/>
                    </w:rPr>
                    <w:t>2</w:t>
                  </w:r>
                </w:p>
              </w:tc>
              <w:tc>
                <w:tcPr>
                  <w:tcW w:w="914" w:type="pct"/>
                  <w:tcBorders>
                    <w:top w:val="single" w:color="auto" w:sz="4" w:space="0"/>
                    <w:left w:val="single" w:color="auto" w:sz="4" w:space="0"/>
                    <w:bottom w:val="single" w:color="auto" w:sz="4" w:space="0"/>
                    <w:right w:val="single" w:color="auto" w:sz="4" w:space="0"/>
                  </w:tcBorders>
                  <w:noWrap w:val="0"/>
                  <w:vAlign w:val="center"/>
                </w:tcPr>
                <w:p w14:paraId="20F326DA">
                  <w:pPr>
                    <w:keepNext w:val="0"/>
                    <w:keepLines w:val="0"/>
                    <w:suppressLineNumbers w:val="0"/>
                    <w:adjustRightInd w:val="0"/>
                    <w:spacing w:before="0" w:beforeAutospacing="0" w:after="0" w:afterAutospacing="0"/>
                    <w:ind w:left="0" w:right="0"/>
                    <w:jc w:val="center"/>
                    <w:rPr>
                      <w:rFonts w:hint="default"/>
                      <w:color w:val="auto"/>
                      <w:sz w:val="21"/>
                      <w:szCs w:val="21"/>
                    </w:rPr>
                  </w:pPr>
                  <w:r>
                    <w:rPr>
                      <w:rFonts w:hint="eastAsia"/>
                      <w:color w:val="auto"/>
                      <w:sz w:val="21"/>
                      <w:szCs w:val="21"/>
                    </w:rPr>
                    <w:t>南厂界</w:t>
                  </w:r>
                </w:p>
              </w:tc>
              <w:tc>
                <w:tcPr>
                  <w:tcW w:w="869" w:type="pct"/>
                  <w:tcBorders>
                    <w:top w:val="single" w:color="auto" w:sz="4" w:space="0"/>
                    <w:left w:val="single" w:color="auto" w:sz="4" w:space="0"/>
                    <w:bottom w:val="single" w:color="auto" w:sz="4" w:space="0"/>
                    <w:right w:val="single" w:color="auto" w:sz="4" w:space="0"/>
                  </w:tcBorders>
                  <w:noWrap w:val="0"/>
                  <w:vAlign w:val="center"/>
                </w:tcPr>
                <w:p w14:paraId="71719DA9">
                  <w:pPr>
                    <w:keepNext w:val="0"/>
                    <w:keepLines w:val="0"/>
                    <w:suppressLineNumbers w:val="0"/>
                    <w:adjustRightInd w:val="0"/>
                    <w:spacing w:before="0" w:beforeAutospacing="0" w:after="0" w:afterAutospacing="0"/>
                    <w:ind w:left="0" w:leftChars="0" w:right="0" w:rightChars="0"/>
                    <w:jc w:val="center"/>
                    <w:rPr>
                      <w:rFonts w:hint="default" w:eastAsia="宋体"/>
                      <w:color w:val="auto"/>
                      <w:sz w:val="21"/>
                      <w:szCs w:val="21"/>
                      <w:lang w:val="en-US" w:eastAsia="zh-CN"/>
                    </w:rPr>
                  </w:pPr>
                  <w:r>
                    <w:rPr>
                      <w:rFonts w:hint="eastAsia"/>
                      <w:color w:val="auto"/>
                      <w:sz w:val="21"/>
                      <w:szCs w:val="21"/>
                      <w:lang w:val="en-US" w:eastAsia="zh-CN"/>
                    </w:rPr>
                    <w:t>47.8</w:t>
                  </w:r>
                </w:p>
              </w:tc>
              <w:tc>
                <w:tcPr>
                  <w:tcW w:w="62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BD42E15">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6</w:t>
                  </w:r>
                  <w:r>
                    <w:rPr>
                      <w:rFonts w:hint="eastAsia"/>
                      <w:color w:val="auto"/>
                      <w:sz w:val="21"/>
                      <w:szCs w:val="21"/>
                      <w:lang w:val="en-US" w:eastAsia="zh-CN"/>
                    </w:rPr>
                    <w:t>0</w:t>
                  </w:r>
                </w:p>
              </w:tc>
              <w:tc>
                <w:tcPr>
                  <w:tcW w:w="627" w:type="pct"/>
                  <w:tcBorders>
                    <w:top w:val="single" w:color="auto" w:sz="4" w:space="0"/>
                    <w:left w:val="single" w:color="auto" w:sz="4" w:space="0"/>
                    <w:bottom w:val="single" w:color="auto" w:sz="4" w:space="0"/>
                    <w:right w:val="single" w:color="auto" w:sz="4" w:space="0"/>
                  </w:tcBorders>
                  <w:noWrap w:val="0"/>
                  <w:vAlign w:val="center"/>
                </w:tcPr>
                <w:p w14:paraId="0A9FDEAA">
                  <w:pPr>
                    <w:keepNext w:val="0"/>
                    <w:keepLines w:val="0"/>
                    <w:suppressLineNumbers w:val="0"/>
                    <w:adjustRightIn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w:t>
                  </w:r>
                </w:p>
              </w:tc>
              <w:tc>
                <w:tcPr>
                  <w:tcW w:w="752" w:type="pct"/>
                  <w:tcBorders>
                    <w:top w:val="single" w:color="auto" w:sz="4" w:space="0"/>
                    <w:left w:val="single" w:color="auto" w:sz="4" w:space="0"/>
                    <w:bottom w:val="single" w:color="auto" w:sz="4" w:space="0"/>
                    <w:right w:val="single" w:color="auto" w:sz="4" w:space="0"/>
                  </w:tcBorders>
                  <w:noWrap w:val="0"/>
                  <w:vAlign w:val="center"/>
                </w:tcPr>
                <w:p w14:paraId="26F0D4CA">
                  <w:pPr>
                    <w:keepNext w:val="0"/>
                    <w:keepLines w:val="0"/>
                    <w:suppressLineNumbers w:val="0"/>
                    <w:adjustRightInd w:val="0"/>
                    <w:spacing w:before="0" w:beforeAutospacing="0" w:after="0" w:afterAutospacing="0"/>
                    <w:ind w:left="0" w:right="0"/>
                    <w:jc w:val="center"/>
                    <w:rPr>
                      <w:rFonts w:hint="default"/>
                      <w:color w:val="auto"/>
                      <w:sz w:val="21"/>
                      <w:szCs w:val="21"/>
                    </w:rPr>
                  </w:pPr>
                  <w:r>
                    <w:rPr>
                      <w:rFonts w:hint="eastAsia"/>
                      <w:color w:val="auto"/>
                      <w:sz w:val="21"/>
                      <w:szCs w:val="21"/>
                    </w:rPr>
                    <w:t>是</w:t>
                  </w:r>
                </w:p>
              </w:tc>
              <w:tc>
                <w:tcPr>
                  <w:tcW w:w="754" w:type="pct"/>
                  <w:tcBorders>
                    <w:top w:val="single" w:color="auto" w:sz="4" w:space="0"/>
                    <w:left w:val="single" w:color="auto" w:sz="4" w:space="0"/>
                    <w:bottom w:val="single" w:color="auto" w:sz="4" w:space="0"/>
                    <w:right w:val="single" w:color="auto" w:sz="4" w:space="0"/>
                  </w:tcBorders>
                  <w:noWrap w:val="0"/>
                  <w:vAlign w:val="center"/>
                </w:tcPr>
                <w:p w14:paraId="08D21863">
                  <w:pPr>
                    <w:keepNext w:val="0"/>
                    <w:keepLines w:val="0"/>
                    <w:suppressLineNumbers w:val="0"/>
                    <w:adjustRightInd w:val="0"/>
                    <w:spacing w:before="0" w:beforeAutospacing="0" w:after="0" w:afterAutospacing="0"/>
                    <w:ind w:left="0" w:right="0"/>
                    <w:jc w:val="center"/>
                    <w:rPr>
                      <w:rFonts w:hint="eastAsia" w:eastAsia="宋体"/>
                      <w:color w:val="auto"/>
                      <w:sz w:val="21"/>
                      <w:szCs w:val="21"/>
                      <w:lang w:eastAsia="zh-CN"/>
                    </w:rPr>
                  </w:pPr>
                  <w:r>
                    <w:rPr>
                      <w:rFonts w:hint="eastAsia"/>
                      <w:color w:val="auto"/>
                      <w:sz w:val="21"/>
                      <w:szCs w:val="21"/>
                      <w:lang w:val="en-US" w:eastAsia="zh-CN"/>
                    </w:rPr>
                    <w:t>/</w:t>
                  </w:r>
                </w:p>
              </w:tc>
            </w:tr>
            <w:tr w14:paraId="7AA54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456" w:type="pct"/>
                  <w:tcBorders>
                    <w:top w:val="single" w:color="auto" w:sz="4" w:space="0"/>
                    <w:left w:val="single" w:color="auto" w:sz="4" w:space="0"/>
                    <w:bottom w:val="single" w:color="auto" w:sz="4" w:space="0"/>
                    <w:right w:val="single" w:color="auto" w:sz="4" w:space="0"/>
                  </w:tcBorders>
                  <w:noWrap w:val="0"/>
                  <w:vAlign w:val="center"/>
                </w:tcPr>
                <w:p w14:paraId="51FF0D71">
                  <w:pPr>
                    <w:keepNext w:val="0"/>
                    <w:keepLines w:val="0"/>
                    <w:suppressLineNumbers w:val="0"/>
                    <w:adjustRightInd w:val="0"/>
                    <w:spacing w:before="0" w:beforeAutospacing="0" w:after="0" w:afterAutospacing="0"/>
                    <w:ind w:left="0" w:right="0"/>
                    <w:jc w:val="center"/>
                    <w:rPr>
                      <w:rFonts w:hint="default"/>
                      <w:color w:val="auto"/>
                      <w:sz w:val="21"/>
                      <w:szCs w:val="21"/>
                    </w:rPr>
                  </w:pPr>
                  <w:r>
                    <w:rPr>
                      <w:rFonts w:hint="default"/>
                      <w:color w:val="auto"/>
                      <w:sz w:val="21"/>
                      <w:szCs w:val="21"/>
                    </w:rPr>
                    <w:t>3</w:t>
                  </w:r>
                </w:p>
              </w:tc>
              <w:tc>
                <w:tcPr>
                  <w:tcW w:w="914" w:type="pct"/>
                  <w:tcBorders>
                    <w:top w:val="single" w:color="auto" w:sz="4" w:space="0"/>
                    <w:left w:val="single" w:color="auto" w:sz="4" w:space="0"/>
                    <w:bottom w:val="single" w:color="auto" w:sz="4" w:space="0"/>
                    <w:right w:val="single" w:color="auto" w:sz="4" w:space="0"/>
                  </w:tcBorders>
                  <w:noWrap w:val="0"/>
                  <w:vAlign w:val="center"/>
                </w:tcPr>
                <w:p w14:paraId="1ED0418C">
                  <w:pPr>
                    <w:keepNext w:val="0"/>
                    <w:keepLines w:val="0"/>
                    <w:suppressLineNumbers w:val="0"/>
                    <w:adjustRightInd w:val="0"/>
                    <w:spacing w:before="0" w:beforeAutospacing="0" w:after="0" w:afterAutospacing="0"/>
                    <w:ind w:left="0" w:right="0"/>
                    <w:jc w:val="center"/>
                    <w:rPr>
                      <w:rFonts w:hint="default"/>
                      <w:color w:val="auto"/>
                      <w:sz w:val="21"/>
                      <w:szCs w:val="21"/>
                    </w:rPr>
                  </w:pPr>
                  <w:r>
                    <w:rPr>
                      <w:rFonts w:hint="eastAsia"/>
                      <w:color w:val="auto"/>
                      <w:sz w:val="21"/>
                      <w:szCs w:val="21"/>
                    </w:rPr>
                    <w:t>西厂界</w:t>
                  </w:r>
                </w:p>
              </w:tc>
              <w:tc>
                <w:tcPr>
                  <w:tcW w:w="869" w:type="pct"/>
                  <w:tcBorders>
                    <w:top w:val="single" w:color="auto" w:sz="4" w:space="0"/>
                    <w:left w:val="single" w:color="auto" w:sz="4" w:space="0"/>
                    <w:bottom w:val="single" w:color="auto" w:sz="4" w:space="0"/>
                    <w:right w:val="single" w:color="auto" w:sz="4" w:space="0"/>
                  </w:tcBorders>
                  <w:noWrap w:val="0"/>
                  <w:vAlign w:val="center"/>
                </w:tcPr>
                <w:p w14:paraId="2743C3E4">
                  <w:pPr>
                    <w:keepNext w:val="0"/>
                    <w:keepLines w:val="0"/>
                    <w:suppressLineNumbers w:val="0"/>
                    <w:adjustRightInd w:val="0"/>
                    <w:spacing w:before="0" w:beforeAutospacing="0" w:after="0" w:afterAutospacing="0"/>
                    <w:ind w:left="0" w:leftChars="0" w:right="0" w:rightChars="0"/>
                    <w:jc w:val="center"/>
                    <w:rPr>
                      <w:rFonts w:hint="default" w:eastAsia="宋体"/>
                      <w:color w:val="auto"/>
                      <w:sz w:val="21"/>
                      <w:szCs w:val="21"/>
                      <w:lang w:val="en-US" w:eastAsia="zh-CN"/>
                    </w:rPr>
                  </w:pPr>
                  <w:r>
                    <w:rPr>
                      <w:rFonts w:hint="eastAsia"/>
                      <w:color w:val="auto"/>
                      <w:sz w:val="21"/>
                      <w:szCs w:val="21"/>
                      <w:lang w:val="en-US" w:eastAsia="zh-CN"/>
                    </w:rPr>
                    <w:t>46.3</w:t>
                  </w:r>
                </w:p>
              </w:tc>
              <w:tc>
                <w:tcPr>
                  <w:tcW w:w="62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0A163BD">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6</w:t>
                  </w:r>
                  <w:r>
                    <w:rPr>
                      <w:rFonts w:hint="eastAsia"/>
                      <w:color w:val="auto"/>
                      <w:sz w:val="21"/>
                      <w:szCs w:val="21"/>
                      <w:lang w:val="en-US" w:eastAsia="zh-CN"/>
                    </w:rPr>
                    <w:t>0</w:t>
                  </w:r>
                </w:p>
              </w:tc>
              <w:tc>
                <w:tcPr>
                  <w:tcW w:w="627" w:type="pct"/>
                  <w:tcBorders>
                    <w:top w:val="single" w:color="auto" w:sz="4" w:space="0"/>
                    <w:left w:val="single" w:color="auto" w:sz="4" w:space="0"/>
                    <w:bottom w:val="single" w:color="auto" w:sz="4" w:space="0"/>
                    <w:right w:val="single" w:color="auto" w:sz="4" w:space="0"/>
                  </w:tcBorders>
                  <w:noWrap w:val="0"/>
                  <w:vAlign w:val="center"/>
                </w:tcPr>
                <w:p w14:paraId="649EE44D">
                  <w:pPr>
                    <w:keepNext w:val="0"/>
                    <w:keepLines w:val="0"/>
                    <w:suppressLineNumbers w:val="0"/>
                    <w:adjustRightIn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w:t>
                  </w:r>
                </w:p>
              </w:tc>
              <w:tc>
                <w:tcPr>
                  <w:tcW w:w="752" w:type="pct"/>
                  <w:tcBorders>
                    <w:top w:val="single" w:color="auto" w:sz="4" w:space="0"/>
                    <w:left w:val="single" w:color="auto" w:sz="4" w:space="0"/>
                    <w:bottom w:val="single" w:color="auto" w:sz="4" w:space="0"/>
                    <w:right w:val="single" w:color="auto" w:sz="4" w:space="0"/>
                  </w:tcBorders>
                  <w:noWrap w:val="0"/>
                  <w:vAlign w:val="center"/>
                </w:tcPr>
                <w:p w14:paraId="5DAA74B2">
                  <w:pPr>
                    <w:keepNext w:val="0"/>
                    <w:keepLines w:val="0"/>
                    <w:suppressLineNumbers w:val="0"/>
                    <w:adjustRightInd w:val="0"/>
                    <w:spacing w:before="0" w:beforeAutospacing="0" w:after="0" w:afterAutospacing="0"/>
                    <w:ind w:left="0" w:right="0"/>
                    <w:jc w:val="center"/>
                    <w:rPr>
                      <w:rFonts w:hint="default"/>
                      <w:color w:val="auto"/>
                      <w:sz w:val="21"/>
                      <w:szCs w:val="21"/>
                    </w:rPr>
                  </w:pPr>
                  <w:r>
                    <w:rPr>
                      <w:rFonts w:hint="eastAsia"/>
                      <w:color w:val="auto"/>
                      <w:sz w:val="21"/>
                      <w:szCs w:val="21"/>
                    </w:rPr>
                    <w:t>是</w:t>
                  </w:r>
                </w:p>
              </w:tc>
              <w:tc>
                <w:tcPr>
                  <w:tcW w:w="754" w:type="pct"/>
                  <w:tcBorders>
                    <w:top w:val="single" w:color="auto" w:sz="4" w:space="0"/>
                    <w:left w:val="single" w:color="auto" w:sz="4" w:space="0"/>
                    <w:bottom w:val="single" w:color="auto" w:sz="4" w:space="0"/>
                    <w:right w:val="single" w:color="auto" w:sz="4" w:space="0"/>
                  </w:tcBorders>
                  <w:noWrap w:val="0"/>
                  <w:vAlign w:val="center"/>
                </w:tcPr>
                <w:p w14:paraId="4AFEFC64">
                  <w:pPr>
                    <w:keepNext w:val="0"/>
                    <w:keepLines w:val="0"/>
                    <w:suppressLineNumbers w:val="0"/>
                    <w:adjustRightInd w:val="0"/>
                    <w:spacing w:before="0" w:beforeAutospacing="0" w:after="0" w:afterAutospacing="0"/>
                    <w:ind w:left="0" w:right="0"/>
                    <w:jc w:val="center"/>
                    <w:rPr>
                      <w:rFonts w:hint="eastAsia" w:eastAsia="宋体"/>
                      <w:color w:val="auto"/>
                      <w:sz w:val="21"/>
                      <w:szCs w:val="21"/>
                      <w:lang w:eastAsia="zh-CN"/>
                    </w:rPr>
                  </w:pPr>
                  <w:r>
                    <w:rPr>
                      <w:rFonts w:hint="eastAsia"/>
                      <w:color w:val="auto"/>
                      <w:sz w:val="21"/>
                      <w:szCs w:val="21"/>
                      <w:lang w:val="en-US" w:eastAsia="zh-CN"/>
                    </w:rPr>
                    <w:t>/</w:t>
                  </w:r>
                </w:p>
              </w:tc>
            </w:tr>
            <w:tr w14:paraId="7B5E4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56" w:type="pct"/>
                  <w:tcBorders>
                    <w:top w:val="single" w:color="auto" w:sz="4" w:space="0"/>
                    <w:left w:val="single" w:color="auto" w:sz="4" w:space="0"/>
                    <w:bottom w:val="single" w:color="auto" w:sz="4" w:space="0"/>
                    <w:right w:val="single" w:color="auto" w:sz="4" w:space="0"/>
                  </w:tcBorders>
                  <w:noWrap w:val="0"/>
                  <w:vAlign w:val="center"/>
                </w:tcPr>
                <w:p w14:paraId="51F997BE">
                  <w:pPr>
                    <w:keepNext w:val="0"/>
                    <w:keepLines w:val="0"/>
                    <w:suppressLineNumbers w:val="0"/>
                    <w:adjustRightInd w:val="0"/>
                    <w:spacing w:before="0" w:beforeAutospacing="0" w:after="0" w:afterAutospacing="0"/>
                    <w:ind w:left="0" w:right="0"/>
                    <w:jc w:val="center"/>
                    <w:rPr>
                      <w:rFonts w:hint="default"/>
                      <w:color w:val="auto"/>
                      <w:sz w:val="21"/>
                      <w:szCs w:val="21"/>
                    </w:rPr>
                  </w:pPr>
                  <w:r>
                    <w:rPr>
                      <w:rFonts w:hint="default"/>
                      <w:color w:val="auto"/>
                      <w:sz w:val="21"/>
                      <w:szCs w:val="21"/>
                    </w:rPr>
                    <w:t>4</w:t>
                  </w:r>
                </w:p>
              </w:tc>
              <w:tc>
                <w:tcPr>
                  <w:tcW w:w="914" w:type="pct"/>
                  <w:tcBorders>
                    <w:top w:val="single" w:color="auto" w:sz="4" w:space="0"/>
                    <w:left w:val="single" w:color="auto" w:sz="4" w:space="0"/>
                    <w:bottom w:val="single" w:color="auto" w:sz="4" w:space="0"/>
                    <w:right w:val="single" w:color="auto" w:sz="4" w:space="0"/>
                  </w:tcBorders>
                  <w:noWrap w:val="0"/>
                  <w:vAlign w:val="center"/>
                </w:tcPr>
                <w:p w14:paraId="597DA7CE">
                  <w:pPr>
                    <w:keepNext w:val="0"/>
                    <w:keepLines w:val="0"/>
                    <w:suppressLineNumbers w:val="0"/>
                    <w:adjustRightInd w:val="0"/>
                    <w:spacing w:before="0" w:beforeAutospacing="0" w:after="0" w:afterAutospacing="0"/>
                    <w:ind w:left="0" w:right="0"/>
                    <w:jc w:val="center"/>
                    <w:rPr>
                      <w:rFonts w:hint="default"/>
                      <w:color w:val="auto"/>
                      <w:sz w:val="21"/>
                      <w:szCs w:val="21"/>
                    </w:rPr>
                  </w:pPr>
                  <w:r>
                    <w:rPr>
                      <w:rFonts w:hint="eastAsia"/>
                      <w:color w:val="auto"/>
                      <w:sz w:val="21"/>
                      <w:szCs w:val="21"/>
                    </w:rPr>
                    <w:t>北厂界</w:t>
                  </w:r>
                </w:p>
              </w:tc>
              <w:tc>
                <w:tcPr>
                  <w:tcW w:w="869" w:type="pct"/>
                  <w:tcBorders>
                    <w:top w:val="single" w:color="auto" w:sz="4" w:space="0"/>
                    <w:left w:val="single" w:color="auto" w:sz="4" w:space="0"/>
                    <w:bottom w:val="single" w:color="auto" w:sz="4" w:space="0"/>
                    <w:right w:val="single" w:color="auto" w:sz="4" w:space="0"/>
                  </w:tcBorders>
                  <w:noWrap w:val="0"/>
                  <w:vAlign w:val="center"/>
                </w:tcPr>
                <w:p w14:paraId="56A818CA">
                  <w:pPr>
                    <w:keepNext w:val="0"/>
                    <w:keepLines w:val="0"/>
                    <w:suppressLineNumbers w:val="0"/>
                    <w:adjustRightInd w:val="0"/>
                    <w:spacing w:before="0" w:beforeAutospacing="0" w:after="0" w:afterAutospacing="0"/>
                    <w:ind w:left="0" w:leftChars="0" w:right="0" w:rightChars="0"/>
                    <w:jc w:val="center"/>
                    <w:rPr>
                      <w:rFonts w:hint="default" w:eastAsia="宋体"/>
                      <w:color w:val="auto"/>
                      <w:sz w:val="21"/>
                      <w:szCs w:val="21"/>
                      <w:lang w:val="en-US" w:eastAsia="zh-CN"/>
                    </w:rPr>
                  </w:pPr>
                  <w:r>
                    <w:rPr>
                      <w:rFonts w:hint="eastAsia"/>
                      <w:color w:val="auto"/>
                      <w:sz w:val="21"/>
                      <w:szCs w:val="21"/>
                      <w:lang w:val="en-US" w:eastAsia="zh-CN"/>
                    </w:rPr>
                    <w:t>45.9</w:t>
                  </w:r>
                </w:p>
              </w:tc>
              <w:tc>
                <w:tcPr>
                  <w:tcW w:w="62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B72D375">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6</w:t>
                  </w:r>
                  <w:r>
                    <w:rPr>
                      <w:rFonts w:hint="eastAsia"/>
                      <w:color w:val="auto"/>
                      <w:sz w:val="21"/>
                      <w:szCs w:val="21"/>
                      <w:lang w:val="en-US" w:eastAsia="zh-CN"/>
                    </w:rPr>
                    <w:t>0</w:t>
                  </w:r>
                </w:p>
              </w:tc>
              <w:tc>
                <w:tcPr>
                  <w:tcW w:w="62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A9839A9">
                  <w:pPr>
                    <w:keepNext w:val="0"/>
                    <w:keepLines w:val="0"/>
                    <w:suppressLineNumbers w:val="0"/>
                    <w:adjustRightInd w:val="0"/>
                    <w:spacing w:before="0" w:beforeAutospacing="0" w:after="0" w:afterAutospacing="0"/>
                    <w:ind w:left="0" w:leftChars="0" w:right="0" w:rightChars="0"/>
                    <w:jc w:val="center"/>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w:t>
                  </w:r>
                </w:p>
              </w:tc>
              <w:tc>
                <w:tcPr>
                  <w:tcW w:w="75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8EAFD59">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en-US" w:bidi="ar-SA"/>
                    </w:rPr>
                  </w:pPr>
                  <w:r>
                    <w:rPr>
                      <w:rFonts w:hint="eastAsia"/>
                      <w:color w:val="auto"/>
                      <w:sz w:val="21"/>
                      <w:szCs w:val="21"/>
                    </w:rPr>
                    <w:t>是</w:t>
                  </w:r>
                </w:p>
              </w:tc>
              <w:tc>
                <w:tcPr>
                  <w:tcW w:w="75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A20BF41">
                  <w:pPr>
                    <w:keepNext w:val="0"/>
                    <w:keepLines w:val="0"/>
                    <w:suppressLineNumbers w:val="0"/>
                    <w:adjustRightInd w:val="0"/>
                    <w:spacing w:before="0" w:beforeAutospacing="0" w:after="0" w:afterAutospacing="0"/>
                    <w:ind w:left="0" w:leftChars="0" w:right="0" w:rightChars="0"/>
                    <w:jc w:val="center"/>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w:t>
                  </w:r>
                </w:p>
              </w:tc>
            </w:tr>
            <w:tr w14:paraId="4EA46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56" w:type="pct"/>
                  <w:tcBorders>
                    <w:top w:val="single" w:color="auto" w:sz="4" w:space="0"/>
                    <w:left w:val="single" w:color="auto" w:sz="4" w:space="0"/>
                    <w:bottom w:val="single" w:color="auto" w:sz="4" w:space="0"/>
                    <w:right w:val="single" w:color="auto" w:sz="4" w:space="0"/>
                  </w:tcBorders>
                  <w:noWrap w:val="0"/>
                  <w:vAlign w:val="center"/>
                </w:tcPr>
                <w:p w14:paraId="7A58E870">
                  <w:pPr>
                    <w:keepNext w:val="0"/>
                    <w:keepLines w:val="0"/>
                    <w:suppressLineNumbers w:val="0"/>
                    <w:adjustRightInd w:val="0"/>
                    <w:spacing w:before="0" w:beforeAutospacing="0" w:after="0" w:afterAutospacing="0"/>
                    <w:ind w:left="0" w:right="0"/>
                    <w:jc w:val="center"/>
                    <w:rPr>
                      <w:rFonts w:hint="eastAsia" w:eastAsia="宋体"/>
                      <w:color w:val="auto"/>
                      <w:sz w:val="21"/>
                      <w:szCs w:val="21"/>
                      <w:lang w:val="en-US" w:eastAsia="zh-CN"/>
                    </w:rPr>
                  </w:pPr>
                  <w:r>
                    <w:rPr>
                      <w:rFonts w:hint="eastAsia"/>
                      <w:color w:val="auto"/>
                      <w:sz w:val="21"/>
                      <w:szCs w:val="21"/>
                      <w:lang w:val="en-US" w:eastAsia="zh-CN"/>
                    </w:rPr>
                    <w:t>5</w:t>
                  </w:r>
                </w:p>
              </w:tc>
              <w:tc>
                <w:tcPr>
                  <w:tcW w:w="91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3899557">
                  <w:pPr>
                    <w:jc w:val="center"/>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南侧居民</w:t>
                  </w:r>
                </w:p>
              </w:tc>
              <w:tc>
                <w:tcPr>
                  <w:tcW w:w="869" w:type="pct"/>
                  <w:tcBorders>
                    <w:top w:val="single" w:color="auto" w:sz="4" w:space="0"/>
                    <w:left w:val="single" w:color="auto" w:sz="4" w:space="0"/>
                    <w:bottom w:val="single" w:color="auto" w:sz="4" w:space="0"/>
                    <w:right w:val="single" w:color="auto" w:sz="4" w:space="0"/>
                  </w:tcBorders>
                  <w:noWrap w:val="0"/>
                  <w:vAlign w:val="center"/>
                </w:tcPr>
                <w:p w14:paraId="536F10F1">
                  <w:pPr>
                    <w:keepNext w:val="0"/>
                    <w:keepLines w:val="0"/>
                    <w:suppressLineNumbers w:val="0"/>
                    <w:adjustRightInd w:val="0"/>
                    <w:spacing w:before="0" w:beforeAutospacing="0" w:after="0" w:afterAutospacing="0"/>
                    <w:ind w:left="0" w:leftChars="0" w:right="0" w:rightChars="0"/>
                    <w:jc w:val="center"/>
                    <w:rPr>
                      <w:rFonts w:hint="default"/>
                      <w:color w:val="auto"/>
                      <w:sz w:val="21"/>
                      <w:szCs w:val="21"/>
                      <w:highlight w:val="none"/>
                      <w:lang w:val="en-US" w:eastAsia="zh-CN"/>
                    </w:rPr>
                  </w:pPr>
                  <w:r>
                    <w:rPr>
                      <w:rFonts w:hint="eastAsia"/>
                      <w:color w:val="auto"/>
                      <w:sz w:val="21"/>
                      <w:szCs w:val="21"/>
                      <w:highlight w:val="none"/>
                      <w:lang w:val="en-US" w:eastAsia="zh-CN"/>
                    </w:rPr>
                    <w:t>46.2</w:t>
                  </w:r>
                </w:p>
              </w:tc>
              <w:tc>
                <w:tcPr>
                  <w:tcW w:w="62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88B767E">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6</w:t>
                  </w:r>
                  <w:r>
                    <w:rPr>
                      <w:rFonts w:hint="eastAsia"/>
                      <w:color w:val="auto"/>
                      <w:sz w:val="21"/>
                      <w:szCs w:val="21"/>
                      <w:lang w:val="en-US" w:eastAsia="zh-CN"/>
                    </w:rPr>
                    <w:t>0</w:t>
                  </w:r>
                </w:p>
              </w:tc>
              <w:tc>
                <w:tcPr>
                  <w:tcW w:w="62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A33F8EB">
                  <w:pPr>
                    <w:keepNext w:val="0"/>
                    <w:keepLines w:val="0"/>
                    <w:suppressLineNumbers w:val="0"/>
                    <w:adjustRightIn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w:t>
                  </w:r>
                </w:p>
              </w:tc>
              <w:tc>
                <w:tcPr>
                  <w:tcW w:w="75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7DFCD1D">
                  <w:pPr>
                    <w:keepNext w:val="0"/>
                    <w:keepLines w:val="0"/>
                    <w:suppressLineNumbers w:val="0"/>
                    <w:adjustRightInd w:val="0"/>
                    <w:spacing w:before="0" w:beforeAutospacing="0" w:after="0" w:afterAutospacing="0"/>
                    <w:ind w:left="0" w:leftChars="0" w:right="0" w:rightChars="0"/>
                    <w:jc w:val="center"/>
                    <w:rPr>
                      <w:rFonts w:hint="eastAsia" w:ascii="Times New Roman" w:hAnsi="Times New Roman" w:eastAsia="宋体" w:cs="Times New Roman"/>
                      <w:color w:val="auto"/>
                      <w:sz w:val="21"/>
                      <w:szCs w:val="21"/>
                      <w:lang w:val="en-US" w:eastAsia="en-US" w:bidi="ar-SA"/>
                    </w:rPr>
                  </w:pPr>
                  <w:r>
                    <w:rPr>
                      <w:rFonts w:hint="eastAsia"/>
                      <w:color w:val="auto"/>
                      <w:sz w:val="21"/>
                      <w:szCs w:val="21"/>
                    </w:rPr>
                    <w:t>是</w:t>
                  </w:r>
                </w:p>
              </w:tc>
              <w:tc>
                <w:tcPr>
                  <w:tcW w:w="75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B16ADFD">
                  <w:pPr>
                    <w:keepNext w:val="0"/>
                    <w:keepLines w:val="0"/>
                    <w:suppressLineNumbers w:val="0"/>
                    <w:adjustRightInd w:val="0"/>
                    <w:spacing w:before="0" w:beforeAutospacing="0" w:after="0" w:afterAutospacing="0"/>
                    <w:ind w:left="0" w:leftChars="0" w:right="0" w:rightChars="0"/>
                    <w:jc w:val="center"/>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w:t>
                  </w:r>
                </w:p>
              </w:tc>
            </w:tr>
            <w:tr w14:paraId="18A1E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56" w:type="pct"/>
                  <w:tcBorders>
                    <w:top w:val="single" w:color="auto" w:sz="4" w:space="0"/>
                    <w:left w:val="single" w:color="auto" w:sz="4" w:space="0"/>
                    <w:bottom w:val="single" w:color="auto" w:sz="4" w:space="0"/>
                    <w:right w:val="single" w:color="auto" w:sz="4" w:space="0"/>
                  </w:tcBorders>
                  <w:noWrap w:val="0"/>
                  <w:vAlign w:val="center"/>
                </w:tcPr>
                <w:p w14:paraId="44EE17CD">
                  <w:pPr>
                    <w:keepNext w:val="0"/>
                    <w:keepLines w:val="0"/>
                    <w:suppressLineNumbers w:val="0"/>
                    <w:adjustRightInd w:val="0"/>
                    <w:spacing w:before="0" w:beforeAutospacing="0" w:after="0" w:afterAutospacing="0"/>
                    <w:ind w:left="0" w:right="0"/>
                    <w:jc w:val="center"/>
                    <w:rPr>
                      <w:rFonts w:hint="default" w:eastAsia="宋体"/>
                      <w:color w:val="auto"/>
                      <w:sz w:val="21"/>
                      <w:szCs w:val="21"/>
                      <w:lang w:val="en-US" w:eastAsia="zh-CN"/>
                    </w:rPr>
                  </w:pPr>
                  <w:r>
                    <w:rPr>
                      <w:rFonts w:hint="eastAsia"/>
                      <w:color w:val="auto"/>
                      <w:sz w:val="21"/>
                      <w:szCs w:val="21"/>
                      <w:lang w:val="en-US" w:eastAsia="zh-CN"/>
                    </w:rPr>
                    <w:t>6</w:t>
                  </w:r>
                </w:p>
              </w:tc>
              <w:tc>
                <w:tcPr>
                  <w:tcW w:w="91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3584B8E">
                  <w:pPr>
                    <w:jc w:val="center"/>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北侧居民</w:t>
                  </w:r>
                </w:p>
              </w:tc>
              <w:tc>
                <w:tcPr>
                  <w:tcW w:w="869" w:type="pct"/>
                  <w:tcBorders>
                    <w:top w:val="single" w:color="auto" w:sz="4" w:space="0"/>
                    <w:left w:val="single" w:color="auto" w:sz="4" w:space="0"/>
                    <w:bottom w:val="single" w:color="auto" w:sz="4" w:space="0"/>
                    <w:right w:val="single" w:color="auto" w:sz="4" w:space="0"/>
                  </w:tcBorders>
                  <w:noWrap w:val="0"/>
                  <w:vAlign w:val="center"/>
                </w:tcPr>
                <w:p w14:paraId="1959A669">
                  <w:pPr>
                    <w:keepNext w:val="0"/>
                    <w:keepLines w:val="0"/>
                    <w:suppressLineNumbers w:val="0"/>
                    <w:adjustRightInd w:val="0"/>
                    <w:spacing w:before="0" w:beforeAutospacing="0" w:after="0" w:afterAutospacing="0"/>
                    <w:ind w:left="0" w:leftChars="0" w:right="0" w:rightChars="0"/>
                    <w:jc w:val="center"/>
                    <w:rPr>
                      <w:rFonts w:hint="default"/>
                      <w:color w:val="auto"/>
                      <w:sz w:val="21"/>
                      <w:szCs w:val="21"/>
                      <w:highlight w:val="none"/>
                      <w:lang w:val="en-US" w:eastAsia="zh-CN"/>
                    </w:rPr>
                  </w:pPr>
                  <w:r>
                    <w:rPr>
                      <w:rFonts w:hint="eastAsia"/>
                      <w:color w:val="auto"/>
                      <w:sz w:val="21"/>
                      <w:szCs w:val="21"/>
                      <w:highlight w:val="none"/>
                      <w:lang w:val="en-US" w:eastAsia="zh-CN"/>
                    </w:rPr>
                    <w:t>44.6</w:t>
                  </w:r>
                </w:p>
              </w:tc>
              <w:tc>
                <w:tcPr>
                  <w:tcW w:w="62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1A4EE8A">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6</w:t>
                  </w:r>
                  <w:r>
                    <w:rPr>
                      <w:rFonts w:hint="eastAsia"/>
                      <w:color w:val="auto"/>
                      <w:sz w:val="21"/>
                      <w:szCs w:val="21"/>
                      <w:lang w:val="en-US" w:eastAsia="zh-CN"/>
                    </w:rPr>
                    <w:t>0</w:t>
                  </w:r>
                </w:p>
              </w:tc>
              <w:tc>
                <w:tcPr>
                  <w:tcW w:w="62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5D91540">
                  <w:pPr>
                    <w:keepNext w:val="0"/>
                    <w:keepLines w:val="0"/>
                    <w:suppressLineNumbers w:val="0"/>
                    <w:adjustRightIn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w:t>
                  </w:r>
                </w:p>
              </w:tc>
              <w:tc>
                <w:tcPr>
                  <w:tcW w:w="75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7FA7794">
                  <w:pPr>
                    <w:keepNext w:val="0"/>
                    <w:keepLines w:val="0"/>
                    <w:suppressLineNumbers w:val="0"/>
                    <w:adjustRightInd w:val="0"/>
                    <w:spacing w:before="0" w:beforeAutospacing="0" w:after="0" w:afterAutospacing="0"/>
                    <w:ind w:left="0" w:leftChars="0" w:right="0" w:rightChars="0"/>
                    <w:jc w:val="center"/>
                    <w:rPr>
                      <w:rFonts w:hint="eastAsia" w:ascii="Times New Roman" w:hAnsi="Times New Roman" w:eastAsia="宋体" w:cs="Times New Roman"/>
                      <w:color w:val="auto"/>
                      <w:sz w:val="21"/>
                      <w:szCs w:val="21"/>
                      <w:lang w:val="en-US" w:eastAsia="en-US" w:bidi="ar-SA"/>
                    </w:rPr>
                  </w:pPr>
                  <w:r>
                    <w:rPr>
                      <w:rFonts w:hint="eastAsia"/>
                      <w:color w:val="auto"/>
                      <w:sz w:val="21"/>
                      <w:szCs w:val="21"/>
                    </w:rPr>
                    <w:t>是</w:t>
                  </w:r>
                </w:p>
              </w:tc>
              <w:tc>
                <w:tcPr>
                  <w:tcW w:w="75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0B87517">
                  <w:pPr>
                    <w:keepNext w:val="0"/>
                    <w:keepLines w:val="0"/>
                    <w:suppressLineNumbers w:val="0"/>
                    <w:adjustRightInd w:val="0"/>
                    <w:spacing w:before="0" w:beforeAutospacing="0" w:after="0" w:afterAutospacing="0"/>
                    <w:ind w:left="0" w:leftChars="0" w:right="0" w:rightChars="0"/>
                    <w:jc w:val="center"/>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w:t>
                  </w:r>
                </w:p>
              </w:tc>
            </w:tr>
            <w:tr w14:paraId="7B085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56" w:type="pct"/>
                  <w:tcBorders>
                    <w:top w:val="single" w:color="auto" w:sz="4" w:space="0"/>
                    <w:left w:val="single" w:color="auto" w:sz="4" w:space="0"/>
                    <w:bottom w:val="single" w:color="auto" w:sz="4" w:space="0"/>
                    <w:right w:val="single" w:color="auto" w:sz="4" w:space="0"/>
                  </w:tcBorders>
                  <w:noWrap w:val="0"/>
                  <w:vAlign w:val="center"/>
                </w:tcPr>
                <w:p w14:paraId="1DD4C000">
                  <w:pPr>
                    <w:keepNext w:val="0"/>
                    <w:keepLines w:val="0"/>
                    <w:suppressLineNumbers w:val="0"/>
                    <w:adjustRightInd w:val="0"/>
                    <w:spacing w:before="0" w:beforeAutospacing="0" w:after="0" w:afterAutospacing="0"/>
                    <w:ind w:left="0" w:right="0"/>
                    <w:jc w:val="center"/>
                    <w:rPr>
                      <w:rFonts w:hint="eastAsia" w:eastAsia="宋体"/>
                      <w:color w:val="auto"/>
                      <w:sz w:val="21"/>
                      <w:szCs w:val="21"/>
                      <w:lang w:val="en-US" w:eastAsia="zh-CN"/>
                    </w:rPr>
                  </w:pPr>
                  <w:r>
                    <w:rPr>
                      <w:rFonts w:hint="eastAsia"/>
                      <w:color w:val="auto"/>
                      <w:sz w:val="21"/>
                      <w:szCs w:val="21"/>
                      <w:lang w:val="en-US" w:eastAsia="zh-CN"/>
                    </w:rPr>
                    <w:t>7</w:t>
                  </w:r>
                </w:p>
              </w:tc>
              <w:tc>
                <w:tcPr>
                  <w:tcW w:w="91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A1A71B1">
                  <w:pPr>
                    <w:jc w:val="center"/>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东北侧居民</w:t>
                  </w:r>
                </w:p>
              </w:tc>
              <w:tc>
                <w:tcPr>
                  <w:tcW w:w="869" w:type="pct"/>
                  <w:tcBorders>
                    <w:top w:val="single" w:color="auto" w:sz="4" w:space="0"/>
                    <w:left w:val="single" w:color="auto" w:sz="4" w:space="0"/>
                    <w:bottom w:val="single" w:color="auto" w:sz="4" w:space="0"/>
                    <w:right w:val="single" w:color="auto" w:sz="4" w:space="0"/>
                  </w:tcBorders>
                  <w:noWrap w:val="0"/>
                  <w:vAlign w:val="center"/>
                </w:tcPr>
                <w:p w14:paraId="66371BE2">
                  <w:pPr>
                    <w:keepNext w:val="0"/>
                    <w:keepLines w:val="0"/>
                    <w:suppressLineNumbers w:val="0"/>
                    <w:adjustRightInd w:val="0"/>
                    <w:spacing w:before="0" w:beforeAutospacing="0" w:after="0" w:afterAutospacing="0"/>
                    <w:ind w:left="0" w:leftChars="0" w:right="0" w:rightChars="0"/>
                    <w:jc w:val="center"/>
                    <w:rPr>
                      <w:rFonts w:hint="default"/>
                      <w:color w:val="auto"/>
                      <w:sz w:val="21"/>
                      <w:szCs w:val="21"/>
                      <w:highlight w:val="none"/>
                      <w:lang w:val="en-US" w:eastAsia="zh-CN"/>
                    </w:rPr>
                  </w:pPr>
                  <w:r>
                    <w:rPr>
                      <w:rFonts w:hint="eastAsia"/>
                      <w:color w:val="auto"/>
                      <w:sz w:val="21"/>
                      <w:szCs w:val="21"/>
                      <w:highlight w:val="none"/>
                      <w:lang w:val="en-US" w:eastAsia="zh-CN"/>
                    </w:rPr>
                    <w:t>43.7</w:t>
                  </w:r>
                </w:p>
              </w:tc>
              <w:tc>
                <w:tcPr>
                  <w:tcW w:w="62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87BF35C">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6</w:t>
                  </w:r>
                  <w:r>
                    <w:rPr>
                      <w:rFonts w:hint="eastAsia"/>
                      <w:color w:val="auto"/>
                      <w:sz w:val="21"/>
                      <w:szCs w:val="21"/>
                      <w:lang w:val="en-US" w:eastAsia="zh-CN"/>
                    </w:rPr>
                    <w:t>0</w:t>
                  </w:r>
                </w:p>
              </w:tc>
              <w:tc>
                <w:tcPr>
                  <w:tcW w:w="62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C5DC80D">
                  <w:pPr>
                    <w:keepNext w:val="0"/>
                    <w:keepLines w:val="0"/>
                    <w:suppressLineNumbers w:val="0"/>
                    <w:adjustRightIn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w:t>
                  </w:r>
                </w:p>
              </w:tc>
              <w:tc>
                <w:tcPr>
                  <w:tcW w:w="75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7898F66">
                  <w:pPr>
                    <w:keepNext w:val="0"/>
                    <w:keepLines w:val="0"/>
                    <w:suppressLineNumbers w:val="0"/>
                    <w:adjustRightInd w:val="0"/>
                    <w:spacing w:before="0" w:beforeAutospacing="0" w:after="0" w:afterAutospacing="0"/>
                    <w:ind w:left="0" w:leftChars="0" w:right="0" w:rightChars="0"/>
                    <w:jc w:val="center"/>
                    <w:rPr>
                      <w:rFonts w:hint="eastAsia" w:ascii="Times New Roman" w:hAnsi="Times New Roman" w:eastAsia="宋体" w:cs="Times New Roman"/>
                      <w:color w:val="auto"/>
                      <w:sz w:val="21"/>
                      <w:szCs w:val="21"/>
                      <w:lang w:val="en-US" w:eastAsia="en-US" w:bidi="ar-SA"/>
                    </w:rPr>
                  </w:pPr>
                  <w:r>
                    <w:rPr>
                      <w:rFonts w:hint="eastAsia"/>
                      <w:color w:val="auto"/>
                      <w:sz w:val="21"/>
                      <w:szCs w:val="21"/>
                    </w:rPr>
                    <w:t>是</w:t>
                  </w:r>
                </w:p>
              </w:tc>
              <w:tc>
                <w:tcPr>
                  <w:tcW w:w="75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3B29364">
                  <w:pPr>
                    <w:keepNext w:val="0"/>
                    <w:keepLines w:val="0"/>
                    <w:suppressLineNumbers w:val="0"/>
                    <w:adjustRightInd w:val="0"/>
                    <w:spacing w:before="0" w:beforeAutospacing="0" w:after="0" w:afterAutospacing="0"/>
                    <w:ind w:left="0" w:leftChars="0" w:right="0" w:rightChars="0"/>
                    <w:jc w:val="center"/>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w:t>
                  </w:r>
                </w:p>
              </w:tc>
            </w:tr>
          </w:tbl>
          <w:p w14:paraId="71BD72C5">
            <w:pPr>
              <w:autoSpaceDE w:val="0"/>
              <w:spacing w:line="360" w:lineRule="auto"/>
              <w:ind w:firstLine="480" w:firstLineChars="200"/>
              <w:jc w:val="both"/>
              <w:rPr>
                <w:sz w:val="24"/>
                <w:szCs w:val="32"/>
              </w:rPr>
            </w:pPr>
            <w:r>
              <w:rPr>
                <w:sz w:val="24"/>
                <w:szCs w:val="40"/>
                <w:lang w:val="en-GB"/>
              </w:rPr>
              <w:t>从预测结果可看出，厂界噪声值贡献值能够满足《工业企业厂界环境噪声排放标准》（GB12348-2008）</w:t>
            </w:r>
            <w:r>
              <w:rPr>
                <w:rFonts w:hint="eastAsia"/>
                <w:sz w:val="24"/>
                <w:szCs w:val="40"/>
                <w:lang w:val="en-US" w:eastAsia="zh-CN"/>
              </w:rPr>
              <w:t>2</w:t>
            </w:r>
            <w:r>
              <w:rPr>
                <w:sz w:val="24"/>
                <w:szCs w:val="40"/>
                <w:lang w:val="en-GB"/>
              </w:rPr>
              <w:t>类</w:t>
            </w:r>
            <w:r>
              <w:rPr>
                <w:color w:val="auto"/>
                <w:sz w:val="24"/>
                <w:szCs w:val="40"/>
                <w:lang w:val="en-GB"/>
              </w:rPr>
              <w:t>标准</w:t>
            </w:r>
            <w:r>
              <w:rPr>
                <w:rFonts w:hint="eastAsia"/>
                <w:color w:val="auto"/>
                <w:sz w:val="24"/>
                <w:szCs w:val="40"/>
                <w:lang w:val="en-GB" w:eastAsia="zh-CN"/>
              </w:rPr>
              <w:t>；声环境保护目标处噪声满足</w:t>
            </w:r>
            <w:r>
              <w:rPr>
                <w:rFonts w:hint="eastAsia" w:ascii="Times New Roman" w:hAnsi="Times New Roman" w:eastAsia="宋体" w:cs="Times New Roman"/>
                <w:snapToGrid w:val="0"/>
                <w:color w:val="auto"/>
                <w:kern w:val="0"/>
                <w:sz w:val="24"/>
                <w:szCs w:val="21"/>
                <w:lang w:eastAsia="zh-CN"/>
              </w:rPr>
              <w:t>《声环境质量标准》（GB3096-2008）中2类</w:t>
            </w:r>
            <w:r>
              <w:rPr>
                <w:rFonts w:hint="eastAsia"/>
                <w:color w:val="auto"/>
                <w:sz w:val="24"/>
                <w:szCs w:val="40"/>
                <w:lang w:val="en-GB" w:eastAsia="zh-CN"/>
              </w:rPr>
              <w:t>声环境功能区的标准要求。</w:t>
            </w:r>
          </w:p>
          <w:p w14:paraId="76970D75">
            <w:pPr>
              <w:spacing w:line="360" w:lineRule="auto"/>
              <w:ind w:firstLine="480" w:firstLineChars="200"/>
              <w:jc w:val="both"/>
              <w:rPr>
                <w:bCs/>
                <w:sz w:val="24"/>
                <w:szCs w:val="32"/>
              </w:rPr>
            </w:pPr>
            <w:r>
              <w:rPr>
                <w:rFonts w:hint="eastAsia"/>
                <w:bCs/>
                <w:sz w:val="24"/>
                <w:szCs w:val="32"/>
              </w:rPr>
              <w:t>（6）</w:t>
            </w:r>
            <w:r>
              <w:rPr>
                <w:bCs/>
                <w:sz w:val="24"/>
                <w:szCs w:val="32"/>
              </w:rPr>
              <w:t>运营期声</w:t>
            </w:r>
            <w:r>
              <w:rPr>
                <w:bCs/>
                <w:kern w:val="0"/>
                <w:sz w:val="24"/>
                <w:szCs w:val="32"/>
              </w:rPr>
              <w:t>环境监测计划</w:t>
            </w:r>
          </w:p>
          <w:p w14:paraId="5A0E2A2A">
            <w:pPr>
              <w:autoSpaceDE w:val="0"/>
              <w:spacing w:line="360" w:lineRule="auto"/>
              <w:ind w:firstLine="480" w:firstLineChars="200"/>
              <w:jc w:val="both"/>
              <w:rPr>
                <w:sz w:val="24"/>
                <w:szCs w:val="32"/>
                <w:lang w:bidi="ar"/>
              </w:rPr>
            </w:pPr>
            <w:r>
              <w:rPr>
                <w:sz w:val="24"/>
                <w:szCs w:val="32"/>
              </w:rPr>
              <w:t>根据《排污单位自行监测技术指南 总则》（HJ819-2017），项目运营期噪声监测计划如下所示。</w:t>
            </w:r>
          </w:p>
          <w:p w14:paraId="124FB220">
            <w:pPr>
              <w:pStyle w:val="70"/>
              <w:keepNext w:val="0"/>
              <w:keepLines w:val="0"/>
              <w:pageBreakBefore w:val="0"/>
              <w:widowControl w:val="0"/>
              <w:kinsoku/>
              <w:wordWrap/>
              <w:overflowPunct/>
              <w:topLinePunct w:val="0"/>
              <w:autoSpaceDE/>
              <w:autoSpaceDN/>
              <w:bidi w:val="0"/>
              <w:adjustRightInd/>
              <w:snapToGrid/>
              <w:spacing w:line="360" w:lineRule="auto"/>
              <w:textAlignment w:val="auto"/>
              <w:rPr>
                <w:sz w:val="21"/>
                <w:szCs w:val="21"/>
                <w:lang w:val="en-GB"/>
              </w:rPr>
            </w:pPr>
            <w:r>
              <w:rPr>
                <w:sz w:val="24"/>
                <w:szCs w:val="24"/>
                <w:lang w:val="en-GB"/>
              </w:rPr>
              <w:t>表</w:t>
            </w:r>
            <w:r>
              <w:rPr>
                <w:rFonts w:hint="eastAsia"/>
                <w:sz w:val="24"/>
                <w:szCs w:val="24"/>
              </w:rPr>
              <w:t>4-</w:t>
            </w:r>
            <w:r>
              <w:rPr>
                <w:rFonts w:hint="eastAsia"/>
                <w:sz w:val="24"/>
                <w:szCs w:val="24"/>
                <w:lang w:val="en-US" w:eastAsia="zh-CN"/>
              </w:rPr>
              <w:t>17</w:t>
            </w:r>
            <w:r>
              <w:rPr>
                <w:rFonts w:hint="eastAsia"/>
                <w:sz w:val="24"/>
                <w:szCs w:val="24"/>
              </w:rPr>
              <w:t xml:space="preserve"> </w:t>
            </w:r>
            <w:r>
              <w:rPr>
                <w:sz w:val="24"/>
                <w:szCs w:val="24"/>
                <w:lang w:val="en-GB"/>
              </w:rPr>
              <w:t xml:space="preserve"> 项目运营期噪声监测计划表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420"/>
              <w:gridCol w:w="1581"/>
              <w:gridCol w:w="1551"/>
              <w:gridCol w:w="3885"/>
            </w:tblGrid>
            <w:tr w14:paraId="5E4C5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41" w:type="pct"/>
                  <w:tcBorders>
                    <w:top w:val="single" w:color="auto" w:sz="4" w:space="0"/>
                    <w:left w:val="single" w:color="auto" w:sz="4" w:space="0"/>
                    <w:bottom w:val="single" w:color="auto" w:sz="4" w:space="0"/>
                    <w:right w:val="single" w:color="auto" w:sz="4" w:space="0"/>
                  </w:tcBorders>
                  <w:noWrap w:val="0"/>
                  <w:vAlign w:val="center"/>
                </w:tcPr>
                <w:p w14:paraId="6D50A8EE">
                  <w:pPr>
                    <w:pStyle w:val="39"/>
                    <w:adjustRightInd/>
                    <w:snapToGrid/>
                    <w:spacing w:before="24" w:after="24" w:line="240" w:lineRule="auto"/>
                    <w:jc w:val="center"/>
                    <w:rPr>
                      <w:rFonts w:ascii="Times New Roman" w:hAnsi="Times New Roman"/>
                      <w:b/>
                      <w:sz w:val="21"/>
                      <w:szCs w:val="21"/>
                    </w:rPr>
                  </w:pPr>
                  <w:r>
                    <w:rPr>
                      <w:rFonts w:ascii="Times New Roman" w:hAnsi="Times New Roman"/>
                      <w:b/>
                      <w:sz w:val="21"/>
                      <w:szCs w:val="21"/>
                    </w:rPr>
                    <w:t>监测点位</w:t>
                  </w:r>
                </w:p>
              </w:tc>
              <w:tc>
                <w:tcPr>
                  <w:tcW w:w="936" w:type="pct"/>
                  <w:tcBorders>
                    <w:top w:val="single" w:color="auto" w:sz="4" w:space="0"/>
                    <w:left w:val="nil"/>
                    <w:bottom w:val="single" w:color="auto" w:sz="4" w:space="0"/>
                    <w:right w:val="single" w:color="auto" w:sz="4" w:space="0"/>
                  </w:tcBorders>
                  <w:noWrap w:val="0"/>
                  <w:vAlign w:val="center"/>
                </w:tcPr>
                <w:p w14:paraId="45233197">
                  <w:pPr>
                    <w:pStyle w:val="39"/>
                    <w:adjustRightInd/>
                    <w:snapToGrid/>
                    <w:spacing w:before="24" w:after="24" w:line="240" w:lineRule="auto"/>
                    <w:jc w:val="center"/>
                    <w:rPr>
                      <w:rFonts w:ascii="Times New Roman" w:hAnsi="Times New Roman"/>
                      <w:b/>
                      <w:sz w:val="21"/>
                      <w:szCs w:val="21"/>
                    </w:rPr>
                  </w:pPr>
                  <w:r>
                    <w:rPr>
                      <w:rFonts w:ascii="Times New Roman" w:hAnsi="Times New Roman"/>
                      <w:b/>
                      <w:sz w:val="21"/>
                      <w:szCs w:val="21"/>
                    </w:rPr>
                    <w:t>监测指标</w:t>
                  </w:r>
                </w:p>
              </w:tc>
              <w:tc>
                <w:tcPr>
                  <w:tcW w:w="919" w:type="pct"/>
                  <w:tcBorders>
                    <w:top w:val="single" w:color="auto" w:sz="4" w:space="0"/>
                    <w:left w:val="nil"/>
                    <w:bottom w:val="single" w:color="auto" w:sz="4" w:space="0"/>
                    <w:right w:val="single" w:color="auto" w:sz="4" w:space="0"/>
                  </w:tcBorders>
                  <w:noWrap w:val="0"/>
                  <w:vAlign w:val="center"/>
                </w:tcPr>
                <w:p w14:paraId="0DC55814">
                  <w:pPr>
                    <w:pStyle w:val="39"/>
                    <w:adjustRightInd/>
                    <w:snapToGrid/>
                    <w:spacing w:before="24" w:after="24" w:line="240" w:lineRule="auto"/>
                    <w:jc w:val="center"/>
                    <w:rPr>
                      <w:rFonts w:ascii="Times New Roman" w:hAnsi="Times New Roman"/>
                      <w:b/>
                      <w:sz w:val="21"/>
                      <w:szCs w:val="21"/>
                    </w:rPr>
                  </w:pPr>
                  <w:r>
                    <w:rPr>
                      <w:rFonts w:ascii="Times New Roman" w:hAnsi="Times New Roman"/>
                      <w:b/>
                      <w:sz w:val="21"/>
                      <w:szCs w:val="21"/>
                    </w:rPr>
                    <w:t>监测频次</w:t>
                  </w:r>
                </w:p>
              </w:tc>
              <w:tc>
                <w:tcPr>
                  <w:tcW w:w="2302" w:type="pct"/>
                  <w:tcBorders>
                    <w:top w:val="single" w:color="auto" w:sz="4" w:space="0"/>
                    <w:left w:val="nil"/>
                    <w:bottom w:val="single" w:color="auto" w:sz="4" w:space="0"/>
                    <w:right w:val="single" w:color="auto" w:sz="4" w:space="0"/>
                  </w:tcBorders>
                  <w:noWrap w:val="0"/>
                  <w:vAlign w:val="center"/>
                </w:tcPr>
                <w:p w14:paraId="247D7CC8">
                  <w:pPr>
                    <w:pStyle w:val="39"/>
                    <w:adjustRightInd/>
                    <w:snapToGrid/>
                    <w:spacing w:before="24" w:after="24" w:line="240" w:lineRule="auto"/>
                    <w:jc w:val="center"/>
                    <w:rPr>
                      <w:rFonts w:ascii="Times New Roman" w:hAnsi="Times New Roman"/>
                      <w:b/>
                      <w:sz w:val="21"/>
                      <w:szCs w:val="21"/>
                    </w:rPr>
                  </w:pPr>
                  <w:r>
                    <w:rPr>
                      <w:rFonts w:ascii="Times New Roman" w:hAnsi="Times New Roman"/>
                      <w:b/>
                      <w:sz w:val="21"/>
                      <w:szCs w:val="21"/>
                    </w:rPr>
                    <w:t>执行排放标准</w:t>
                  </w:r>
                </w:p>
              </w:tc>
            </w:tr>
            <w:tr w14:paraId="2EE4C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58" w:hRule="atLeast"/>
                <w:jc w:val="center"/>
              </w:trPr>
              <w:tc>
                <w:tcPr>
                  <w:tcW w:w="841" w:type="pct"/>
                  <w:tcBorders>
                    <w:top w:val="single" w:color="auto" w:sz="4" w:space="0"/>
                    <w:left w:val="single" w:color="auto" w:sz="4" w:space="0"/>
                    <w:bottom w:val="single" w:color="auto" w:sz="4" w:space="0"/>
                    <w:right w:val="single" w:color="auto" w:sz="4" w:space="0"/>
                  </w:tcBorders>
                  <w:noWrap w:val="0"/>
                  <w:vAlign w:val="center"/>
                </w:tcPr>
                <w:p w14:paraId="028C5266">
                  <w:pPr>
                    <w:pStyle w:val="39"/>
                    <w:adjustRightInd/>
                    <w:snapToGrid/>
                    <w:spacing w:before="24" w:after="24" w:line="240" w:lineRule="auto"/>
                    <w:jc w:val="center"/>
                    <w:rPr>
                      <w:rFonts w:ascii="Times New Roman" w:hAnsi="Times New Roman"/>
                      <w:sz w:val="21"/>
                      <w:szCs w:val="21"/>
                    </w:rPr>
                  </w:pPr>
                  <w:r>
                    <w:rPr>
                      <w:rFonts w:ascii="Times New Roman" w:hAnsi="Times New Roman"/>
                      <w:sz w:val="21"/>
                      <w:szCs w:val="21"/>
                    </w:rPr>
                    <w:t>项目区厂界</w:t>
                  </w:r>
                </w:p>
              </w:tc>
              <w:tc>
                <w:tcPr>
                  <w:tcW w:w="936" w:type="pct"/>
                  <w:tcBorders>
                    <w:top w:val="single" w:color="auto" w:sz="4" w:space="0"/>
                    <w:left w:val="nil"/>
                    <w:bottom w:val="single" w:color="auto" w:sz="4" w:space="0"/>
                    <w:right w:val="single" w:color="auto" w:sz="4" w:space="0"/>
                  </w:tcBorders>
                  <w:noWrap w:val="0"/>
                  <w:vAlign w:val="center"/>
                </w:tcPr>
                <w:p w14:paraId="4E13E714">
                  <w:pPr>
                    <w:pStyle w:val="39"/>
                    <w:adjustRightInd/>
                    <w:snapToGrid/>
                    <w:spacing w:before="24" w:after="24" w:line="240" w:lineRule="auto"/>
                    <w:jc w:val="center"/>
                    <w:rPr>
                      <w:rFonts w:ascii="Times New Roman" w:hAnsi="Times New Roman"/>
                      <w:sz w:val="21"/>
                      <w:szCs w:val="21"/>
                    </w:rPr>
                  </w:pPr>
                  <w:r>
                    <w:rPr>
                      <w:rFonts w:ascii="Times New Roman" w:hAnsi="Times New Roman"/>
                      <w:color w:val="auto"/>
                      <w:sz w:val="21"/>
                      <w:szCs w:val="21"/>
                    </w:rPr>
                    <w:t>昼 Leq(A)</w:t>
                  </w:r>
                </w:p>
              </w:tc>
              <w:tc>
                <w:tcPr>
                  <w:tcW w:w="919" w:type="pct"/>
                  <w:tcBorders>
                    <w:top w:val="single" w:color="auto" w:sz="4" w:space="0"/>
                    <w:left w:val="nil"/>
                    <w:bottom w:val="single" w:color="auto" w:sz="4" w:space="0"/>
                    <w:right w:val="single" w:color="auto" w:sz="4" w:space="0"/>
                  </w:tcBorders>
                  <w:noWrap w:val="0"/>
                  <w:vAlign w:val="center"/>
                </w:tcPr>
                <w:p w14:paraId="21360C53">
                  <w:pPr>
                    <w:pStyle w:val="39"/>
                    <w:adjustRightInd/>
                    <w:snapToGrid/>
                    <w:spacing w:before="24" w:after="24" w:line="240" w:lineRule="auto"/>
                    <w:jc w:val="center"/>
                    <w:rPr>
                      <w:rFonts w:ascii="Times New Roman" w:hAnsi="Times New Roman"/>
                      <w:sz w:val="21"/>
                      <w:szCs w:val="21"/>
                    </w:rPr>
                  </w:pPr>
                  <w:r>
                    <w:rPr>
                      <w:rFonts w:hint="eastAsia" w:ascii="Times New Roman" w:hAnsi="Times New Roman"/>
                      <w:sz w:val="21"/>
                      <w:szCs w:val="21"/>
                    </w:rPr>
                    <w:t>1次/季度</w:t>
                  </w:r>
                </w:p>
              </w:tc>
              <w:tc>
                <w:tcPr>
                  <w:tcW w:w="2302" w:type="pct"/>
                  <w:tcBorders>
                    <w:top w:val="single" w:color="auto" w:sz="4" w:space="0"/>
                    <w:left w:val="nil"/>
                    <w:bottom w:val="single" w:color="auto" w:sz="4" w:space="0"/>
                    <w:right w:val="single" w:color="auto" w:sz="4" w:space="0"/>
                  </w:tcBorders>
                  <w:noWrap w:val="0"/>
                  <w:vAlign w:val="center"/>
                </w:tcPr>
                <w:p w14:paraId="6F068DAC">
                  <w:pPr>
                    <w:pStyle w:val="39"/>
                    <w:adjustRightInd/>
                    <w:snapToGrid/>
                    <w:spacing w:before="24" w:after="24" w:line="240" w:lineRule="auto"/>
                    <w:jc w:val="center"/>
                    <w:rPr>
                      <w:rFonts w:ascii="Times New Roman" w:hAnsi="Times New Roman"/>
                      <w:sz w:val="21"/>
                      <w:szCs w:val="21"/>
                    </w:rPr>
                  </w:pPr>
                  <w:r>
                    <w:rPr>
                      <w:rFonts w:ascii="Times New Roman" w:hAnsi="Times New Roman"/>
                      <w:sz w:val="21"/>
                      <w:szCs w:val="21"/>
                    </w:rPr>
                    <w:t>《工业企业厂界环境噪声排放标准》（GB12348-2008）中</w:t>
                  </w:r>
                  <w:r>
                    <w:rPr>
                      <w:rFonts w:hint="eastAsia"/>
                      <w:sz w:val="21"/>
                      <w:szCs w:val="21"/>
                      <w:lang w:val="en-US" w:eastAsia="zh-CN"/>
                    </w:rPr>
                    <w:t>2</w:t>
                  </w:r>
                  <w:r>
                    <w:rPr>
                      <w:rFonts w:ascii="Times New Roman" w:hAnsi="Times New Roman"/>
                      <w:sz w:val="21"/>
                      <w:szCs w:val="21"/>
                    </w:rPr>
                    <w:t>类标准</w:t>
                  </w:r>
                </w:p>
              </w:tc>
            </w:tr>
            <w:tr w14:paraId="230B6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58" w:hRule="atLeast"/>
                <w:jc w:val="center"/>
              </w:trPr>
              <w:tc>
                <w:tcPr>
                  <w:tcW w:w="841" w:type="pct"/>
                  <w:tcBorders>
                    <w:top w:val="single" w:color="auto" w:sz="4" w:space="0"/>
                    <w:left w:val="single" w:color="auto" w:sz="4" w:space="0"/>
                    <w:right w:val="single" w:color="auto" w:sz="4" w:space="0"/>
                  </w:tcBorders>
                  <w:noWrap w:val="0"/>
                  <w:vAlign w:val="center"/>
                </w:tcPr>
                <w:p w14:paraId="118ABCBB">
                  <w:pPr>
                    <w:pStyle w:val="39"/>
                    <w:adjustRightInd/>
                    <w:snapToGrid/>
                    <w:spacing w:before="24" w:after="24" w:line="240" w:lineRule="auto"/>
                    <w:jc w:val="center"/>
                    <w:rPr>
                      <w:rFonts w:hint="eastAsia"/>
                      <w:color w:val="auto"/>
                      <w:sz w:val="21"/>
                      <w:szCs w:val="21"/>
                      <w:lang w:val="en-US" w:eastAsia="zh-CN"/>
                    </w:rPr>
                  </w:pPr>
                  <w:r>
                    <w:rPr>
                      <w:rFonts w:hint="eastAsia"/>
                      <w:color w:val="auto"/>
                      <w:sz w:val="21"/>
                      <w:szCs w:val="21"/>
                      <w:lang w:val="en-US" w:eastAsia="zh-CN"/>
                    </w:rPr>
                    <w:t>南侧居民、</w:t>
                  </w:r>
                </w:p>
                <w:p w14:paraId="4F3205D6">
                  <w:pPr>
                    <w:pStyle w:val="39"/>
                    <w:adjustRightInd/>
                    <w:snapToGrid/>
                    <w:spacing w:before="24" w:after="24" w:line="240" w:lineRule="auto"/>
                    <w:jc w:val="center"/>
                    <w:rPr>
                      <w:rFonts w:hint="eastAsia"/>
                      <w:color w:val="auto"/>
                      <w:sz w:val="21"/>
                      <w:szCs w:val="21"/>
                      <w:lang w:val="en-US" w:eastAsia="zh-CN"/>
                    </w:rPr>
                  </w:pPr>
                  <w:r>
                    <w:rPr>
                      <w:rFonts w:hint="eastAsia"/>
                      <w:color w:val="auto"/>
                      <w:sz w:val="21"/>
                      <w:szCs w:val="21"/>
                      <w:lang w:val="en-US" w:eastAsia="zh-CN"/>
                    </w:rPr>
                    <w:t>北侧居民、</w:t>
                  </w:r>
                </w:p>
                <w:p w14:paraId="33069139">
                  <w:pPr>
                    <w:pStyle w:val="39"/>
                    <w:adjustRightInd/>
                    <w:snapToGrid/>
                    <w:spacing w:before="24" w:after="24" w:line="240" w:lineRule="auto"/>
                    <w:jc w:val="center"/>
                    <w:rPr>
                      <w:rFonts w:hint="default" w:ascii="Times New Roman" w:hAnsi="Times New Roman"/>
                      <w:sz w:val="21"/>
                      <w:szCs w:val="21"/>
                      <w:lang w:val="en-US"/>
                    </w:rPr>
                  </w:pPr>
                  <w:r>
                    <w:rPr>
                      <w:rFonts w:hint="eastAsia"/>
                      <w:color w:val="auto"/>
                      <w:sz w:val="21"/>
                      <w:szCs w:val="21"/>
                      <w:lang w:val="en-US" w:eastAsia="zh-CN"/>
                    </w:rPr>
                    <w:t>东北侧居民处</w:t>
                  </w:r>
                </w:p>
              </w:tc>
              <w:tc>
                <w:tcPr>
                  <w:tcW w:w="936" w:type="pct"/>
                  <w:tcBorders>
                    <w:top w:val="single" w:color="auto" w:sz="4" w:space="0"/>
                    <w:left w:val="nil"/>
                    <w:bottom w:val="single" w:color="auto" w:sz="4" w:space="0"/>
                    <w:right w:val="single" w:color="auto" w:sz="4" w:space="0"/>
                  </w:tcBorders>
                  <w:shd w:val="clear" w:color="auto" w:fill="auto"/>
                  <w:noWrap w:val="0"/>
                  <w:vAlign w:val="center"/>
                </w:tcPr>
                <w:p w14:paraId="0A81D20F">
                  <w:pPr>
                    <w:pStyle w:val="39"/>
                    <w:adjustRightInd/>
                    <w:snapToGrid/>
                    <w:spacing w:before="24" w:after="24" w:line="240" w:lineRule="auto"/>
                    <w:ind w:left="420" w:leftChars="0"/>
                    <w:jc w:val="center"/>
                    <w:rPr>
                      <w:rFonts w:hint="eastAsia" w:ascii="Times New Roman" w:hAnsi="Times New Roman" w:eastAsia="宋体" w:cs="Times New Roman"/>
                      <w:sz w:val="21"/>
                      <w:szCs w:val="21"/>
                      <w:lang w:val="en-US" w:eastAsia="en-US" w:bidi="ar-SA"/>
                    </w:rPr>
                  </w:pPr>
                  <w:r>
                    <w:rPr>
                      <w:rFonts w:ascii="Times New Roman" w:hAnsi="Times New Roman"/>
                      <w:color w:val="auto"/>
                      <w:sz w:val="21"/>
                      <w:szCs w:val="21"/>
                    </w:rPr>
                    <w:t>昼 Leq(A)</w:t>
                  </w:r>
                </w:p>
              </w:tc>
              <w:tc>
                <w:tcPr>
                  <w:tcW w:w="919" w:type="pct"/>
                  <w:tcBorders>
                    <w:top w:val="single" w:color="auto" w:sz="4" w:space="0"/>
                    <w:left w:val="nil"/>
                    <w:bottom w:val="single" w:color="auto" w:sz="4" w:space="0"/>
                    <w:right w:val="single" w:color="auto" w:sz="4" w:space="0"/>
                  </w:tcBorders>
                  <w:shd w:val="clear" w:color="auto" w:fill="auto"/>
                  <w:noWrap w:val="0"/>
                  <w:vAlign w:val="center"/>
                </w:tcPr>
                <w:p w14:paraId="55DEA9A9">
                  <w:pPr>
                    <w:pStyle w:val="39"/>
                    <w:adjustRightInd/>
                    <w:snapToGrid/>
                    <w:spacing w:before="24" w:after="24" w:line="240" w:lineRule="auto"/>
                    <w:ind w:left="420" w:leftChars="0"/>
                    <w:jc w:val="center"/>
                    <w:rPr>
                      <w:rFonts w:hint="eastAsia" w:ascii="Times New Roman" w:hAnsi="Times New Roman" w:eastAsia="宋体" w:cs="Times New Roman"/>
                      <w:sz w:val="21"/>
                      <w:szCs w:val="21"/>
                      <w:lang w:val="en-US" w:eastAsia="en-US" w:bidi="ar-SA"/>
                    </w:rPr>
                  </w:pPr>
                  <w:r>
                    <w:rPr>
                      <w:rFonts w:hint="eastAsia" w:ascii="Times New Roman" w:hAnsi="Times New Roman"/>
                      <w:sz w:val="21"/>
                      <w:szCs w:val="21"/>
                    </w:rPr>
                    <w:t>1次/季度</w:t>
                  </w:r>
                </w:p>
              </w:tc>
              <w:tc>
                <w:tcPr>
                  <w:tcW w:w="2302" w:type="pct"/>
                  <w:tcBorders>
                    <w:top w:val="single" w:color="auto" w:sz="4" w:space="0"/>
                    <w:left w:val="nil"/>
                    <w:bottom w:val="single" w:color="auto" w:sz="4" w:space="0"/>
                    <w:right w:val="single" w:color="auto" w:sz="4" w:space="0"/>
                  </w:tcBorders>
                  <w:shd w:val="clear" w:color="auto" w:fill="auto"/>
                  <w:noWrap w:val="0"/>
                  <w:vAlign w:val="center"/>
                </w:tcPr>
                <w:p w14:paraId="39E6D3B9">
                  <w:pPr>
                    <w:pStyle w:val="39"/>
                    <w:adjustRightInd/>
                    <w:snapToGrid/>
                    <w:spacing w:before="24" w:after="24" w:line="240" w:lineRule="auto"/>
                    <w:ind w:left="420" w:leftChars="0"/>
                    <w:jc w:val="center"/>
                    <w:rPr>
                      <w:rFonts w:hint="eastAsia" w:ascii="Times New Roman" w:hAnsi="Times New Roman" w:eastAsia="宋体" w:cs="Times New Roman"/>
                      <w:sz w:val="21"/>
                      <w:szCs w:val="21"/>
                      <w:lang w:val="en-US" w:eastAsia="en-US" w:bidi="ar-SA"/>
                    </w:rPr>
                  </w:pPr>
                  <w:r>
                    <w:rPr>
                      <w:rFonts w:hint="eastAsia" w:ascii="Times New Roman" w:hAnsi="Times New Roman"/>
                      <w:sz w:val="21"/>
                      <w:szCs w:val="21"/>
                      <w:lang w:eastAsia="zh-CN"/>
                    </w:rPr>
                    <w:t>《声环</w:t>
                  </w:r>
                  <w:r>
                    <w:rPr>
                      <w:rFonts w:hint="eastAsia"/>
                      <w:sz w:val="21"/>
                      <w:szCs w:val="21"/>
                      <w:lang w:val="en-US" w:eastAsia="zh-CN"/>
                    </w:rPr>
                    <w:t xml:space="preserve"> </w:t>
                  </w:r>
                  <w:r>
                    <w:rPr>
                      <w:rFonts w:hint="eastAsia" w:ascii="Times New Roman" w:hAnsi="Times New Roman"/>
                      <w:sz w:val="21"/>
                      <w:szCs w:val="21"/>
                      <w:lang w:eastAsia="zh-CN"/>
                    </w:rPr>
                    <w:t>境质量标准》（GB3096-2008）中2类</w:t>
                  </w:r>
                  <w:r>
                    <w:rPr>
                      <w:rFonts w:ascii="Times New Roman" w:hAnsi="Times New Roman"/>
                      <w:sz w:val="21"/>
                      <w:szCs w:val="21"/>
                    </w:rPr>
                    <w:t>标准</w:t>
                  </w:r>
                </w:p>
              </w:tc>
            </w:tr>
          </w:tbl>
          <w:p w14:paraId="5089D3EF">
            <w:pPr>
              <w:spacing w:line="360" w:lineRule="auto"/>
              <w:ind w:firstLine="482" w:firstLineChars="200"/>
              <w:jc w:val="both"/>
              <w:rPr>
                <w:rFonts w:hint="default" w:ascii="Times New Roman" w:hAnsi="Times New Roman" w:cs="Times New Roman"/>
                <w:b w:val="0"/>
                <w:bCs w:val="0"/>
                <w:color w:val="auto"/>
                <w:sz w:val="24"/>
                <w:szCs w:val="24"/>
                <w:vertAlign w:val="baseline"/>
                <w:lang w:val="en-US" w:eastAsia="zh-CN"/>
              </w:rPr>
            </w:pPr>
            <w:r>
              <w:rPr>
                <w:rFonts w:hint="default" w:ascii="Times New Roman" w:hAnsi="Times New Roman" w:cs="Times New Roman"/>
                <w:b/>
                <w:bCs/>
                <w:color w:val="auto"/>
                <w:sz w:val="24"/>
                <w:szCs w:val="24"/>
                <w:vertAlign w:val="baseline"/>
                <w:lang w:val="en-US" w:eastAsia="zh-CN"/>
              </w:rPr>
              <w:t>4、固体废物</w:t>
            </w:r>
            <w:r>
              <w:rPr>
                <w:rFonts w:hint="default" w:ascii="Times New Roman" w:hAnsi="Times New Roman" w:cs="Times New Roman"/>
                <w:b/>
                <w:bCs/>
                <w:color w:val="auto"/>
                <w:sz w:val="24"/>
                <w:szCs w:val="24"/>
              </w:rPr>
              <w:t>环境影响和保护措施</w:t>
            </w:r>
          </w:p>
          <w:p w14:paraId="1C9200ED">
            <w:pPr>
              <w:spacing w:line="360" w:lineRule="auto"/>
              <w:ind w:firstLine="480" w:firstLineChars="200"/>
              <w:jc w:val="both"/>
              <w:rPr>
                <w:color w:val="auto"/>
                <w:sz w:val="24"/>
              </w:rPr>
            </w:pPr>
            <w:r>
              <w:rPr>
                <w:color w:val="auto"/>
                <w:sz w:val="24"/>
              </w:rPr>
              <w:t>项目营运期固体废弃物主要分为一般工业固废、危险废物及生活垃圾。一般工业固废主要包括</w:t>
            </w:r>
            <w:r>
              <w:rPr>
                <w:rFonts w:hint="eastAsia"/>
                <w:color w:val="auto"/>
                <w:sz w:val="24"/>
              </w:rPr>
              <w:t>废</w:t>
            </w:r>
            <w:r>
              <w:rPr>
                <w:rFonts w:hint="eastAsia"/>
                <w:color w:val="auto"/>
                <w:sz w:val="24"/>
                <w:lang w:eastAsia="zh-CN"/>
              </w:rPr>
              <w:t>包装材</w:t>
            </w:r>
            <w:r>
              <w:rPr>
                <w:rFonts w:hint="eastAsia"/>
                <w:color w:val="auto"/>
                <w:sz w:val="24"/>
              </w:rPr>
              <w:t>料</w:t>
            </w:r>
            <w:r>
              <w:rPr>
                <w:rFonts w:hint="eastAsia"/>
                <w:color w:val="auto"/>
                <w:sz w:val="24"/>
                <w:lang w:eastAsia="zh-CN"/>
              </w:rPr>
              <w:t>、</w:t>
            </w:r>
            <w:r>
              <w:rPr>
                <w:rFonts w:hint="eastAsia"/>
                <w:color w:val="auto"/>
                <w:sz w:val="24"/>
                <w:lang w:val="en-US" w:eastAsia="zh-CN"/>
              </w:rPr>
              <w:t>收集的粉尘、废塑料边角料和不合格品，</w:t>
            </w:r>
            <w:r>
              <w:rPr>
                <w:color w:val="auto"/>
                <w:sz w:val="24"/>
              </w:rPr>
              <w:t>其中</w:t>
            </w:r>
            <w:r>
              <w:rPr>
                <w:rFonts w:hint="eastAsia"/>
                <w:color w:val="auto"/>
                <w:sz w:val="24"/>
                <w:lang w:val="en-US" w:eastAsia="zh-CN"/>
              </w:rPr>
              <w:t>废塑料边角料和不合格品可粉碎后回用于生产，不作为一般固废进行处置</w:t>
            </w:r>
            <w:r>
              <w:rPr>
                <w:color w:val="auto"/>
                <w:sz w:val="24"/>
              </w:rPr>
              <w:t>；危险废物主要包括</w:t>
            </w:r>
            <w:r>
              <w:rPr>
                <w:rFonts w:hint="eastAsia"/>
                <w:color w:val="auto"/>
                <w:sz w:val="24"/>
              </w:rPr>
              <w:t>废</w:t>
            </w:r>
            <w:r>
              <w:rPr>
                <w:rFonts w:hint="eastAsia"/>
                <w:color w:val="auto"/>
                <w:sz w:val="24"/>
                <w:lang w:val="en-US" w:eastAsia="zh-CN"/>
              </w:rPr>
              <w:t>润滑</w:t>
            </w:r>
            <w:r>
              <w:rPr>
                <w:rFonts w:hint="eastAsia"/>
                <w:color w:val="auto"/>
                <w:sz w:val="24"/>
                <w:lang w:eastAsia="zh-CN"/>
              </w:rPr>
              <w:t>油</w:t>
            </w:r>
            <w:r>
              <w:rPr>
                <w:rFonts w:hint="eastAsia"/>
                <w:color w:val="auto"/>
                <w:sz w:val="24"/>
              </w:rPr>
              <w:t>、</w:t>
            </w:r>
            <w:r>
              <w:rPr>
                <w:rFonts w:hint="eastAsia"/>
                <w:color w:val="auto"/>
                <w:sz w:val="24"/>
                <w:lang w:eastAsia="zh-CN"/>
              </w:rPr>
              <w:t>废油桶</w:t>
            </w:r>
            <w:r>
              <w:rPr>
                <w:rFonts w:hint="eastAsia"/>
                <w:color w:val="auto"/>
                <w:sz w:val="24"/>
                <w:lang w:val="en-US" w:eastAsia="zh-CN"/>
              </w:rPr>
              <w:t>和</w:t>
            </w:r>
            <w:bookmarkStart w:id="17" w:name="OLE_LINK23"/>
            <w:r>
              <w:rPr>
                <w:color w:val="auto"/>
                <w:sz w:val="24"/>
              </w:rPr>
              <w:t>有机废气处理装置</w:t>
            </w:r>
            <w:bookmarkEnd w:id="17"/>
            <w:r>
              <w:rPr>
                <w:color w:val="auto"/>
                <w:sz w:val="24"/>
              </w:rPr>
              <w:t>产生的废活性炭。</w:t>
            </w:r>
          </w:p>
          <w:p w14:paraId="2097794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color w:val="auto"/>
                <w:sz w:val="24"/>
              </w:rPr>
            </w:pPr>
            <w:r>
              <w:rPr>
                <w:color w:val="auto"/>
                <w:sz w:val="24"/>
              </w:rPr>
              <w:t>（1）一般固体废物：</w:t>
            </w:r>
          </w:p>
          <w:p w14:paraId="333D8E7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color w:val="auto"/>
                <w:sz w:val="24"/>
                <w:lang w:val="en-US"/>
              </w:rPr>
            </w:pPr>
            <w:r>
              <w:rPr>
                <w:color w:val="auto"/>
                <w:sz w:val="24"/>
              </w:rPr>
              <w:t>①</w:t>
            </w:r>
            <w:r>
              <w:rPr>
                <w:rFonts w:hint="eastAsia"/>
                <w:color w:val="auto"/>
                <w:sz w:val="24"/>
              </w:rPr>
              <w:t>废</w:t>
            </w:r>
            <w:r>
              <w:rPr>
                <w:rFonts w:hint="eastAsia"/>
                <w:color w:val="auto"/>
                <w:sz w:val="24"/>
                <w:lang w:eastAsia="zh-CN"/>
              </w:rPr>
              <w:t>包装</w:t>
            </w:r>
            <w:r>
              <w:rPr>
                <w:rFonts w:hint="eastAsia"/>
                <w:color w:val="auto"/>
                <w:sz w:val="24"/>
                <w:lang w:val="en-US" w:eastAsia="zh-CN"/>
              </w:rPr>
              <w:t>材料</w:t>
            </w:r>
          </w:p>
          <w:p w14:paraId="4FC14CB8">
            <w:pPr>
              <w:spacing w:line="360" w:lineRule="auto"/>
              <w:ind w:firstLine="480" w:firstLineChars="200"/>
              <w:jc w:val="both"/>
              <w:rPr>
                <w:color w:val="auto"/>
                <w:sz w:val="24"/>
              </w:rPr>
            </w:pPr>
            <w:r>
              <w:rPr>
                <w:rFonts w:hint="eastAsia" w:cs="Times New Roman"/>
                <w:bCs/>
                <w:color w:val="auto"/>
                <w:sz w:val="24"/>
                <w:szCs w:val="24"/>
                <w:lang w:eastAsia="zh-CN"/>
              </w:rPr>
              <w:t>项目使用的</w:t>
            </w:r>
            <w:r>
              <w:rPr>
                <w:rFonts w:hint="eastAsia" w:cs="Times New Roman"/>
                <w:bCs/>
                <w:color w:val="auto"/>
                <w:sz w:val="24"/>
                <w:szCs w:val="24"/>
                <w:lang w:val="en-US" w:eastAsia="zh-CN"/>
              </w:rPr>
              <w:t>塑料颗粒和色母为袋装，规格为50kg/袋，塑料颗粒及色母每年使用量为6022.33t，则产生废包装袋120446只，每只废包装袋重0.1kg，则每年产生废包装袋约12.04t/a，</w:t>
            </w:r>
            <w:r>
              <w:rPr>
                <w:color w:val="auto"/>
                <w:sz w:val="24"/>
                <w:szCs w:val="24"/>
              </w:rPr>
              <w:t>按照《一般固体废物分类与代码》（GB/T39198-2020），固废代码：</w:t>
            </w:r>
            <w:r>
              <w:rPr>
                <w:rFonts w:hint="eastAsia"/>
                <w:color w:val="auto"/>
                <w:sz w:val="24"/>
                <w:szCs w:val="24"/>
                <w:lang w:val="en-US" w:eastAsia="zh-CN"/>
              </w:rPr>
              <w:t>900</w:t>
            </w:r>
            <w:r>
              <w:rPr>
                <w:color w:val="auto"/>
                <w:sz w:val="24"/>
                <w:szCs w:val="24"/>
              </w:rPr>
              <w:t>-</w:t>
            </w:r>
            <w:r>
              <w:rPr>
                <w:rFonts w:hint="eastAsia"/>
                <w:color w:val="auto"/>
                <w:sz w:val="24"/>
                <w:szCs w:val="24"/>
                <w:lang w:val="en-US" w:eastAsia="zh-CN"/>
              </w:rPr>
              <w:t>999</w:t>
            </w:r>
            <w:r>
              <w:rPr>
                <w:color w:val="auto"/>
                <w:sz w:val="24"/>
                <w:szCs w:val="24"/>
              </w:rPr>
              <w:t>-99，</w:t>
            </w:r>
            <w:r>
              <w:rPr>
                <w:rFonts w:hint="eastAsia" w:cs="Times New Roman"/>
                <w:bCs/>
                <w:color w:val="auto"/>
                <w:sz w:val="24"/>
                <w:szCs w:val="24"/>
                <w:lang w:val="en-US" w:eastAsia="zh-CN"/>
              </w:rPr>
              <w:t>收集后暂存于一般固体废物暂存间，定期外售。</w:t>
            </w:r>
          </w:p>
          <w:p w14:paraId="07504B7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eastAsia="宋体"/>
                <w:color w:val="auto"/>
                <w:sz w:val="24"/>
                <w:lang w:val="en-US" w:eastAsia="zh-CN"/>
              </w:rPr>
            </w:pPr>
            <w:r>
              <w:rPr>
                <w:color w:val="auto"/>
                <w:sz w:val="24"/>
              </w:rPr>
              <w:t>②</w:t>
            </w:r>
            <w:r>
              <w:rPr>
                <w:rFonts w:hint="eastAsia"/>
                <w:color w:val="auto"/>
                <w:sz w:val="24"/>
                <w:lang w:val="en-US" w:eastAsia="zh-CN"/>
              </w:rPr>
              <w:t>破碎收集的粉尘</w:t>
            </w:r>
          </w:p>
          <w:p w14:paraId="1A3CC4FF">
            <w:pPr>
              <w:spacing w:line="360" w:lineRule="auto"/>
              <w:ind w:firstLine="480" w:firstLineChars="200"/>
              <w:jc w:val="both"/>
              <w:rPr>
                <w:rFonts w:hint="eastAsia"/>
                <w:color w:val="auto"/>
                <w:sz w:val="24"/>
                <w:lang w:val="en-US" w:eastAsia="zh-CN"/>
              </w:rPr>
            </w:pPr>
            <w:r>
              <w:rPr>
                <w:color w:val="auto"/>
                <w:sz w:val="24"/>
              </w:rPr>
              <w:t>项目</w:t>
            </w:r>
            <w:r>
              <w:rPr>
                <w:rFonts w:hint="eastAsia"/>
                <w:color w:val="auto"/>
                <w:sz w:val="24"/>
                <w:lang w:eastAsia="zh-CN"/>
              </w:rPr>
              <w:t>在</w:t>
            </w:r>
            <w:r>
              <w:rPr>
                <w:rFonts w:hint="eastAsia" w:cs="Times New Roman"/>
                <w:sz w:val="24"/>
                <w:lang w:val="en-US" w:eastAsia="zh-CN"/>
              </w:rPr>
              <w:t>生产过程中</w:t>
            </w:r>
            <w:r>
              <w:rPr>
                <w:rFonts w:hint="eastAsia" w:ascii="Times New Roman" w:hAnsi="Times New Roman" w:cs="Times New Roman"/>
                <w:sz w:val="24"/>
                <w:lang w:eastAsia="zh-CN"/>
              </w:rPr>
              <w:t>会</w:t>
            </w:r>
            <w:r>
              <w:rPr>
                <w:rFonts w:ascii="Times New Roman" w:hAnsi="Times New Roman" w:cs="Times New Roman"/>
                <w:sz w:val="24"/>
              </w:rPr>
              <w:t>产生</w:t>
            </w:r>
            <w:r>
              <w:rPr>
                <w:rFonts w:hint="eastAsia" w:ascii="Times New Roman" w:hAnsi="Times New Roman" w:cs="Times New Roman"/>
                <w:sz w:val="24"/>
                <w:lang w:eastAsia="zh-CN"/>
              </w:rPr>
              <w:t>少量</w:t>
            </w:r>
            <w:r>
              <w:rPr>
                <w:rFonts w:hint="eastAsia"/>
                <w:color w:val="auto"/>
                <w:sz w:val="24"/>
                <w:lang w:val="en-US" w:eastAsia="zh-CN"/>
              </w:rPr>
              <w:t>废塑料边角料、不合格品，</w:t>
            </w:r>
            <w:r>
              <w:rPr>
                <w:rFonts w:hint="eastAsia" w:cs="Times New Roman"/>
                <w:b w:val="0"/>
                <w:color w:val="auto"/>
                <w:kern w:val="2"/>
                <w:sz w:val="24"/>
                <w:szCs w:val="24"/>
                <w:lang w:val="en-US" w:eastAsia="zh-CN" w:bidi="ar-SA"/>
              </w:rPr>
              <w:t>收集后粉碎回用于生产，粉碎产生的粉尘经布袋收尘器收集后</w:t>
            </w:r>
            <w:r>
              <w:rPr>
                <w:rFonts w:hint="eastAsia" w:cs="Times New Roman"/>
                <w:bCs/>
                <w:color w:val="auto"/>
                <w:sz w:val="24"/>
                <w:szCs w:val="24"/>
                <w:lang w:val="en-US" w:eastAsia="zh-CN"/>
              </w:rPr>
              <w:t>回用于生产，收尘器收集的粉尘量为1.07t/a</w:t>
            </w:r>
            <w:r>
              <w:rPr>
                <w:rFonts w:ascii="Times New Roman" w:hAnsi="Times New Roman" w:cs="Times New Roman"/>
                <w:sz w:val="24"/>
              </w:rPr>
              <w:t>。</w:t>
            </w:r>
          </w:p>
          <w:p w14:paraId="55EE692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color w:val="auto"/>
                <w:sz w:val="24"/>
              </w:rPr>
            </w:pPr>
            <w:r>
              <w:rPr>
                <w:rFonts w:hint="eastAsia"/>
                <w:color w:val="auto"/>
                <w:sz w:val="24"/>
              </w:rPr>
              <w:t>（2）</w:t>
            </w:r>
            <w:r>
              <w:rPr>
                <w:color w:val="auto"/>
                <w:sz w:val="24"/>
              </w:rPr>
              <w:t>危险废物：</w:t>
            </w:r>
          </w:p>
          <w:p w14:paraId="219A69A6">
            <w:pPr>
              <w:autoSpaceDE w:val="0"/>
              <w:spacing w:line="360" w:lineRule="auto"/>
              <w:ind w:firstLine="480" w:firstLineChars="200"/>
              <w:jc w:val="both"/>
              <w:rPr>
                <w:color w:val="auto"/>
                <w:sz w:val="24"/>
                <w:szCs w:val="24"/>
              </w:rPr>
            </w:pPr>
            <w:r>
              <w:rPr>
                <w:color w:val="auto"/>
                <w:sz w:val="24"/>
                <w:szCs w:val="24"/>
              </w:rPr>
              <w:fldChar w:fldCharType="begin"/>
            </w:r>
            <w:r>
              <w:rPr>
                <w:color w:val="auto"/>
                <w:sz w:val="24"/>
                <w:szCs w:val="24"/>
              </w:rPr>
              <w:instrText xml:space="preserve"> = 1 \* GB3 \* MERGEFORMAT </w:instrText>
            </w:r>
            <w:r>
              <w:rPr>
                <w:color w:val="auto"/>
                <w:sz w:val="24"/>
                <w:szCs w:val="24"/>
              </w:rPr>
              <w:fldChar w:fldCharType="separate"/>
            </w:r>
            <w:r>
              <w:rPr>
                <w:color w:val="auto"/>
                <w:sz w:val="24"/>
                <w:szCs w:val="24"/>
              </w:rPr>
              <w:t>①</w:t>
            </w:r>
            <w:r>
              <w:rPr>
                <w:color w:val="auto"/>
                <w:sz w:val="24"/>
                <w:szCs w:val="24"/>
              </w:rPr>
              <w:fldChar w:fldCharType="end"/>
            </w:r>
            <w:r>
              <w:rPr>
                <w:color w:val="auto"/>
                <w:sz w:val="24"/>
                <w:szCs w:val="24"/>
              </w:rPr>
              <w:t>废活性炭</w:t>
            </w:r>
          </w:p>
          <w:p w14:paraId="1CBB0667">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color w:val="auto"/>
                <w:sz w:val="24"/>
              </w:rPr>
              <w:t>有机废气处理装置</w:t>
            </w:r>
            <w:r>
              <w:rPr>
                <w:rFonts w:hint="eastAsia" w:cs="Times New Roman"/>
                <w:color w:val="auto"/>
                <w:sz w:val="24"/>
                <w:szCs w:val="24"/>
                <w:highlight w:val="none"/>
                <w:lang w:val="en-US" w:eastAsia="zh-CN"/>
              </w:rPr>
              <w:t>会定期产生废滤材和废活性炭。</w:t>
            </w:r>
          </w:p>
          <w:p w14:paraId="471CD607">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color w:val="auto"/>
                <w:sz w:val="24"/>
                <w:szCs w:val="24"/>
              </w:rPr>
            </w:pPr>
            <w:r>
              <w:rPr>
                <w:rFonts w:hint="eastAsia" w:ascii="Times New Roman" w:hAnsi="Times New Roman" w:cs="Times New Roman"/>
                <w:color w:val="auto"/>
                <w:sz w:val="24"/>
                <w:highlight w:val="none"/>
              </w:rPr>
              <w:t>根据</w:t>
            </w:r>
            <w:r>
              <w:rPr>
                <w:rFonts w:hint="eastAsia" w:ascii="Times New Roman" w:hAnsi="Times New Roman" w:cs="Times New Roman"/>
                <w:color w:val="auto"/>
                <w:sz w:val="24"/>
                <w:highlight w:val="none"/>
                <w:lang w:eastAsia="zh-CN"/>
              </w:rPr>
              <w:t>工程分析可知</w:t>
            </w:r>
            <w:r>
              <w:rPr>
                <w:rFonts w:hint="eastAsia" w:ascii="Times New Roman" w:hAnsi="Times New Roman" w:cs="Times New Roman"/>
                <w:color w:val="auto"/>
                <w:sz w:val="24"/>
                <w:highlight w:val="none"/>
              </w:rPr>
              <w:t>，</w:t>
            </w:r>
            <w:r>
              <w:rPr>
                <w:rFonts w:hint="eastAsia" w:ascii="Times New Roman" w:hAnsi="Times New Roman" w:cs="Times New Roman"/>
                <w:color w:val="auto"/>
                <w:sz w:val="24"/>
                <w:highlight w:val="none"/>
                <w:lang w:eastAsia="zh-CN"/>
              </w:rPr>
              <w:t>本项目</w:t>
            </w:r>
            <w:r>
              <w:rPr>
                <w:rFonts w:hint="eastAsia" w:ascii="Times New Roman" w:hAnsi="Times New Roman" w:cs="Times New Roman"/>
                <w:color w:val="auto"/>
                <w:sz w:val="24"/>
                <w:highlight w:val="none"/>
              </w:rPr>
              <w:t>废活性炭产生</w:t>
            </w:r>
            <w:r>
              <w:rPr>
                <w:rFonts w:hint="eastAsia" w:ascii="Times New Roman" w:hAnsi="Times New Roman" w:cs="Times New Roman"/>
                <w:color w:val="auto"/>
                <w:sz w:val="24"/>
                <w:highlight w:val="none"/>
                <w:lang w:eastAsia="zh-CN"/>
              </w:rPr>
              <w:t>总量约</w:t>
            </w:r>
            <w:r>
              <w:rPr>
                <w:rFonts w:hint="eastAsia" w:ascii="Times New Roman" w:hAnsi="Times New Roman" w:cs="Times New Roman"/>
                <w:color w:val="auto"/>
                <w:sz w:val="24"/>
                <w:highlight w:val="none"/>
              </w:rPr>
              <w:t>为</w:t>
            </w:r>
            <w:r>
              <w:rPr>
                <w:rFonts w:hint="eastAsia"/>
                <w:kern w:val="0"/>
                <w:sz w:val="24"/>
                <w:lang w:val="en-US" w:eastAsia="zh-CN"/>
              </w:rPr>
              <w:t>33.305</w:t>
            </w:r>
            <w:r>
              <w:rPr>
                <w:rFonts w:hint="eastAsia"/>
                <w:sz w:val="24"/>
              </w:rPr>
              <w:t>t/a（含吸附的有机废气量</w:t>
            </w:r>
            <w:r>
              <w:rPr>
                <w:rFonts w:hint="eastAsia"/>
                <w:kern w:val="0"/>
                <w:sz w:val="24"/>
                <w:lang w:val="en-US" w:eastAsia="zh-CN"/>
              </w:rPr>
              <w:t>7.685</w:t>
            </w:r>
            <w:r>
              <w:rPr>
                <w:rFonts w:hint="eastAsia"/>
                <w:sz w:val="24"/>
              </w:rPr>
              <w:t>t/a）</w:t>
            </w:r>
            <w:r>
              <w:rPr>
                <w:rFonts w:hint="eastAsia"/>
                <w:sz w:val="24"/>
                <w:lang w:eastAsia="zh-CN"/>
              </w:rPr>
              <w:t>，</w:t>
            </w:r>
            <w:r>
              <w:rPr>
                <w:rFonts w:hint="default" w:ascii="Times New Roman" w:hAnsi="Times New Roman" w:eastAsia="宋体" w:cs="Times New Roman"/>
                <w:color w:val="auto"/>
                <w:spacing w:val="0"/>
                <w:sz w:val="24"/>
                <w:szCs w:val="24"/>
                <w:highlight w:val="none"/>
                <w:lang w:eastAsia="zh-CN"/>
              </w:rPr>
              <w:t>根据《国家危险废物名录》（</w:t>
            </w:r>
            <w:r>
              <w:rPr>
                <w:rFonts w:hint="eastAsia" w:ascii="Times New Roman" w:hAnsi="Times New Roman" w:eastAsia="宋体" w:cs="Times New Roman"/>
                <w:color w:val="auto"/>
                <w:spacing w:val="0"/>
                <w:sz w:val="24"/>
                <w:szCs w:val="24"/>
                <w:highlight w:val="none"/>
                <w:lang w:val="en-US" w:eastAsia="zh-CN"/>
              </w:rPr>
              <w:t>202</w:t>
            </w:r>
            <w:r>
              <w:rPr>
                <w:rFonts w:hint="eastAsia" w:cs="Times New Roman"/>
                <w:color w:val="auto"/>
                <w:spacing w:val="0"/>
                <w:sz w:val="24"/>
                <w:szCs w:val="24"/>
                <w:highlight w:val="none"/>
                <w:lang w:val="en-US" w:eastAsia="zh-CN"/>
              </w:rPr>
              <w:t>5</w:t>
            </w:r>
            <w:r>
              <w:rPr>
                <w:rFonts w:hint="default" w:ascii="Times New Roman" w:hAnsi="Times New Roman" w:eastAsia="宋体" w:cs="Times New Roman"/>
                <w:color w:val="auto"/>
                <w:spacing w:val="0"/>
                <w:sz w:val="24"/>
                <w:szCs w:val="24"/>
                <w:highlight w:val="none"/>
                <w:lang w:eastAsia="zh-CN"/>
              </w:rPr>
              <w:t>年版），</w:t>
            </w:r>
            <w:r>
              <w:rPr>
                <w:rFonts w:hint="eastAsia" w:ascii="宋体" w:hAnsi="宋体"/>
                <w:sz w:val="24"/>
              </w:rPr>
              <w:t>废活性炭</w:t>
            </w:r>
            <w:r>
              <w:rPr>
                <w:rFonts w:hint="default" w:ascii="Times New Roman" w:hAnsi="Times New Roman" w:eastAsia="宋体" w:cs="Times New Roman"/>
                <w:color w:val="auto"/>
                <w:spacing w:val="0"/>
                <w:sz w:val="24"/>
                <w:szCs w:val="24"/>
                <w:highlight w:val="none"/>
                <w:lang w:eastAsia="zh-CN"/>
              </w:rPr>
              <w:t>属于危险废物HW</w:t>
            </w:r>
            <w:r>
              <w:rPr>
                <w:rFonts w:hint="eastAsia" w:ascii="Times New Roman" w:hAnsi="Times New Roman" w:eastAsia="宋体" w:cs="Times New Roman"/>
                <w:color w:val="auto"/>
                <w:spacing w:val="0"/>
                <w:sz w:val="24"/>
                <w:szCs w:val="24"/>
                <w:highlight w:val="none"/>
                <w:lang w:val="en-US" w:eastAsia="zh-CN"/>
              </w:rPr>
              <w:t>49</w:t>
            </w:r>
            <w:r>
              <w:rPr>
                <w:rFonts w:hint="eastAsia" w:ascii="Times New Roman" w:hAnsi="Times New Roman" w:eastAsia="宋体"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lang w:eastAsia="zh-CN"/>
              </w:rPr>
              <w:t>900-</w:t>
            </w:r>
            <w:r>
              <w:rPr>
                <w:rFonts w:hint="eastAsia" w:ascii="Times New Roman" w:hAnsi="Times New Roman" w:eastAsia="宋体" w:cs="Times New Roman"/>
                <w:color w:val="auto"/>
                <w:spacing w:val="0"/>
                <w:sz w:val="24"/>
                <w:szCs w:val="24"/>
                <w:highlight w:val="none"/>
                <w:lang w:val="en-US" w:eastAsia="zh-CN"/>
              </w:rPr>
              <w:t>039</w:t>
            </w:r>
            <w:r>
              <w:rPr>
                <w:rFonts w:hint="default" w:ascii="Times New Roman" w:hAnsi="Times New Roman" w:eastAsia="宋体" w:cs="Times New Roman"/>
                <w:color w:val="auto"/>
                <w:spacing w:val="0"/>
                <w:sz w:val="24"/>
                <w:szCs w:val="24"/>
                <w:highlight w:val="none"/>
                <w:lang w:eastAsia="zh-CN"/>
              </w:rPr>
              <w:t>-49</w:t>
            </w:r>
            <w:r>
              <w:rPr>
                <w:rFonts w:hint="eastAsia" w:ascii="Times New Roman" w:hAnsi="Times New Roman" w:eastAsia="宋体"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lang w:eastAsia="zh-CN"/>
              </w:rPr>
              <w:t>烟气、VOCs治理过程（不包括餐饮行业油烟治理过程）产生的废活性炭，化学原料和化学制品脱色（不包括有机合成食品添加剂脱色）、除杂、净化过程产生的废活性炭（不包括900-405-06、772-005-18、261-053-29、265-002-29、384-003-29、387-001-29类废物）</w:t>
            </w:r>
            <w:r>
              <w:rPr>
                <w:rFonts w:hint="eastAsia" w:ascii="Times New Roman" w:hAnsi="Times New Roman" w:eastAsia="宋体" w:cs="Times New Roman"/>
                <w:color w:val="auto"/>
                <w:spacing w:val="0"/>
                <w:sz w:val="24"/>
                <w:szCs w:val="24"/>
                <w:highlight w:val="none"/>
                <w:lang w:eastAsia="zh-CN"/>
              </w:rPr>
              <w:t>，</w:t>
            </w:r>
            <w:r>
              <w:rPr>
                <w:rFonts w:hint="eastAsia" w:ascii="Times New Roman" w:hAnsi="Times New Roman"/>
                <w:color w:val="auto"/>
                <w:sz w:val="24"/>
                <w:szCs w:val="24"/>
                <w:highlight w:val="none"/>
                <w:lang w:eastAsia="zh-CN"/>
              </w:rPr>
              <w:t>采用袋装密封收集</w:t>
            </w:r>
            <w:r>
              <w:rPr>
                <w:rFonts w:ascii="Times New Roman" w:hAnsi="Times New Roman" w:cs="Times New Roman"/>
                <w:color w:val="auto"/>
                <w:sz w:val="24"/>
                <w:highlight w:val="none"/>
              </w:rPr>
              <w:t>至危险废物暂存</w:t>
            </w:r>
            <w:r>
              <w:rPr>
                <w:rFonts w:hint="eastAsia" w:ascii="Times New Roman" w:hAnsi="Times New Roman" w:cs="Times New Roman"/>
                <w:color w:val="auto"/>
                <w:sz w:val="24"/>
                <w:highlight w:val="none"/>
                <w:lang w:eastAsia="zh-CN"/>
              </w:rPr>
              <w:t>间</w:t>
            </w:r>
            <w:r>
              <w:rPr>
                <w:rFonts w:ascii="Times New Roman" w:hAnsi="Times New Roman" w:cs="Times New Roman"/>
                <w:color w:val="auto"/>
                <w:sz w:val="24"/>
                <w:highlight w:val="none"/>
              </w:rPr>
              <w:t>，</w:t>
            </w:r>
            <w:r>
              <w:rPr>
                <w:rFonts w:hint="eastAsia" w:ascii="Times New Roman" w:hAnsi="Times New Roman"/>
                <w:color w:val="auto"/>
                <w:sz w:val="24"/>
                <w:szCs w:val="24"/>
                <w:highlight w:val="none"/>
                <w:lang w:eastAsia="zh-CN"/>
              </w:rPr>
              <w:t>定期交由</w:t>
            </w:r>
            <w:r>
              <w:rPr>
                <w:rFonts w:ascii="Times New Roman" w:hAnsi="Times New Roman" w:cs="Times New Roman"/>
                <w:color w:val="auto"/>
                <w:sz w:val="24"/>
                <w:highlight w:val="none"/>
              </w:rPr>
              <w:t>有资质的单位</w:t>
            </w:r>
            <w:r>
              <w:rPr>
                <w:rFonts w:hint="eastAsia" w:ascii="Times New Roman" w:hAnsi="Times New Roman" w:cs="Times New Roman"/>
                <w:color w:val="auto"/>
                <w:sz w:val="24"/>
                <w:highlight w:val="none"/>
                <w:lang w:eastAsia="zh-CN"/>
              </w:rPr>
              <w:t>进行</w:t>
            </w:r>
            <w:r>
              <w:rPr>
                <w:rFonts w:ascii="Times New Roman" w:hAnsi="Times New Roman" w:cs="Times New Roman"/>
                <w:color w:val="auto"/>
                <w:sz w:val="24"/>
                <w:highlight w:val="none"/>
              </w:rPr>
              <w:t>处置</w:t>
            </w:r>
            <w:r>
              <w:rPr>
                <w:rFonts w:hint="eastAsia" w:ascii="Times New Roman" w:hAnsi="Times New Roman"/>
                <w:color w:val="auto"/>
                <w:sz w:val="24"/>
                <w:szCs w:val="24"/>
                <w:highlight w:val="none"/>
                <w:lang w:val="en-US" w:eastAsia="zh-CN"/>
              </w:rPr>
              <w:t>。</w:t>
            </w:r>
          </w:p>
          <w:p w14:paraId="2C26BD56">
            <w:pPr>
              <w:autoSpaceDE w:val="0"/>
              <w:spacing w:line="360" w:lineRule="auto"/>
              <w:ind w:firstLine="480" w:firstLineChars="200"/>
              <w:jc w:val="both"/>
              <w:rPr>
                <w:sz w:val="24"/>
                <w:szCs w:val="24"/>
              </w:rPr>
            </w:pPr>
            <w:r>
              <w:rPr>
                <w:color w:val="auto"/>
                <w:sz w:val="24"/>
              </w:rPr>
              <w:t>②</w:t>
            </w:r>
            <w:r>
              <w:rPr>
                <w:sz w:val="24"/>
                <w:szCs w:val="24"/>
              </w:rPr>
              <w:t>废矿物油</w:t>
            </w:r>
          </w:p>
          <w:p w14:paraId="1B2B0772">
            <w:pPr>
              <w:autoSpaceDE w:val="0"/>
              <w:spacing w:line="360" w:lineRule="auto"/>
              <w:ind w:firstLine="480" w:firstLineChars="200"/>
              <w:jc w:val="both"/>
              <w:rPr>
                <w:sz w:val="24"/>
                <w:szCs w:val="24"/>
              </w:rPr>
            </w:pPr>
            <w:r>
              <w:rPr>
                <w:sz w:val="24"/>
                <w:szCs w:val="24"/>
              </w:rPr>
              <w:t>本项目润滑油年用量为</w:t>
            </w:r>
            <w:r>
              <w:rPr>
                <w:rFonts w:hint="eastAsia"/>
                <w:sz w:val="24"/>
                <w:szCs w:val="24"/>
                <w:lang w:val="en-US" w:eastAsia="zh-CN"/>
              </w:rPr>
              <w:t>0.3</w:t>
            </w:r>
            <w:r>
              <w:rPr>
                <w:sz w:val="24"/>
                <w:szCs w:val="24"/>
              </w:rPr>
              <w:t>t/a，废矿物油年产生量以10%计算，则废润滑油的产生量为0.</w:t>
            </w:r>
            <w:r>
              <w:rPr>
                <w:rFonts w:hint="eastAsia"/>
                <w:sz w:val="24"/>
                <w:szCs w:val="24"/>
                <w:lang w:val="en-US" w:eastAsia="zh-CN"/>
              </w:rPr>
              <w:t>03</w:t>
            </w:r>
            <w:r>
              <w:rPr>
                <w:sz w:val="24"/>
                <w:szCs w:val="24"/>
              </w:rPr>
              <w:t>t/a。根据《国家危险废物名录》（202</w:t>
            </w:r>
            <w:r>
              <w:rPr>
                <w:rFonts w:hint="eastAsia"/>
                <w:sz w:val="24"/>
                <w:szCs w:val="24"/>
                <w:lang w:val="en-US" w:eastAsia="zh-CN"/>
              </w:rPr>
              <w:t>5</w:t>
            </w:r>
            <w:r>
              <w:rPr>
                <w:sz w:val="24"/>
                <w:szCs w:val="24"/>
              </w:rPr>
              <w:t>年版），废润滑油属于危险固废（废物类别为HW08—</w:t>
            </w:r>
            <w:r>
              <w:rPr>
                <w:rFonts w:hint="eastAsia"/>
                <w:sz w:val="24"/>
                <w:szCs w:val="24"/>
              </w:rPr>
              <w:t>车辆、轮船及其它机械维修过程中产生的废发动机油、制动器油、自动变速器油、齿轮油等废润滑油</w:t>
            </w:r>
            <w:r>
              <w:rPr>
                <w:sz w:val="24"/>
                <w:szCs w:val="24"/>
              </w:rPr>
              <w:t>，废物代码为900-214-08），集中收集至</w:t>
            </w:r>
            <w:r>
              <w:rPr>
                <w:rFonts w:hint="eastAsia"/>
                <w:sz w:val="24"/>
                <w:szCs w:val="24"/>
                <w:lang w:val="en-US" w:eastAsia="zh-CN"/>
              </w:rPr>
              <w:t>危废暂存间暂存</w:t>
            </w:r>
            <w:r>
              <w:rPr>
                <w:sz w:val="24"/>
                <w:szCs w:val="24"/>
              </w:rPr>
              <w:t>，定期委托有处理资质的单位</w:t>
            </w:r>
            <w:r>
              <w:rPr>
                <w:rFonts w:hint="eastAsia"/>
                <w:sz w:val="24"/>
                <w:szCs w:val="24"/>
                <w:lang w:val="en-US" w:eastAsia="zh-CN"/>
              </w:rPr>
              <w:t>进行</w:t>
            </w:r>
            <w:r>
              <w:rPr>
                <w:sz w:val="24"/>
                <w:szCs w:val="24"/>
              </w:rPr>
              <w:t>处置。</w:t>
            </w:r>
          </w:p>
          <w:p w14:paraId="1A129F93">
            <w:pPr>
              <w:autoSpaceDE w:val="0"/>
              <w:spacing w:line="360" w:lineRule="auto"/>
              <w:ind w:firstLine="480" w:firstLineChars="200"/>
              <w:jc w:val="both"/>
              <w:rPr>
                <w:sz w:val="24"/>
                <w:szCs w:val="24"/>
              </w:rPr>
            </w:pPr>
            <w:r>
              <w:rPr>
                <w:sz w:val="24"/>
                <w:szCs w:val="24"/>
              </w:rPr>
              <w:fldChar w:fldCharType="begin"/>
            </w:r>
            <w:r>
              <w:rPr>
                <w:sz w:val="24"/>
                <w:szCs w:val="24"/>
              </w:rPr>
              <w:instrText xml:space="preserve"> = 3 \* GB3 \* MERGEFORMAT </w:instrText>
            </w:r>
            <w:r>
              <w:rPr>
                <w:sz w:val="24"/>
                <w:szCs w:val="24"/>
              </w:rPr>
              <w:fldChar w:fldCharType="separate"/>
            </w:r>
            <w:r>
              <w:rPr>
                <w:sz w:val="24"/>
                <w:szCs w:val="24"/>
              </w:rPr>
              <w:t>③</w:t>
            </w:r>
            <w:r>
              <w:rPr>
                <w:sz w:val="24"/>
                <w:szCs w:val="24"/>
              </w:rPr>
              <w:fldChar w:fldCharType="end"/>
            </w:r>
            <w:r>
              <w:rPr>
                <w:sz w:val="24"/>
                <w:szCs w:val="24"/>
              </w:rPr>
              <w:t>废油桶</w:t>
            </w:r>
          </w:p>
          <w:p w14:paraId="1148FE8E">
            <w:pPr>
              <w:autoSpaceDE w:val="0"/>
              <w:spacing w:line="360" w:lineRule="auto"/>
              <w:ind w:firstLine="480" w:firstLineChars="200"/>
              <w:jc w:val="both"/>
              <w:rPr>
                <w:sz w:val="24"/>
                <w:szCs w:val="24"/>
              </w:rPr>
            </w:pPr>
            <w:r>
              <w:rPr>
                <w:sz w:val="24"/>
                <w:szCs w:val="24"/>
              </w:rPr>
              <w:t>项目运营期润滑油使用铁桶装，规格为</w:t>
            </w:r>
            <w:r>
              <w:rPr>
                <w:rFonts w:hint="eastAsia"/>
                <w:sz w:val="24"/>
                <w:szCs w:val="24"/>
                <w:lang w:val="en-US" w:eastAsia="zh-CN"/>
              </w:rPr>
              <w:t>10</w:t>
            </w:r>
            <w:r>
              <w:rPr>
                <w:sz w:val="24"/>
                <w:szCs w:val="24"/>
              </w:rPr>
              <w:t>0kg/桶，项目润滑油年用量为</w:t>
            </w:r>
            <w:r>
              <w:rPr>
                <w:rFonts w:hint="eastAsia"/>
                <w:sz w:val="24"/>
                <w:szCs w:val="24"/>
                <w:lang w:val="en-US" w:eastAsia="zh-CN"/>
              </w:rPr>
              <w:t>0.3</w:t>
            </w:r>
            <w:r>
              <w:rPr>
                <w:sz w:val="24"/>
                <w:szCs w:val="24"/>
              </w:rPr>
              <w:t>t/a，则产生废包装桶</w:t>
            </w:r>
            <w:r>
              <w:rPr>
                <w:rFonts w:hint="eastAsia"/>
                <w:sz w:val="24"/>
                <w:szCs w:val="24"/>
                <w:lang w:val="en-US" w:eastAsia="zh-CN"/>
              </w:rPr>
              <w:t>3</w:t>
            </w:r>
            <w:r>
              <w:rPr>
                <w:sz w:val="24"/>
                <w:szCs w:val="24"/>
              </w:rPr>
              <w:t>只/a</w:t>
            </w:r>
            <w:r>
              <w:rPr>
                <w:rFonts w:hint="eastAsia"/>
                <w:sz w:val="24"/>
                <w:szCs w:val="24"/>
                <w:lang w:eastAsia="zh-CN"/>
              </w:rPr>
              <w:t>。</w:t>
            </w:r>
            <w:r>
              <w:rPr>
                <w:sz w:val="24"/>
                <w:szCs w:val="24"/>
              </w:rPr>
              <w:t>按每只</w:t>
            </w:r>
            <w:r>
              <w:rPr>
                <w:rFonts w:hint="eastAsia"/>
                <w:sz w:val="24"/>
                <w:szCs w:val="24"/>
                <w:lang w:val="en-US" w:eastAsia="zh-CN"/>
              </w:rPr>
              <w:t>5</w:t>
            </w:r>
            <w:r>
              <w:rPr>
                <w:sz w:val="24"/>
                <w:szCs w:val="24"/>
              </w:rPr>
              <w:t>.0kg计算。则项目运营期产生的废油桶量约为0.</w:t>
            </w:r>
            <w:r>
              <w:rPr>
                <w:rFonts w:hint="eastAsia"/>
                <w:sz w:val="24"/>
                <w:szCs w:val="24"/>
                <w:lang w:val="en-US" w:eastAsia="zh-CN"/>
              </w:rPr>
              <w:t>015</w:t>
            </w:r>
            <w:r>
              <w:rPr>
                <w:sz w:val="24"/>
                <w:szCs w:val="24"/>
              </w:rPr>
              <w:t>t/a。根据《国家危险废物名录》（202</w:t>
            </w:r>
            <w:r>
              <w:rPr>
                <w:rFonts w:hint="eastAsia"/>
                <w:sz w:val="24"/>
                <w:szCs w:val="24"/>
                <w:lang w:val="en-US" w:eastAsia="zh-CN"/>
              </w:rPr>
              <w:t>5</w:t>
            </w:r>
            <w:r>
              <w:rPr>
                <w:sz w:val="24"/>
                <w:szCs w:val="24"/>
              </w:rPr>
              <w:t>年版），废油桶属于危险固废（废物类别为HW</w:t>
            </w:r>
            <w:r>
              <w:rPr>
                <w:rFonts w:hint="eastAsia"/>
                <w:sz w:val="24"/>
                <w:szCs w:val="24"/>
                <w:lang w:val="en-US" w:eastAsia="zh-CN"/>
              </w:rPr>
              <w:t>49-</w:t>
            </w:r>
            <w:r>
              <w:rPr>
                <w:rFonts w:hint="eastAsia"/>
                <w:sz w:val="24"/>
                <w:szCs w:val="24"/>
              </w:rPr>
              <w:t>含有或沾染毒性、感染性危险废物的废弃包装物、容器、过滤吸附介质</w:t>
            </w:r>
            <w:r>
              <w:rPr>
                <w:sz w:val="24"/>
                <w:szCs w:val="24"/>
              </w:rPr>
              <w:t>，废物代码为</w:t>
            </w:r>
            <w:r>
              <w:rPr>
                <w:rFonts w:hint="eastAsia"/>
                <w:sz w:val="24"/>
                <w:szCs w:val="24"/>
              </w:rPr>
              <w:t>900-041-49</w:t>
            </w:r>
            <w:r>
              <w:rPr>
                <w:sz w:val="24"/>
                <w:szCs w:val="24"/>
              </w:rPr>
              <w:t>），集中收集至</w:t>
            </w:r>
            <w:r>
              <w:rPr>
                <w:rFonts w:hint="eastAsia"/>
                <w:sz w:val="24"/>
                <w:szCs w:val="24"/>
                <w:lang w:val="en-US" w:eastAsia="zh-CN"/>
              </w:rPr>
              <w:t>危废暂存间暂存</w:t>
            </w:r>
            <w:r>
              <w:rPr>
                <w:sz w:val="24"/>
                <w:szCs w:val="24"/>
              </w:rPr>
              <w:t>，定期委托有处理资质的单位</w:t>
            </w:r>
            <w:r>
              <w:rPr>
                <w:rFonts w:hint="eastAsia"/>
                <w:sz w:val="24"/>
                <w:szCs w:val="24"/>
                <w:lang w:val="en-US" w:eastAsia="zh-CN"/>
              </w:rPr>
              <w:t>进行</w:t>
            </w:r>
            <w:r>
              <w:rPr>
                <w:sz w:val="24"/>
                <w:szCs w:val="24"/>
              </w:rPr>
              <w:t>处置。</w:t>
            </w:r>
          </w:p>
          <w:p w14:paraId="79457A93">
            <w:pPr>
              <w:spacing w:line="360" w:lineRule="auto"/>
              <w:ind w:firstLine="480" w:firstLineChars="200"/>
              <w:jc w:val="both"/>
              <w:rPr>
                <w:color w:val="auto"/>
                <w:sz w:val="24"/>
              </w:rPr>
            </w:pPr>
            <w:r>
              <w:rPr>
                <w:rFonts w:hint="eastAsia"/>
                <w:color w:val="auto"/>
                <w:sz w:val="24"/>
              </w:rPr>
              <w:t>（3）</w:t>
            </w:r>
            <w:r>
              <w:rPr>
                <w:color w:val="auto"/>
                <w:sz w:val="24"/>
              </w:rPr>
              <w:t>生活垃圾：</w:t>
            </w:r>
          </w:p>
          <w:p w14:paraId="771575DD">
            <w:pPr>
              <w:spacing w:line="360" w:lineRule="auto"/>
              <w:ind w:firstLine="480" w:firstLineChars="200"/>
              <w:jc w:val="both"/>
              <w:rPr>
                <w:bCs/>
                <w:color w:val="auto"/>
                <w:sz w:val="24"/>
              </w:rPr>
            </w:pPr>
            <w:r>
              <w:rPr>
                <w:color w:val="auto"/>
                <w:sz w:val="24"/>
              </w:rPr>
              <w:t>本项目定员</w:t>
            </w:r>
            <w:r>
              <w:rPr>
                <w:rFonts w:hint="eastAsia"/>
                <w:color w:val="auto"/>
                <w:sz w:val="24"/>
                <w:lang w:val="en-US" w:eastAsia="zh-CN"/>
              </w:rPr>
              <w:t>20</w:t>
            </w:r>
            <w:r>
              <w:rPr>
                <w:color w:val="auto"/>
                <w:sz w:val="24"/>
              </w:rPr>
              <w:t>人，</w:t>
            </w:r>
            <w:r>
              <w:rPr>
                <w:bCs/>
                <w:color w:val="auto"/>
                <w:sz w:val="24"/>
              </w:rPr>
              <w:t>生活垃圾产生量按每人每天0.5kg计，则产生量为</w:t>
            </w:r>
            <w:r>
              <w:rPr>
                <w:rFonts w:hint="eastAsia"/>
                <w:bCs/>
                <w:color w:val="auto"/>
                <w:sz w:val="24"/>
                <w:lang w:val="en-US" w:eastAsia="zh-CN"/>
              </w:rPr>
              <w:t>3</w:t>
            </w:r>
            <w:r>
              <w:rPr>
                <w:bCs/>
                <w:color w:val="auto"/>
                <w:sz w:val="24"/>
              </w:rPr>
              <w:t>t/a。生活垃圾委托环卫部门日常清运处置。</w:t>
            </w:r>
          </w:p>
          <w:p w14:paraId="14622DD4">
            <w:pPr>
              <w:spacing w:line="360" w:lineRule="auto"/>
              <w:ind w:firstLine="480" w:firstLineChars="200"/>
              <w:jc w:val="both"/>
              <w:rPr>
                <w:sz w:val="24"/>
                <w:szCs w:val="32"/>
              </w:rPr>
            </w:pPr>
            <w:r>
              <w:rPr>
                <w:sz w:val="24"/>
                <w:szCs w:val="32"/>
              </w:rPr>
              <w:t>根据上述分析，本项目工业固体废物分析结果汇总见</w:t>
            </w:r>
            <w:r>
              <w:rPr>
                <w:rFonts w:hint="eastAsia"/>
                <w:sz w:val="24"/>
                <w:szCs w:val="32"/>
                <w:lang w:val="en-US" w:eastAsia="zh-CN"/>
              </w:rPr>
              <w:t>下表所示</w:t>
            </w:r>
            <w:r>
              <w:rPr>
                <w:sz w:val="24"/>
                <w:szCs w:val="32"/>
              </w:rPr>
              <w:t>。</w:t>
            </w:r>
          </w:p>
          <w:p w14:paraId="42D79F62">
            <w:pPr>
              <w:pStyle w:val="32"/>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1560" w:leftChars="0" w:firstLine="0" w:firstLineChars="0"/>
              <w:jc w:val="center"/>
              <w:textAlignment w:val="auto"/>
              <w:rPr>
                <w:rFonts w:ascii="Times New Roman"/>
                <w:b/>
                <w:color w:val="auto"/>
                <w:sz w:val="24"/>
                <w:szCs w:val="24"/>
              </w:rPr>
            </w:pPr>
            <w:r>
              <w:rPr>
                <w:rFonts w:ascii="Times New Roman"/>
                <w:b/>
                <w:color w:val="auto"/>
                <w:sz w:val="24"/>
                <w:szCs w:val="24"/>
              </w:rPr>
              <w:t>表</w:t>
            </w:r>
            <w:r>
              <w:rPr>
                <w:rFonts w:hint="eastAsia" w:ascii="Times New Roman"/>
                <w:b/>
                <w:color w:val="auto"/>
                <w:sz w:val="24"/>
                <w:szCs w:val="24"/>
                <w:lang w:val="en-US" w:eastAsia="zh-CN"/>
              </w:rPr>
              <w:t>4</w:t>
            </w:r>
            <w:r>
              <w:rPr>
                <w:rFonts w:hint="eastAsia" w:ascii="Times New Roman"/>
                <w:b/>
                <w:color w:val="auto"/>
                <w:sz w:val="24"/>
                <w:szCs w:val="24"/>
              </w:rPr>
              <w:t>-</w:t>
            </w:r>
            <w:r>
              <w:rPr>
                <w:rFonts w:hint="eastAsia" w:ascii="Times New Roman"/>
                <w:b/>
                <w:color w:val="auto"/>
                <w:sz w:val="24"/>
                <w:szCs w:val="24"/>
                <w:lang w:val="en-US" w:eastAsia="zh-CN"/>
              </w:rPr>
              <w:t>18</w:t>
            </w:r>
            <w:r>
              <w:rPr>
                <w:rFonts w:hint="eastAsia" w:ascii="Times New Roman"/>
                <w:b/>
                <w:color w:val="auto"/>
                <w:sz w:val="24"/>
                <w:szCs w:val="24"/>
              </w:rPr>
              <w:t xml:space="preserve"> </w:t>
            </w:r>
            <w:r>
              <w:rPr>
                <w:rFonts w:hint="eastAsia" w:ascii="Times New Roman"/>
                <w:b/>
                <w:color w:val="auto"/>
                <w:sz w:val="24"/>
                <w:szCs w:val="24"/>
                <w:lang w:val="en-US" w:eastAsia="zh-CN"/>
              </w:rPr>
              <w:t xml:space="preserve"> </w:t>
            </w:r>
            <w:r>
              <w:rPr>
                <w:rFonts w:hint="eastAsia" w:ascii="Times New Roman"/>
                <w:b/>
                <w:color w:val="auto"/>
                <w:sz w:val="24"/>
                <w:szCs w:val="24"/>
              </w:rPr>
              <w:t>项目</w:t>
            </w:r>
            <w:r>
              <w:rPr>
                <w:rFonts w:ascii="Times New Roman"/>
                <w:b/>
                <w:color w:val="auto"/>
                <w:sz w:val="24"/>
                <w:szCs w:val="24"/>
              </w:rPr>
              <w:t>运营期固废类型及处理处置措施一览表</w:t>
            </w:r>
          </w:p>
          <w:tbl>
            <w:tblPr>
              <w:tblStyle w:val="2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4"/>
              <w:gridCol w:w="691"/>
              <w:gridCol w:w="677"/>
              <w:gridCol w:w="700"/>
              <w:gridCol w:w="892"/>
              <w:gridCol w:w="708"/>
              <w:gridCol w:w="375"/>
              <w:gridCol w:w="700"/>
              <w:gridCol w:w="700"/>
              <w:gridCol w:w="867"/>
              <w:gridCol w:w="1029"/>
              <w:gridCol w:w="702"/>
            </w:tblGrid>
            <w:tr w14:paraId="1CB2B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233" w:type="pct"/>
                  <w:noWrap w:val="0"/>
                  <w:vAlign w:val="center"/>
                </w:tcPr>
                <w:p w14:paraId="2EAB851F">
                  <w:pPr>
                    <w:pStyle w:val="32"/>
                    <w:keepNext w:val="0"/>
                    <w:keepLines w:val="0"/>
                    <w:pageBreakBefore w:val="0"/>
                    <w:kinsoku/>
                    <w:wordWrap/>
                    <w:overflowPunct/>
                    <w:bidi w:val="0"/>
                    <w:spacing w:line="240" w:lineRule="auto"/>
                    <w:ind w:firstLine="0"/>
                    <w:jc w:val="center"/>
                    <w:rPr>
                      <w:rFonts w:hint="eastAsia" w:ascii="Times New Roman"/>
                      <w:b w:val="0"/>
                      <w:bCs/>
                      <w:color w:val="auto"/>
                      <w:sz w:val="21"/>
                      <w:szCs w:val="21"/>
                    </w:rPr>
                  </w:pPr>
                  <w:r>
                    <w:rPr>
                      <w:rFonts w:hint="eastAsia" w:ascii="Times New Roman"/>
                      <w:b w:val="0"/>
                      <w:bCs/>
                      <w:color w:val="auto"/>
                      <w:sz w:val="21"/>
                      <w:szCs w:val="21"/>
                    </w:rPr>
                    <w:t>序号</w:t>
                  </w:r>
                </w:p>
              </w:tc>
              <w:tc>
                <w:tcPr>
                  <w:tcW w:w="409" w:type="pct"/>
                  <w:noWrap w:val="0"/>
                  <w:vAlign w:val="center"/>
                </w:tcPr>
                <w:p w14:paraId="721CA3C4">
                  <w:pPr>
                    <w:pStyle w:val="32"/>
                    <w:keepNext w:val="0"/>
                    <w:keepLines w:val="0"/>
                    <w:pageBreakBefore w:val="0"/>
                    <w:kinsoku/>
                    <w:wordWrap/>
                    <w:overflowPunct/>
                    <w:bidi w:val="0"/>
                    <w:spacing w:line="240" w:lineRule="auto"/>
                    <w:ind w:firstLine="0"/>
                    <w:jc w:val="center"/>
                    <w:rPr>
                      <w:rFonts w:hint="eastAsia" w:ascii="Times New Roman"/>
                      <w:b w:val="0"/>
                      <w:bCs/>
                      <w:color w:val="auto"/>
                      <w:sz w:val="21"/>
                      <w:szCs w:val="21"/>
                    </w:rPr>
                  </w:pPr>
                  <w:r>
                    <w:rPr>
                      <w:rFonts w:hint="eastAsia" w:ascii="Times New Roman"/>
                      <w:b w:val="0"/>
                      <w:bCs/>
                      <w:color w:val="auto"/>
                      <w:sz w:val="21"/>
                      <w:szCs w:val="21"/>
                    </w:rPr>
                    <w:t>产生环节</w:t>
                  </w:r>
                </w:p>
              </w:tc>
              <w:tc>
                <w:tcPr>
                  <w:tcW w:w="401" w:type="pct"/>
                  <w:noWrap w:val="0"/>
                  <w:vAlign w:val="center"/>
                </w:tcPr>
                <w:p w14:paraId="783B08CC">
                  <w:pPr>
                    <w:pStyle w:val="32"/>
                    <w:keepNext w:val="0"/>
                    <w:keepLines w:val="0"/>
                    <w:pageBreakBefore w:val="0"/>
                    <w:kinsoku/>
                    <w:wordWrap/>
                    <w:overflowPunct/>
                    <w:bidi w:val="0"/>
                    <w:spacing w:line="240" w:lineRule="auto"/>
                    <w:ind w:firstLine="0"/>
                    <w:jc w:val="center"/>
                    <w:rPr>
                      <w:rFonts w:hint="eastAsia" w:ascii="Times New Roman"/>
                      <w:b w:val="0"/>
                      <w:bCs/>
                      <w:color w:val="auto"/>
                      <w:sz w:val="21"/>
                      <w:szCs w:val="21"/>
                    </w:rPr>
                  </w:pPr>
                  <w:r>
                    <w:rPr>
                      <w:rFonts w:hint="eastAsia" w:ascii="Times New Roman"/>
                      <w:b w:val="0"/>
                      <w:bCs/>
                      <w:color w:val="auto"/>
                      <w:sz w:val="21"/>
                      <w:szCs w:val="21"/>
                    </w:rPr>
                    <w:t>名称</w:t>
                  </w:r>
                </w:p>
              </w:tc>
              <w:tc>
                <w:tcPr>
                  <w:tcW w:w="414" w:type="pct"/>
                  <w:noWrap w:val="0"/>
                  <w:vAlign w:val="center"/>
                </w:tcPr>
                <w:p w14:paraId="627F18C9">
                  <w:pPr>
                    <w:pStyle w:val="32"/>
                    <w:keepNext w:val="0"/>
                    <w:keepLines w:val="0"/>
                    <w:pageBreakBefore w:val="0"/>
                    <w:kinsoku/>
                    <w:wordWrap/>
                    <w:overflowPunct/>
                    <w:bidi w:val="0"/>
                    <w:spacing w:line="240" w:lineRule="auto"/>
                    <w:ind w:firstLine="0"/>
                    <w:jc w:val="center"/>
                    <w:rPr>
                      <w:rFonts w:hint="eastAsia" w:ascii="Times New Roman"/>
                      <w:b w:val="0"/>
                      <w:bCs/>
                      <w:color w:val="auto"/>
                      <w:sz w:val="21"/>
                      <w:szCs w:val="21"/>
                    </w:rPr>
                  </w:pPr>
                  <w:r>
                    <w:rPr>
                      <w:rFonts w:hint="eastAsia" w:ascii="Times New Roman"/>
                      <w:b w:val="0"/>
                      <w:bCs/>
                      <w:color w:val="auto"/>
                      <w:sz w:val="21"/>
                      <w:szCs w:val="21"/>
                    </w:rPr>
                    <w:t>属性</w:t>
                  </w:r>
                </w:p>
              </w:tc>
              <w:tc>
                <w:tcPr>
                  <w:tcW w:w="528" w:type="pct"/>
                  <w:noWrap w:val="0"/>
                  <w:vAlign w:val="center"/>
                </w:tcPr>
                <w:p w14:paraId="6F00B85A">
                  <w:pPr>
                    <w:pStyle w:val="32"/>
                    <w:keepNext w:val="0"/>
                    <w:keepLines w:val="0"/>
                    <w:pageBreakBefore w:val="0"/>
                    <w:kinsoku/>
                    <w:wordWrap/>
                    <w:overflowPunct/>
                    <w:bidi w:val="0"/>
                    <w:spacing w:line="240" w:lineRule="auto"/>
                    <w:ind w:left="-48" w:leftChars="-20" w:right="-48" w:rightChars="-20" w:firstLine="0"/>
                    <w:jc w:val="center"/>
                    <w:rPr>
                      <w:rFonts w:hint="eastAsia" w:ascii="Times New Roman"/>
                      <w:b w:val="0"/>
                      <w:bCs/>
                      <w:color w:val="auto"/>
                      <w:sz w:val="21"/>
                      <w:szCs w:val="21"/>
                    </w:rPr>
                  </w:pPr>
                  <w:r>
                    <w:rPr>
                      <w:rFonts w:hint="eastAsia" w:ascii="Times New Roman"/>
                      <w:b w:val="0"/>
                      <w:bCs/>
                      <w:color w:val="auto"/>
                      <w:sz w:val="21"/>
                      <w:szCs w:val="21"/>
                    </w:rPr>
                    <w:t>代码</w:t>
                  </w:r>
                </w:p>
              </w:tc>
              <w:tc>
                <w:tcPr>
                  <w:tcW w:w="419" w:type="pct"/>
                  <w:noWrap w:val="0"/>
                  <w:vAlign w:val="center"/>
                </w:tcPr>
                <w:p w14:paraId="17B98D83">
                  <w:pPr>
                    <w:pStyle w:val="32"/>
                    <w:keepNext w:val="0"/>
                    <w:keepLines w:val="0"/>
                    <w:pageBreakBefore w:val="0"/>
                    <w:kinsoku/>
                    <w:wordWrap/>
                    <w:overflowPunct/>
                    <w:bidi w:val="0"/>
                    <w:spacing w:line="240" w:lineRule="auto"/>
                    <w:ind w:firstLine="0"/>
                    <w:jc w:val="center"/>
                    <w:rPr>
                      <w:rFonts w:hint="eastAsia" w:ascii="Times New Roman"/>
                      <w:b w:val="0"/>
                      <w:bCs/>
                      <w:color w:val="auto"/>
                      <w:sz w:val="21"/>
                      <w:szCs w:val="21"/>
                    </w:rPr>
                  </w:pPr>
                  <w:r>
                    <w:rPr>
                      <w:rFonts w:hint="eastAsia" w:ascii="Times New Roman"/>
                      <w:b w:val="0"/>
                      <w:bCs/>
                      <w:color w:val="auto"/>
                      <w:sz w:val="21"/>
                      <w:szCs w:val="21"/>
                    </w:rPr>
                    <w:t>主要有毒有害物质</w:t>
                  </w:r>
                </w:p>
              </w:tc>
              <w:tc>
                <w:tcPr>
                  <w:tcW w:w="222" w:type="pct"/>
                  <w:noWrap w:val="0"/>
                  <w:vAlign w:val="center"/>
                </w:tcPr>
                <w:p w14:paraId="03AE8DBA">
                  <w:pPr>
                    <w:pStyle w:val="32"/>
                    <w:keepNext w:val="0"/>
                    <w:keepLines w:val="0"/>
                    <w:pageBreakBefore w:val="0"/>
                    <w:kinsoku/>
                    <w:wordWrap/>
                    <w:overflowPunct/>
                    <w:bidi w:val="0"/>
                    <w:spacing w:line="240" w:lineRule="auto"/>
                    <w:ind w:firstLine="0"/>
                    <w:jc w:val="center"/>
                    <w:rPr>
                      <w:rFonts w:hint="eastAsia" w:ascii="Times New Roman"/>
                      <w:b w:val="0"/>
                      <w:bCs/>
                      <w:color w:val="auto"/>
                      <w:sz w:val="21"/>
                      <w:szCs w:val="21"/>
                    </w:rPr>
                  </w:pPr>
                  <w:r>
                    <w:rPr>
                      <w:rFonts w:hint="eastAsia" w:ascii="Times New Roman"/>
                      <w:b w:val="0"/>
                      <w:bCs/>
                      <w:color w:val="auto"/>
                      <w:sz w:val="21"/>
                      <w:szCs w:val="21"/>
                    </w:rPr>
                    <w:t>物理性状</w:t>
                  </w:r>
                </w:p>
              </w:tc>
              <w:tc>
                <w:tcPr>
                  <w:tcW w:w="414" w:type="pct"/>
                  <w:noWrap w:val="0"/>
                  <w:vAlign w:val="center"/>
                </w:tcPr>
                <w:p w14:paraId="79051578">
                  <w:pPr>
                    <w:pStyle w:val="32"/>
                    <w:keepNext w:val="0"/>
                    <w:keepLines w:val="0"/>
                    <w:pageBreakBefore w:val="0"/>
                    <w:kinsoku/>
                    <w:wordWrap/>
                    <w:overflowPunct/>
                    <w:bidi w:val="0"/>
                    <w:spacing w:line="240" w:lineRule="auto"/>
                    <w:ind w:firstLine="0"/>
                    <w:jc w:val="center"/>
                    <w:rPr>
                      <w:rFonts w:hint="eastAsia" w:ascii="Times New Roman"/>
                      <w:b w:val="0"/>
                      <w:bCs/>
                      <w:color w:val="auto"/>
                      <w:sz w:val="21"/>
                      <w:szCs w:val="21"/>
                    </w:rPr>
                  </w:pPr>
                  <w:r>
                    <w:rPr>
                      <w:rFonts w:hint="eastAsia" w:ascii="Times New Roman"/>
                      <w:b w:val="0"/>
                      <w:bCs/>
                      <w:color w:val="auto"/>
                      <w:sz w:val="21"/>
                      <w:szCs w:val="21"/>
                    </w:rPr>
                    <w:t>环境</w:t>
                  </w:r>
                </w:p>
                <w:p w14:paraId="3991F5BE">
                  <w:pPr>
                    <w:pStyle w:val="32"/>
                    <w:keepNext w:val="0"/>
                    <w:keepLines w:val="0"/>
                    <w:pageBreakBefore w:val="0"/>
                    <w:kinsoku/>
                    <w:wordWrap/>
                    <w:overflowPunct/>
                    <w:bidi w:val="0"/>
                    <w:spacing w:line="240" w:lineRule="auto"/>
                    <w:ind w:firstLine="0"/>
                    <w:jc w:val="center"/>
                    <w:rPr>
                      <w:rFonts w:hint="eastAsia" w:ascii="Times New Roman"/>
                      <w:b w:val="0"/>
                      <w:bCs/>
                      <w:color w:val="auto"/>
                      <w:sz w:val="21"/>
                      <w:szCs w:val="21"/>
                    </w:rPr>
                  </w:pPr>
                  <w:r>
                    <w:rPr>
                      <w:rFonts w:hint="eastAsia" w:ascii="Times New Roman"/>
                      <w:b w:val="0"/>
                      <w:bCs/>
                      <w:color w:val="auto"/>
                      <w:sz w:val="21"/>
                      <w:szCs w:val="21"/>
                    </w:rPr>
                    <w:t>危险性</w:t>
                  </w:r>
                </w:p>
              </w:tc>
              <w:tc>
                <w:tcPr>
                  <w:tcW w:w="414" w:type="pct"/>
                  <w:noWrap w:val="0"/>
                  <w:vAlign w:val="center"/>
                </w:tcPr>
                <w:p w14:paraId="31F6739E">
                  <w:pPr>
                    <w:pStyle w:val="32"/>
                    <w:keepNext w:val="0"/>
                    <w:keepLines w:val="0"/>
                    <w:pageBreakBefore w:val="0"/>
                    <w:kinsoku/>
                    <w:wordWrap/>
                    <w:overflowPunct/>
                    <w:bidi w:val="0"/>
                    <w:spacing w:line="240" w:lineRule="auto"/>
                    <w:ind w:firstLine="0"/>
                    <w:jc w:val="center"/>
                    <w:rPr>
                      <w:rFonts w:hint="eastAsia" w:ascii="Times New Roman"/>
                      <w:b w:val="0"/>
                      <w:bCs/>
                      <w:color w:val="auto"/>
                      <w:sz w:val="21"/>
                      <w:szCs w:val="21"/>
                    </w:rPr>
                  </w:pPr>
                  <w:r>
                    <w:rPr>
                      <w:rFonts w:hint="eastAsia" w:ascii="Times New Roman"/>
                      <w:b w:val="0"/>
                      <w:bCs/>
                      <w:color w:val="auto"/>
                      <w:sz w:val="21"/>
                      <w:szCs w:val="21"/>
                    </w:rPr>
                    <w:t>产生量（t/a）</w:t>
                  </w:r>
                </w:p>
              </w:tc>
              <w:tc>
                <w:tcPr>
                  <w:tcW w:w="513" w:type="pct"/>
                  <w:noWrap w:val="0"/>
                  <w:vAlign w:val="center"/>
                </w:tcPr>
                <w:p w14:paraId="6F243236">
                  <w:pPr>
                    <w:pStyle w:val="32"/>
                    <w:keepNext w:val="0"/>
                    <w:keepLines w:val="0"/>
                    <w:pageBreakBefore w:val="0"/>
                    <w:kinsoku/>
                    <w:wordWrap/>
                    <w:overflowPunct/>
                    <w:bidi w:val="0"/>
                    <w:spacing w:line="240" w:lineRule="auto"/>
                    <w:ind w:firstLine="0"/>
                    <w:jc w:val="center"/>
                    <w:rPr>
                      <w:rFonts w:hint="eastAsia" w:ascii="Times New Roman"/>
                      <w:b w:val="0"/>
                      <w:bCs/>
                      <w:color w:val="auto"/>
                      <w:sz w:val="21"/>
                      <w:szCs w:val="21"/>
                    </w:rPr>
                  </w:pPr>
                  <w:r>
                    <w:rPr>
                      <w:rFonts w:hint="eastAsia" w:ascii="Times New Roman"/>
                      <w:b w:val="0"/>
                      <w:bCs/>
                      <w:color w:val="auto"/>
                      <w:sz w:val="21"/>
                      <w:szCs w:val="21"/>
                    </w:rPr>
                    <w:t>贮存方式</w:t>
                  </w:r>
                </w:p>
              </w:tc>
              <w:tc>
                <w:tcPr>
                  <w:tcW w:w="609" w:type="pct"/>
                  <w:noWrap w:val="0"/>
                  <w:vAlign w:val="center"/>
                </w:tcPr>
                <w:p w14:paraId="697108DF">
                  <w:pPr>
                    <w:pStyle w:val="32"/>
                    <w:keepNext w:val="0"/>
                    <w:keepLines w:val="0"/>
                    <w:pageBreakBefore w:val="0"/>
                    <w:kinsoku/>
                    <w:wordWrap/>
                    <w:overflowPunct/>
                    <w:bidi w:val="0"/>
                    <w:spacing w:line="240" w:lineRule="auto"/>
                    <w:ind w:firstLine="0"/>
                    <w:jc w:val="center"/>
                    <w:rPr>
                      <w:rFonts w:hint="eastAsia" w:ascii="Times New Roman"/>
                      <w:b w:val="0"/>
                      <w:bCs/>
                      <w:color w:val="auto"/>
                      <w:sz w:val="21"/>
                      <w:szCs w:val="21"/>
                    </w:rPr>
                  </w:pPr>
                  <w:r>
                    <w:rPr>
                      <w:rFonts w:hint="eastAsia" w:ascii="Times New Roman"/>
                      <w:b w:val="0"/>
                      <w:bCs/>
                      <w:color w:val="auto"/>
                      <w:sz w:val="21"/>
                      <w:szCs w:val="21"/>
                    </w:rPr>
                    <w:t>利用/处置方式</w:t>
                  </w:r>
                </w:p>
              </w:tc>
              <w:tc>
                <w:tcPr>
                  <w:tcW w:w="416" w:type="pct"/>
                  <w:noWrap w:val="0"/>
                  <w:vAlign w:val="center"/>
                </w:tcPr>
                <w:p w14:paraId="434F62B5">
                  <w:pPr>
                    <w:pStyle w:val="32"/>
                    <w:keepNext w:val="0"/>
                    <w:keepLines w:val="0"/>
                    <w:pageBreakBefore w:val="0"/>
                    <w:kinsoku/>
                    <w:wordWrap/>
                    <w:overflowPunct/>
                    <w:bidi w:val="0"/>
                    <w:spacing w:line="240" w:lineRule="auto"/>
                    <w:ind w:firstLine="0"/>
                    <w:jc w:val="center"/>
                    <w:rPr>
                      <w:rFonts w:hint="eastAsia" w:ascii="Times New Roman"/>
                      <w:b w:val="0"/>
                      <w:bCs/>
                      <w:color w:val="auto"/>
                      <w:sz w:val="21"/>
                      <w:szCs w:val="21"/>
                    </w:rPr>
                  </w:pPr>
                  <w:r>
                    <w:rPr>
                      <w:rFonts w:hint="eastAsia" w:ascii="Times New Roman"/>
                      <w:b w:val="0"/>
                      <w:bCs/>
                      <w:color w:val="auto"/>
                      <w:sz w:val="21"/>
                      <w:szCs w:val="21"/>
                    </w:rPr>
                    <w:t>利用/处置量（t/a）</w:t>
                  </w:r>
                </w:p>
              </w:tc>
            </w:tr>
            <w:tr w14:paraId="7F7CF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3" w:type="pct"/>
                  <w:noWrap w:val="0"/>
                  <w:vAlign w:val="center"/>
                </w:tcPr>
                <w:p w14:paraId="6618B148">
                  <w:pPr>
                    <w:pStyle w:val="32"/>
                    <w:keepNext w:val="0"/>
                    <w:keepLines w:val="0"/>
                    <w:pageBreakBefore w:val="0"/>
                    <w:kinsoku/>
                    <w:wordWrap/>
                    <w:overflowPunct/>
                    <w:bidi w:val="0"/>
                    <w:spacing w:line="240" w:lineRule="auto"/>
                    <w:ind w:firstLine="0"/>
                    <w:jc w:val="center"/>
                    <w:rPr>
                      <w:rFonts w:ascii="Times New Roman"/>
                      <w:b w:val="0"/>
                      <w:bCs/>
                      <w:color w:val="auto"/>
                      <w:sz w:val="21"/>
                      <w:szCs w:val="21"/>
                    </w:rPr>
                  </w:pPr>
                  <w:r>
                    <w:rPr>
                      <w:rFonts w:hint="eastAsia" w:ascii="Times New Roman"/>
                      <w:b w:val="0"/>
                      <w:bCs/>
                      <w:color w:val="auto"/>
                      <w:sz w:val="21"/>
                      <w:szCs w:val="21"/>
                    </w:rPr>
                    <w:t>1</w:t>
                  </w:r>
                </w:p>
              </w:tc>
              <w:tc>
                <w:tcPr>
                  <w:tcW w:w="409" w:type="pct"/>
                  <w:noWrap w:val="0"/>
                  <w:vAlign w:val="center"/>
                </w:tcPr>
                <w:p w14:paraId="6C2C54DA">
                  <w:pPr>
                    <w:keepNext w:val="0"/>
                    <w:keepLines w:val="0"/>
                    <w:pageBreakBefore w:val="0"/>
                    <w:widowControl/>
                    <w:kinsoku/>
                    <w:wordWrap/>
                    <w:overflowPunct/>
                    <w:bidi w:val="0"/>
                    <w:spacing w:line="240" w:lineRule="auto"/>
                    <w:jc w:val="center"/>
                    <w:textAlignment w:val="center"/>
                    <w:rPr>
                      <w:rFonts w:hint="default" w:ascii="Times New Roman" w:hAnsi="Times New Roman" w:eastAsia="宋体"/>
                      <w:b w:val="0"/>
                      <w:bCs/>
                      <w:color w:val="auto"/>
                      <w:sz w:val="21"/>
                      <w:szCs w:val="21"/>
                      <w:lang w:val="en-US" w:eastAsia="zh-CN"/>
                    </w:rPr>
                  </w:pPr>
                  <w:r>
                    <w:rPr>
                      <w:rFonts w:hint="eastAsia" w:ascii="Times New Roman" w:cs="Times New Roman"/>
                      <w:b w:val="0"/>
                      <w:bCs/>
                      <w:color w:val="auto"/>
                      <w:sz w:val="21"/>
                      <w:szCs w:val="21"/>
                      <w:lang w:val="en-US" w:eastAsia="zh-CN"/>
                    </w:rPr>
                    <w:t>拆包、包装</w:t>
                  </w:r>
                </w:p>
              </w:tc>
              <w:tc>
                <w:tcPr>
                  <w:tcW w:w="401" w:type="pct"/>
                  <w:noWrap w:val="0"/>
                  <w:vAlign w:val="center"/>
                </w:tcPr>
                <w:p w14:paraId="0006C5BF">
                  <w:pPr>
                    <w:keepNext w:val="0"/>
                    <w:keepLines w:val="0"/>
                    <w:pageBreakBefore w:val="0"/>
                    <w:widowControl/>
                    <w:kinsoku/>
                    <w:wordWrap/>
                    <w:overflowPunct/>
                    <w:bidi w:val="0"/>
                    <w:spacing w:line="240" w:lineRule="auto"/>
                    <w:jc w:val="center"/>
                    <w:textAlignment w:val="center"/>
                    <w:rPr>
                      <w:rFonts w:hint="eastAsia" w:ascii="Times New Roman" w:hAnsi="Times New Roman"/>
                      <w:b w:val="0"/>
                      <w:bCs/>
                      <w:color w:val="auto"/>
                      <w:sz w:val="21"/>
                      <w:szCs w:val="21"/>
                    </w:rPr>
                  </w:pPr>
                  <w:r>
                    <w:rPr>
                      <w:rFonts w:hint="eastAsia" w:ascii="Times New Roman" w:hAnsi="Times New Roman"/>
                      <w:b w:val="0"/>
                      <w:bCs/>
                      <w:color w:val="auto"/>
                      <w:sz w:val="21"/>
                      <w:szCs w:val="21"/>
                      <w:lang w:eastAsia="zh-CN"/>
                    </w:rPr>
                    <w:t>废</w:t>
                  </w:r>
                  <w:r>
                    <w:rPr>
                      <w:rFonts w:hint="eastAsia" w:ascii="Times New Roman" w:hAnsi="Times New Roman"/>
                      <w:b w:val="0"/>
                      <w:bCs/>
                      <w:color w:val="auto"/>
                      <w:sz w:val="21"/>
                      <w:szCs w:val="21"/>
                      <w:lang w:val="en-US" w:eastAsia="zh-CN"/>
                    </w:rPr>
                    <w:t>包装材料</w:t>
                  </w:r>
                </w:p>
              </w:tc>
              <w:tc>
                <w:tcPr>
                  <w:tcW w:w="414" w:type="pct"/>
                  <w:vMerge w:val="restart"/>
                  <w:noWrap w:val="0"/>
                  <w:vAlign w:val="center"/>
                </w:tcPr>
                <w:p w14:paraId="2D6AD446">
                  <w:pPr>
                    <w:pStyle w:val="32"/>
                    <w:keepNext w:val="0"/>
                    <w:keepLines w:val="0"/>
                    <w:pageBreakBefore w:val="0"/>
                    <w:kinsoku/>
                    <w:wordWrap/>
                    <w:overflowPunct/>
                    <w:bidi w:val="0"/>
                    <w:spacing w:line="240" w:lineRule="auto"/>
                    <w:ind w:firstLine="0"/>
                    <w:jc w:val="center"/>
                    <w:rPr>
                      <w:rFonts w:hint="eastAsia" w:ascii="Times New Roman"/>
                      <w:b w:val="0"/>
                      <w:bCs/>
                      <w:color w:val="auto"/>
                      <w:sz w:val="21"/>
                      <w:szCs w:val="21"/>
                    </w:rPr>
                  </w:pPr>
                  <w:r>
                    <w:rPr>
                      <w:rFonts w:hint="eastAsia" w:ascii="Times New Roman"/>
                      <w:b w:val="0"/>
                      <w:bCs/>
                      <w:color w:val="auto"/>
                      <w:sz w:val="21"/>
                      <w:szCs w:val="21"/>
                    </w:rPr>
                    <w:t>一般工业固废</w:t>
                  </w:r>
                </w:p>
              </w:tc>
              <w:tc>
                <w:tcPr>
                  <w:tcW w:w="528" w:type="pct"/>
                  <w:shd w:val="clear" w:color="auto" w:fill="auto"/>
                  <w:noWrap w:val="0"/>
                  <w:vAlign w:val="center"/>
                </w:tcPr>
                <w:p w14:paraId="1F638805">
                  <w:pPr>
                    <w:pStyle w:val="32"/>
                    <w:keepNext w:val="0"/>
                    <w:keepLines w:val="0"/>
                    <w:pageBreakBefore w:val="0"/>
                    <w:kinsoku/>
                    <w:wordWrap/>
                    <w:overflowPunct/>
                    <w:bidi w:val="0"/>
                    <w:spacing w:line="240" w:lineRule="auto"/>
                    <w:ind w:left="-48" w:leftChars="-20" w:right="-48" w:rightChars="-20" w:firstLine="0" w:firstLineChars="0"/>
                    <w:jc w:val="center"/>
                    <w:rPr>
                      <w:rFonts w:hint="eastAsia" w:ascii="Times New Roman" w:hAnsi="Times New Roman" w:eastAsia="宋体" w:cs="宋体"/>
                      <w:b w:val="0"/>
                      <w:bCs/>
                      <w:color w:val="auto"/>
                      <w:kern w:val="2"/>
                      <w:sz w:val="21"/>
                      <w:szCs w:val="21"/>
                      <w:lang w:val="en-US" w:eastAsia="zh-CN" w:bidi="ar-SA"/>
                    </w:rPr>
                  </w:pPr>
                  <w:r>
                    <w:rPr>
                      <w:rFonts w:hint="eastAsia" w:ascii="Times New Roman"/>
                      <w:b w:val="0"/>
                      <w:bCs/>
                      <w:color w:val="auto"/>
                      <w:sz w:val="21"/>
                      <w:szCs w:val="21"/>
                      <w:lang w:val="en-US" w:eastAsia="zh-CN"/>
                    </w:rPr>
                    <w:t>900-999-99</w:t>
                  </w:r>
                </w:p>
              </w:tc>
              <w:tc>
                <w:tcPr>
                  <w:tcW w:w="419" w:type="pct"/>
                  <w:shd w:val="clear" w:color="auto" w:fill="auto"/>
                  <w:noWrap w:val="0"/>
                  <w:vAlign w:val="center"/>
                </w:tcPr>
                <w:p w14:paraId="683F9174">
                  <w:pPr>
                    <w:keepNext w:val="0"/>
                    <w:keepLines w:val="0"/>
                    <w:pageBreakBefore w:val="0"/>
                    <w:kinsoku/>
                    <w:wordWrap/>
                    <w:overflowPunct/>
                    <w:bidi w:val="0"/>
                    <w:spacing w:line="240" w:lineRule="auto"/>
                    <w:ind w:firstLine="0" w:firstLineChars="0"/>
                    <w:jc w:val="center"/>
                    <w:rPr>
                      <w:rFonts w:hint="eastAsia" w:ascii="Times New Roman" w:hAnsi="Times New Roman" w:eastAsia="宋体" w:cs="宋体"/>
                      <w:b w:val="0"/>
                      <w:bCs/>
                      <w:color w:val="auto"/>
                      <w:kern w:val="2"/>
                      <w:sz w:val="21"/>
                      <w:szCs w:val="21"/>
                      <w:lang w:val="en-US" w:eastAsia="zh-CN" w:bidi="ar-SA"/>
                    </w:rPr>
                  </w:pPr>
                  <w:r>
                    <w:rPr>
                      <w:rFonts w:hint="eastAsia" w:ascii="Times New Roman"/>
                      <w:b w:val="0"/>
                      <w:bCs/>
                      <w:color w:val="auto"/>
                      <w:sz w:val="21"/>
                      <w:szCs w:val="21"/>
                      <w:lang w:val="en-US" w:eastAsia="zh-CN"/>
                    </w:rPr>
                    <w:t>/</w:t>
                  </w:r>
                </w:p>
              </w:tc>
              <w:tc>
                <w:tcPr>
                  <w:tcW w:w="222" w:type="pct"/>
                  <w:shd w:val="clear" w:color="auto" w:fill="auto"/>
                  <w:noWrap w:val="0"/>
                  <w:vAlign w:val="center"/>
                </w:tcPr>
                <w:p w14:paraId="0B7E9FC3">
                  <w:pPr>
                    <w:pStyle w:val="32"/>
                    <w:keepNext w:val="0"/>
                    <w:keepLines w:val="0"/>
                    <w:pageBreakBefore w:val="0"/>
                    <w:kinsoku/>
                    <w:wordWrap/>
                    <w:overflowPunct/>
                    <w:bidi w:val="0"/>
                    <w:spacing w:line="240" w:lineRule="auto"/>
                    <w:ind w:firstLine="0" w:firstLineChars="0"/>
                    <w:jc w:val="center"/>
                    <w:rPr>
                      <w:rFonts w:hint="eastAsia" w:ascii="Times New Roman" w:hAnsi="Times New Roman" w:eastAsia="宋体" w:cs="宋体"/>
                      <w:b w:val="0"/>
                      <w:bCs/>
                      <w:color w:val="auto"/>
                      <w:kern w:val="2"/>
                      <w:sz w:val="21"/>
                      <w:szCs w:val="21"/>
                      <w:lang w:val="en-US" w:eastAsia="zh-CN" w:bidi="ar-SA"/>
                    </w:rPr>
                  </w:pPr>
                  <w:r>
                    <w:rPr>
                      <w:rFonts w:hint="eastAsia" w:ascii="Times New Roman"/>
                      <w:b w:val="0"/>
                      <w:bCs/>
                      <w:color w:val="auto"/>
                      <w:sz w:val="21"/>
                      <w:szCs w:val="21"/>
                    </w:rPr>
                    <w:t>固态</w:t>
                  </w:r>
                </w:p>
              </w:tc>
              <w:tc>
                <w:tcPr>
                  <w:tcW w:w="414" w:type="pct"/>
                  <w:shd w:val="clear" w:color="auto" w:fill="auto"/>
                  <w:noWrap w:val="0"/>
                  <w:vAlign w:val="center"/>
                </w:tcPr>
                <w:p w14:paraId="66A2AA0C">
                  <w:pPr>
                    <w:keepNext w:val="0"/>
                    <w:keepLines w:val="0"/>
                    <w:pageBreakBefore w:val="0"/>
                    <w:kinsoku/>
                    <w:wordWrap/>
                    <w:overflowPunct/>
                    <w:bidi w:val="0"/>
                    <w:spacing w:line="240" w:lineRule="auto"/>
                    <w:ind w:firstLine="0" w:firstLineChars="0"/>
                    <w:jc w:val="center"/>
                    <w:rPr>
                      <w:rFonts w:hint="eastAsia" w:ascii="Times New Roman" w:hAnsi="Times New Roman" w:eastAsia="宋体" w:cs="宋体"/>
                      <w:b w:val="0"/>
                      <w:bCs/>
                      <w:color w:val="auto"/>
                      <w:kern w:val="2"/>
                      <w:sz w:val="21"/>
                      <w:szCs w:val="21"/>
                      <w:lang w:val="en-US" w:eastAsia="zh-CN" w:bidi="ar-SA"/>
                    </w:rPr>
                  </w:pPr>
                  <w:r>
                    <w:rPr>
                      <w:rFonts w:hint="eastAsia" w:ascii="Times New Roman"/>
                      <w:b w:val="0"/>
                      <w:bCs/>
                      <w:color w:val="auto"/>
                      <w:sz w:val="21"/>
                      <w:szCs w:val="21"/>
                      <w:lang w:val="en-US" w:eastAsia="zh-CN"/>
                    </w:rPr>
                    <w:t>/</w:t>
                  </w:r>
                </w:p>
              </w:tc>
              <w:tc>
                <w:tcPr>
                  <w:tcW w:w="414" w:type="pct"/>
                  <w:shd w:val="clear" w:color="auto" w:fill="auto"/>
                  <w:noWrap w:val="0"/>
                  <w:vAlign w:val="center"/>
                </w:tcPr>
                <w:p w14:paraId="03009AD9">
                  <w:pPr>
                    <w:pStyle w:val="67"/>
                    <w:keepNext w:val="0"/>
                    <w:keepLines w:val="0"/>
                    <w:pageBreakBefore w:val="0"/>
                    <w:kinsoku/>
                    <w:wordWrap/>
                    <w:overflowPunct/>
                    <w:bidi w:val="0"/>
                    <w:spacing w:line="240" w:lineRule="auto"/>
                    <w:rPr>
                      <w:rFonts w:hint="default" w:ascii="Times New Roman" w:hAnsi="Times New Roman" w:eastAsia="宋体" w:cs="Times New Roman"/>
                      <w:b w:val="0"/>
                      <w:bCs/>
                      <w:color w:val="auto"/>
                      <w:kern w:val="0"/>
                      <w:sz w:val="21"/>
                      <w:szCs w:val="21"/>
                      <w:lang w:val="en-US" w:eastAsia="zh-CN" w:bidi="ar-SA"/>
                    </w:rPr>
                  </w:pPr>
                  <w:r>
                    <w:rPr>
                      <w:rFonts w:hint="eastAsia" w:ascii="Times New Roman" w:hAnsi="Times New Roman" w:eastAsia="宋体" w:cs="Times New Roman"/>
                      <w:b w:val="0"/>
                      <w:bCs/>
                      <w:color w:val="auto"/>
                      <w:kern w:val="0"/>
                      <w:sz w:val="21"/>
                      <w:szCs w:val="21"/>
                      <w:lang w:val="en-US" w:eastAsia="zh-CN" w:bidi="ar-SA"/>
                    </w:rPr>
                    <w:t>12.04</w:t>
                  </w:r>
                </w:p>
              </w:tc>
              <w:tc>
                <w:tcPr>
                  <w:tcW w:w="513" w:type="pct"/>
                  <w:vMerge w:val="restart"/>
                  <w:noWrap w:val="0"/>
                  <w:vAlign w:val="center"/>
                </w:tcPr>
                <w:p w14:paraId="62D0B2EA">
                  <w:pPr>
                    <w:pStyle w:val="32"/>
                    <w:keepNext w:val="0"/>
                    <w:keepLines w:val="0"/>
                    <w:pageBreakBefore w:val="0"/>
                    <w:kinsoku/>
                    <w:wordWrap/>
                    <w:overflowPunct/>
                    <w:bidi w:val="0"/>
                    <w:spacing w:line="240" w:lineRule="auto"/>
                    <w:ind w:firstLine="0"/>
                    <w:jc w:val="center"/>
                    <w:rPr>
                      <w:rFonts w:hint="eastAsia" w:ascii="Times New Roman"/>
                      <w:b w:val="0"/>
                      <w:bCs/>
                      <w:color w:val="auto"/>
                      <w:sz w:val="21"/>
                      <w:szCs w:val="21"/>
                      <w:lang w:eastAsia="zh-CN"/>
                    </w:rPr>
                  </w:pPr>
                  <w:r>
                    <w:rPr>
                      <w:rFonts w:hint="eastAsia" w:ascii="Times New Roman"/>
                      <w:b w:val="0"/>
                      <w:bCs/>
                      <w:color w:val="auto"/>
                      <w:sz w:val="21"/>
                      <w:szCs w:val="21"/>
                      <w:lang w:eastAsia="zh-CN"/>
                    </w:rPr>
                    <w:t>一般固废暂存间内暂存</w:t>
                  </w:r>
                </w:p>
              </w:tc>
              <w:tc>
                <w:tcPr>
                  <w:tcW w:w="609" w:type="pct"/>
                  <w:noWrap w:val="0"/>
                  <w:vAlign w:val="center"/>
                </w:tcPr>
                <w:p w14:paraId="77B2FF10">
                  <w:pPr>
                    <w:pStyle w:val="32"/>
                    <w:keepNext w:val="0"/>
                    <w:keepLines w:val="0"/>
                    <w:pageBreakBefore w:val="0"/>
                    <w:kinsoku/>
                    <w:wordWrap/>
                    <w:overflowPunct/>
                    <w:bidi w:val="0"/>
                    <w:spacing w:line="240" w:lineRule="auto"/>
                    <w:ind w:firstLine="0"/>
                    <w:jc w:val="center"/>
                    <w:rPr>
                      <w:rFonts w:hint="eastAsia" w:ascii="Times New Roman"/>
                      <w:b w:val="0"/>
                      <w:bCs/>
                      <w:color w:val="auto"/>
                      <w:sz w:val="21"/>
                      <w:szCs w:val="21"/>
                    </w:rPr>
                  </w:pPr>
                  <w:r>
                    <w:rPr>
                      <w:rFonts w:hint="eastAsia" w:ascii="Times New Roman"/>
                      <w:b w:val="0"/>
                      <w:bCs/>
                      <w:color w:val="auto"/>
                      <w:sz w:val="21"/>
                      <w:szCs w:val="21"/>
                    </w:rPr>
                    <w:t>定期</w:t>
                  </w:r>
                  <w:r>
                    <w:rPr>
                      <w:rFonts w:hint="eastAsia" w:ascii="Times New Roman"/>
                      <w:b w:val="0"/>
                      <w:bCs/>
                      <w:color w:val="auto"/>
                      <w:sz w:val="21"/>
                      <w:szCs w:val="21"/>
                      <w:lang w:eastAsia="zh-CN"/>
                    </w:rPr>
                    <w:t>外售综合利用</w:t>
                  </w:r>
                </w:p>
              </w:tc>
              <w:tc>
                <w:tcPr>
                  <w:tcW w:w="416" w:type="pct"/>
                  <w:noWrap w:val="0"/>
                  <w:vAlign w:val="center"/>
                </w:tcPr>
                <w:p w14:paraId="52EA3E5B">
                  <w:pPr>
                    <w:pStyle w:val="67"/>
                    <w:keepNext w:val="0"/>
                    <w:keepLines w:val="0"/>
                    <w:pageBreakBefore w:val="0"/>
                    <w:kinsoku/>
                    <w:wordWrap/>
                    <w:overflowPunct/>
                    <w:bidi w:val="0"/>
                    <w:spacing w:line="240" w:lineRule="auto"/>
                    <w:rPr>
                      <w:rFonts w:hint="default" w:ascii="Times New Roman" w:hAnsi="Times New Roman"/>
                      <w:b w:val="0"/>
                      <w:bCs/>
                      <w:color w:val="auto"/>
                      <w:kern w:val="0"/>
                      <w:sz w:val="21"/>
                      <w:szCs w:val="21"/>
                      <w:lang w:val="en-US" w:eastAsia="zh-CN" w:bidi="ar-SA"/>
                    </w:rPr>
                  </w:pPr>
                  <w:r>
                    <w:rPr>
                      <w:rFonts w:hint="eastAsia"/>
                      <w:b w:val="0"/>
                      <w:bCs/>
                      <w:color w:val="auto"/>
                      <w:kern w:val="0"/>
                      <w:sz w:val="21"/>
                      <w:szCs w:val="21"/>
                      <w:lang w:val="en-US" w:eastAsia="zh-CN" w:bidi="ar-SA"/>
                    </w:rPr>
                    <w:t>12.04</w:t>
                  </w:r>
                </w:p>
              </w:tc>
            </w:tr>
            <w:tr w14:paraId="28847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3" w:type="pct"/>
                  <w:noWrap w:val="0"/>
                  <w:vAlign w:val="center"/>
                </w:tcPr>
                <w:p w14:paraId="45DCA79B">
                  <w:pPr>
                    <w:pStyle w:val="32"/>
                    <w:keepNext w:val="0"/>
                    <w:keepLines w:val="0"/>
                    <w:pageBreakBefore w:val="0"/>
                    <w:kinsoku/>
                    <w:wordWrap/>
                    <w:overflowPunct/>
                    <w:bidi w:val="0"/>
                    <w:spacing w:line="240" w:lineRule="auto"/>
                    <w:ind w:firstLine="0" w:firstLineChars="0"/>
                    <w:jc w:val="center"/>
                    <w:rPr>
                      <w:rFonts w:hint="default" w:ascii="Times New Roman" w:hAnsi="宋体"/>
                      <w:b w:val="0"/>
                      <w:bCs/>
                      <w:color w:val="auto"/>
                      <w:kern w:val="2"/>
                      <w:sz w:val="21"/>
                      <w:szCs w:val="21"/>
                      <w:lang w:val="en-US" w:eastAsia="zh-CN" w:bidi="ar-SA"/>
                    </w:rPr>
                  </w:pPr>
                  <w:r>
                    <w:rPr>
                      <w:rFonts w:hint="eastAsia" w:ascii="Times New Roman"/>
                      <w:b w:val="0"/>
                      <w:bCs/>
                      <w:color w:val="auto"/>
                      <w:kern w:val="2"/>
                      <w:sz w:val="21"/>
                      <w:szCs w:val="21"/>
                      <w:lang w:val="en-US" w:eastAsia="zh-CN" w:bidi="ar-SA"/>
                    </w:rPr>
                    <w:t>2</w:t>
                  </w:r>
                </w:p>
              </w:tc>
              <w:tc>
                <w:tcPr>
                  <w:tcW w:w="409" w:type="pct"/>
                  <w:shd w:val="clear" w:color="auto" w:fill="auto"/>
                  <w:noWrap w:val="0"/>
                  <w:vAlign w:val="center"/>
                </w:tcPr>
                <w:p w14:paraId="6C5FE1DB">
                  <w:pPr>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rPr>
                    <w:t>废气处理</w:t>
                  </w:r>
                </w:p>
              </w:tc>
              <w:tc>
                <w:tcPr>
                  <w:tcW w:w="401" w:type="pct"/>
                  <w:shd w:val="clear" w:color="auto" w:fill="auto"/>
                  <w:noWrap w:val="0"/>
                  <w:vAlign w:val="center"/>
                </w:tcPr>
                <w:p w14:paraId="6CA06DDC">
                  <w:pPr>
                    <w:keepNext w:val="0"/>
                    <w:keepLines w:val="0"/>
                    <w:pageBreakBefore w:val="0"/>
                    <w:widowControl w:val="0"/>
                    <w:suppressLineNumbers w:val="0"/>
                    <w:kinsoku/>
                    <w:wordWrap/>
                    <w:overflowPunct/>
                    <w:topLinePunct/>
                    <w:autoSpaceDE/>
                    <w:autoSpaceDN/>
                    <w:bidi w:val="0"/>
                    <w:adjustRightInd/>
                    <w:snapToGrid w:val="0"/>
                    <w:spacing w:before="0" w:beforeAutospacing="0" w:after="0" w:afterAutospacing="0" w:line="240" w:lineRule="atLeast"/>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rPr>
                    <w:t>收尘器收集的粉尘</w:t>
                  </w:r>
                </w:p>
              </w:tc>
              <w:tc>
                <w:tcPr>
                  <w:tcW w:w="414" w:type="pct"/>
                  <w:vMerge w:val="continue"/>
                  <w:noWrap w:val="0"/>
                  <w:vAlign w:val="center"/>
                </w:tcPr>
                <w:p w14:paraId="5A04AB19">
                  <w:pPr>
                    <w:pStyle w:val="32"/>
                    <w:keepNext w:val="0"/>
                    <w:keepLines w:val="0"/>
                    <w:pageBreakBefore w:val="0"/>
                    <w:kinsoku/>
                    <w:wordWrap/>
                    <w:overflowPunct/>
                    <w:bidi w:val="0"/>
                    <w:spacing w:line="240" w:lineRule="auto"/>
                    <w:ind w:firstLine="0"/>
                    <w:jc w:val="center"/>
                    <w:rPr>
                      <w:rFonts w:hint="eastAsia" w:ascii="Times New Roman"/>
                      <w:b w:val="0"/>
                      <w:bCs/>
                      <w:color w:val="auto"/>
                      <w:sz w:val="21"/>
                      <w:szCs w:val="21"/>
                    </w:rPr>
                  </w:pPr>
                </w:p>
              </w:tc>
              <w:tc>
                <w:tcPr>
                  <w:tcW w:w="528" w:type="pct"/>
                  <w:noWrap w:val="0"/>
                  <w:vAlign w:val="center"/>
                </w:tcPr>
                <w:p w14:paraId="14F538DE">
                  <w:pPr>
                    <w:pStyle w:val="32"/>
                    <w:keepNext w:val="0"/>
                    <w:keepLines w:val="0"/>
                    <w:pageBreakBefore w:val="0"/>
                    <w:kinsoku/>
                    <w:wordWrap/>
                    <w:overflowPunct/>
                    <w:bidi w:val="0"/>
                    <w:spacing w:line="240" w:lineRule="auto"/>
                    <w:ind w:left="-48" w:leftChars="-20" w:right="-48" w:rightChars="-20" w:firstLine="0" w:firstLineChars="0"/>
                    <w:jc w:val="center"/>
                    <w:rPr>
                      <w:rFonts w:hint="eastAsia" w:ascii="Times New Roman"/>
                      <w:b w:val="0"/>
                      <w:bCs/>
                      <w:color w:val="auto"/>
                      <w:sz w:val="21"/>
                      <w:szCs w:val="21"/>
                      <w:lang w:val="en-US" w:eastAsia="zh-CN"/>
                    </w:rPr>
                  </w:pPr>
                  <w:r>
                    <w:rPr>
                      <w:rFonts w:hint="default" w:ascii="Times New Roman" w:hAnsi="Times New Roman" w:cs="Times New Roman"/>
                      <w:sz w:val="21"/>
                      <w:szCs w:val="21"/>
                      <w:lang w:val="en-US" w:eastAsia="zh-CN"/>
                    </w:rPr>
                    <w:t>900-999-66</w:t>
                  </w:r>
                </w:p>
              </w:tc>
              <w:tc>
                <w:tcPr>
                  <w:tcW w:w="419" w:type="pct"/>
                  <w:noWrap w:val="0"/>
                  <w:vAlign w:val="center"/>
                </w:tcPr>
                <w:p w14:paraId="3EAA1D86">
                  <w:pPr>
                    <w:keepNext w:val="0"/>
                    <w:keepLines w:val="0"/>
                    <w:pageBreakBefore w:val="0"/>
                    <w:kinsoku/>
                    <w:wordWrap/>
                    <w:overflowPunct/>
                    <w:bidi w:val="0"/>
                    <w:spacing w:line="240" w:lineRule="auto"/>
                    <w:ind w:firstLine="0" w:firstLineChars="0"/>
                    <w:jc w:val="center"/>
                    <w:rPr>
                      <w:rFonts w:hint="eastAsia" w:ascii="Times New Roman"/>
                      <w:b w:val="0"/>
                      <w:bCs/>
                      <w:color w:val="auto"/>
                      <w:sz w:val="21"/>
                      <w:szCs w:val="21"/>
                    </w:rPr>
                  </w:pPr>
                  <w:r>
                    <w:rPr>
                      <w:rFonts w:hint="eastAsia" w:ascii="Times New Roman"/>
                      <w:b w:val="0"/>
                      <w:bCs/>
                      <w:color w:val="auto"/>
                      <w:sz w:val="21"/>
                      <w:szCs w:val="21"/>
                      <w:lang w:val="en-US" w:eastAsia="zh-CN"/>
                    </w:rPr>
                    <w:t>/</w:t>
                  </w:r>
                </w:p>
              </w:tc>
              <w:tc>
                <w:tcPr>
                  <w:tcW w:w="222" w:type="pct"/>
                  <w:noWrap w:val="0"/>
                  <w:vAlign w:val="center"/>
                </w:tcPr>
                <w:p w14:paraId="4EE6D3A8">
                  <w:pPr>
                    <w:pStyle w:val="32"/>
                    <w:keepNext w:val="0"/>
                    <w:keepLines w:val="0"/>
                    <w:pageBreakBefore w:val="0"/>
                    <w:kinsoku/>
                    <w:wordWrap/>
                    <w:overflowPunct/>
                    <w:bidi w:val="0"/>
                    <w:spacing w:line="240" w:lineRule="auto"/>
                    <w:ind w:firstLine="0" w:firstLineChars="0"/>
                    <w:jc w:val="center"/>
                    <w:rPr>
                      <w:rFonts w:hint="eastAsia" w:ascii="Times New Roman"/>
                      <w:b w:val="0"/>
                      <w:bCs/>
                      <w:color w:val="auto"/>
                      <w:sz w:val="21"/>
                      <w:szCs w:val="21"/>
                    </w:rPr>
                  </w:pPr>
                  <w:r>
                    <w:rPr>
                      <w:rFonts w:hint="eastAsia" w:ascii="Times New Roman"/>
                      <w:b w:val="0"/>
                      <w:bCs/>
                      <w:color w:val="auto"/>
                      <w:sz w:val="21"/>
                      <w:szCs w:val="21"/>
                    </w:rPr>
                    <w:t>固态</w:t>
                  </w:r>
                </w:p>
              </w:tc>
              <w:tc>
                <w:tcPr>
                  <w:tcW w:w="414" w:type="pct"/>
                  <w:noWrap w:val="0"/>
                  <w:vAlign w:val="center"/>
                </w:tcPr>
                <w:p w14:paraId="61F6D8BB">
                  <w:pPr>
                    <w:keepNext w:val="0"/>
                    <w:keepLines w:val="0"/>
                    <w:pageBreakBefore w:val="0"/>
                    <w:kinsoku/>
                    <w:wordWrap/>
                    <w:overflowPunct/>
                    <w:bidi w:val="0"/>
                    <w:spacing w:line="240" w:lineRule="auto"/>
                    <w:ind w:firstLine="0" w:firstLineChars="0"/>
                    <w:jc w:val="center"/>
                    <w:rPr>
                      <w:rFonts w:hint="eastAsia" w:ascii="Times New Roman"/>
                      <w:b w:val="0"/>
                      <w:bCs/>
                      <w:color w:val="auto"/>
                      <w:sz w:val="21"/>
                      <w:szCs w:val="21"/>
                    </w:rPr>
                  </w:pPr>
                  <w:r>
                    <w:rPr>
                      <w:rFonts w:hint="eastAsia" w:ascii="Times New Roman"/>
                      <w:b w:val="0"/>
                      <w:bCs/>
                      <w:color w:val="auto"/>
                      <w:sz w:val="21"/>
                      <w:szCs w:val="21"/>
                      <w:lang w:val="en-US" w:eastAsia="zh-CN"/>
                    </w:rPr>
                    <w:t>/</w:t>
                  </w:r>
                </w:p>
              </w:tc>
              <w:tc>
                <w:tcPr>
                  <w:tcW w:w="414" w:type="pct"/>
                  <w:noWrap w:val="0"/>
                  <w:vAlign w:val="center"/>
                </w:tcPr>
                <w:p w14:paraId="140D934F">
                  <w:pPr>
                    <w:pStyle w:val="67"/>
                    <w:keepNext w:val="0"/>
                    <w:keepLines w:val="0"/>
                    <w:pageBreakBefore w:val="0"/>
                    <w:kinsoku/>
                    <w:wordWrap/>
                    <w:overflowPunct/>
                    <w:bidi w:val="0"/>
                    <w:spacing w:line="240" w:lineRule="auto"/>
                    <w:rPr>
                      <w:rFonts w:hint="default" w:ascii="Times New Roman" w:hAnsi="Times New Roman"/>
                      <w:b w:val="0"/>
                      <w:bCs/>
                      <w:color w:val="auto"/>
                      <w:sz w:val="21"/>
                      <w:szCs w:val="21"/>
                      <w:lang w:val="en-US" w:eastAsia="zh-CN"/>
                    </w:rPr>
                  </w:pPr>
                  <w:r>
                    <w:rPr>
                      <w:rFonts w:hint="eastAsia"/>
                      <w:b w:val="0"/>
                      <w:bCs/>
                      <w:color w:val="auto"/>
                      <w:sz w:val="21"/>
                      <w:szCs w:val="21"/>
                      <w:lang w:val="en-US" w:eastAsia="zh-CN"/>
                    </w:rPr>
                    <w:t>1.07</w:t>
                  </w:r>
                </w:p>
              </w:tc>
              <w:tc>
                <w:tcPr>
                  <w:tcW w:w="513" w:type="pct"/>
                  <w:vMerge w:val="continue"/>
                  <w:noWrap w:val="0"/>
                  <w:vAlign w:val="center"/>
                </w:tcPr>
                <w:p w14:paraId="3FFE13EF">
                  <w:pPr>
                    <w:pStyle w:val="32"/>
                    <w:keepNext w:val="0"/>
                    <w:keepLines w:val="0"/>
                    <w:pageBreakBefore w:val="0"/>
                    <w:kinsoku/>
                    <w:wordWrap/>
                    <w:overflowPunct/>
                    <w:bidi w:val="0"/>
                    <w:spacing w:line="240" w:lineRule="auto"/>
                    <w:ind w:firstLine="0"/>
                    <w:jc w:val="center"/>
                    <w:rPr>
                      <w:rFonts w:hint="eastAsia" w:ascii="Times New Roman"/>
                      <w:b w:val="0"/>
                      <w:bCs/>
                      <w:color w:val="auto"/>
                      <w:sz w:val="21"/>
                      <w:szCs w:val="21"/>
                      <w:lang w:eastAsia="zh-CN"/>
                    </w:rPr>
                  </w:pPr>
                </w:p>
              </w:tc>
              <w:tc>
                <w:tcPr>
                  <w:tcW w:w="609" w:type="pct"/>
                  <w:noWrap w:val="0"/>
                  <w:vAlign w:val="center"/>
                </w:tcPr>
                <w:p w14:paraId="605F9A10">
                  <w:pPr>
                    <w:pStyle w:val="32"/>
                    <w:keepNext w:val="0"/>
                    <w:keepLines w:val="0"/>
                    <w:pageBreakBefore w:val="0"/>
                    <w:kinsoku/>
                    <w:wordWrap/>
                    <w:overflowPunct/>
                    <w:bidi w:val="0"/>
                    <w:spacing w:line="240" w:lineRule="auto"/>
                    <w:ind w:firstLine="0"/>
                    <w:jc w:val="center"/>
                    <w:rPr>
                      <w:rFonts w:hint="default" w:ascii="Times New Roman" w:eastAsia="宋体"/>
                      <w:b w:val="0"/>
                      <w:bCs/>
                      <w:color w:val="auto"/>
                      <w:sz w:val="21"/>
                      <w:szCs w:val="21"/>
                      <w:lang w:val="en-US" w:eastAsia="zh-CN"/>
                    </w:rPr>
                  </w:pPr>
                  <w:r>
                    <w:rPr>
                      <w:rFonts w:hint="eastAsia" w:ascii="Times New Roman"/>
                      <w:b w:val="0"/>
                      <w:bCs/>
                      <w:color w:val="auto"/>
                      <w:sz w:val="21"/>
                      <w:szCs w:val="21"/>
                      <w:lang w:val="en-US" w:eastAsia="zh-CN"/>
                    </w:rPr>
                    <w:t>收集后回用于生产</w:t>
                  </w:r>
                </w:p>
              </w:tc>
              <w:tc>
                <w:tcPr>
                  <w:tcW w:w="416" w:type="pct"/>
                  <w:noWrap w:val="0"/>
                  <w:vAlign w:val="center"/>
                </w:tcPr>
                <w:p w14:paraId="1B2A4A0B">
                  <w:pPr>
                    <w:pStyle w:val="67"/>
                    <w:keepNext w:val="0"/>
                    <w:keepLines w:val="0"/>
                    <w:pageBreakBefore w:val="0"/>
                    <w:kinsoku/>
                    <w:wordWrap/>
                    <w:overflowPunct/>
                    <w:bidi w:val="0"/>
                    <w:spacing w:line="240" w:lineRule="auto"/>
                    <w:rPr>
                      <w:rFonts w:hint="default" w:ascii="Times New Roman" w:hAnsi="Times New Roman"/>
                      <w:b w:val="0"/>
                      <w:bCs/>
                      <w:color w:val="auto"/>
                      <w:kern w:val="0"/>
                      <w:sz w:val="21"/>
                      <w:szCs w:val="21"/>
                      <w:lang w:val="en-US" w:eastAsia="zh-CN" w:bidi="ar-SA"/>
                    </w:rPr>
                  </w:pPr>
                  <w:r>
                    <w:rPr>
                      <w:rFonts w:hint="eastAsia"/>
                      <w:b w:val="0"/>
                      <w:bCs/>
                      <w:color w:val="auto"/>
                      <w:sz w:val="21"/>
                      <w:szCs w:val="21"/>
                      <w:lang w:val="en-US" w:eastAsia="zh-CN"/>
                    </w:rPr>
                    <w:t>1.07</w:t>
                  </w:r>
                </w:p>
              </w:tc>
            </w:tr>
            <w:tr w14:paraId="236F7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3" w:type="pct"/>
                  <w:noWrap w:val="0"/>
                  <w:vAlign w:val="center"/>
                </w:tcPr>
                <w:p w14:paraId="2ECE92D6">
                  <w:pPr>
                    <w:pStyle w:val="32"/>
                    <w:keepNext w:val="0"/>
                    <w:keepLines w:val="0"/>
                    <w:pageBreakBefore w:val="0"/>
                    <w:kinsoku/>
                    <w:wordWrap/>
                    <w:overflowPunct/>
                    <w:bidi w:val="0"/>
                    <w:spacing w:line="240" w:lineRule="auto"/>
                    <w:ind w:firstLine="0" w:firstLineChars="0"/>
                    <w:jc w:val="center"/>
                    <w:rPr>
                      <w:rFonts w:hint="eastAsia" w:ascii="Times New Roman" w:hAnsi="宋体" w:eastAsia="宋体" w:cs="Times New Roman"/>
                      <w:b w:val="0"/>
                      <w:bCs/>
                      <w:color w:val="auto"/>
                      <w:kern w:val="2"/>
                      <w:sz w:val="21"/>
                      <w:szCs w:val="21"/>
                      <w:lang w:val="en-US" w:eastAsia="zh-CN" w:bidi="ar-SA"/>
                    </w:rPr>
                  </w:pPr>
                  <w:r>
                    <w:rPr>
                      <w:rFonts w:hint="eastAsia" w:ascii="Times New Roman"/>
                      <w:b w:val="0"/>
                      <w:bCs/>
                      <w:color w:val="auto"/>
                      <w:sz w:val="21"/>
                      <w:szCs w:val="21"/>
                      <w:lang w:val="en-US" w:eastAsia="zh-CN"/>
                    </w:rPr>
                    <w:t>3</w:t>
                  </w:r>
                </w:p>
              </w:tc>
              <w:tc>
                <w:tcPr>
                  <w:tcW w:w="409" w:type="pct"/>
                  <w:noWrap w:val="0"/>
                  <w:vAlign w:val="center"/>
                </w:tcPr>
                <w:p w14:paraId="4B8E2C3A">
                  <w:pPr>
                    <w:pStyle w:val="32"/>
                    <w:keepNext w:val="0"/>
                    <w:keepLines w:val="0"/>
                    <w:pageBreakBefore w:val="0"/>
                    <w:kinsoku/>
                    <w:wordWrap/>
                    <w:overflowPunct/>
                    <w:bidi w:val="0"/>
                    <w:spacing w:line="240" w:lineRule="auto"/>
                    <w:ind w:firstLine="0" w:firstLineChars="0"/>
                    <w:jc w:val="center"/>
                    <w:rPr>
                      <w:rFonts w:hint="eastAsia" w:ascii="Times New Roman" w:hAnsi="宋体" w:eastAsia="宋体" w:cs="Times New Roman"/>
                      <w:b w:val="0"/>
                      <w:bCs/>
                      <w:color w:val="auto"/>
                      <w:sz w:val="21"/>
                      <w:szCs w:val="21"/>
                      <w:lang w:val="en-US" w:eastAsia="zh-CN" w:bidi="ar-SA"/>
                    </w:rPr>
                  </w:pPr>
                  <w:r>
                    <w:rPr>
                      <w:rFonts w:hint="eastAsia" w:ascii="Times New Roman" w:cs="Times New Roman"/>
                      <w:b w:val="0"/>
                      <w:bCs/>
                      <w:color w:val="auto"/>
                      <w:sz w:val="21"/>
                      <w:szCs w:val="21"/>
                      <w:lang w:val="en-US" w:eastAsia="zh-CN"/>
                    </w:rPr>
                    <w:t>有机废气处理</w:t>
                  </w:r>
                </w:p>
              </w:tc>
              <w:tc>
                <w:tcPr>
                  <w:tcW w:w="401" w:type="pct"/>
                  <w:noWrap w:val="0"/>
                  <w:vAlign w:val="center"/>
                </w:tcPr>
                <w:p w14:paraId="58DB3AFC">
                  <w:pPr>
                    <w:keepNext w:val="0"/>
                    <w:keepLines w:val="0"/>
                    <w:pageBreakBefore w:val="0"/>
                    <w:kinsoku/>
                    <w:wordWrap/>
                    <w:overflowPunct/>
                    <w:bidi w:val="0"/>
                    <w:adjustRightInd w:val="0"/>
                    <w:spacing w:line="240" w:lineRule="auto"/>
                    <w:jc w:val="center"/>
                    <w:rPr>
                      <w:rFonts w:hint="default" w:ascii="Times New Roman" w:hAnsi="Times New Roman" w:eastAsia="宋体" w:cs="Times New Roman"/>
                      <w:b w:val="0"/>
                      <w:bCs/>
                      <w:color w:val="auto"/>
                      <w:sz w:val="21"/>
                      <w:szCs w:val="21"/>
                      <w:lang w:val="en-US" w:eastAsia="zh-CN" w:bidi="ar-SA"/>
                    </w:rPr>
                  </w:pPr>
                  <w:r>
                    <w:rPr>
                      <w:rFonts w:hint="eastAsia" w:ascii="Times New Roman" w:hAnsi="Times New Roman"/>
                      <w:b w:val="0"/>
                      <w:bCs/>
                      <w:color w:val="auto"/>
                      <w:sz w:val="21"/>
                      <w:szCs w:val="21"/>
                      <w:lang w:val="en-US" w:eastAsia="zh-CN"/>
                    </w:rPr>
                    <w:t>废活性炭</w:t>
                  </w:r>
                </w:p>
              </w:tc>
              <w:tc>
                <w:tcPr>
                  <w:tcW w:w="414" w:type="pct"/>
                  <w:vMerge w:val="restart"/>
                  <w:noWrap w:val="0"/>
                  <w:vAlign w:val="center"/>
                </w:tcPr>
                <w:p w14:paraId="2E5F1036">
                  <w:pPr>
                    <w:pStyle w:val="32"/>
                    <w:keepNext w:val="0"/>
                    <w:keepLines w:val="0"/>
                    <w:pageBreakBefore w:val="0"/>
                    <w:kinsoku/>
                    <w:wordWrap/>
                    <w:overflowPunct/>
                    <w:bidi w:val="0"/>
                    <w:spacing w:line="240" w:lineRule="auto"/>
                    <w:ind w:firstLine="0"/>
                    <w:jc w:val="center"/>
                    <w:rPr>
                      <w:rFonts w:ascii="Times New Roman"/>
                      <w:b w:val="0"/>
                      <w:bCs/>
                      <w:color w:val="auto"/>
                      <w:sz w:val="21"/>
                      <w:szCs w:val="21"/>
                    </w:rPr>
                  </w:pPr>
                  <w:r>
                    <w:rPr>
                      <w:rFonts w:hint="eastAsia" w:ascii="Times New Roman"/>
                      <w:b w:val="0"/>
                      <w:bCs/>
                      <w:color w:val="auto"/>
                      <w:sz w:val="21"/>
                      <w:szCs w:val="21"/>
                    </w:rPr>
                    <w:t>危废废物</w:t>
                  </w:r>
                </w:p>
              </w:tc>
              <w:tc>
                <w:tcPr>
                  <w:tcW w:w="528" w:type="pct"/>
                  <w:shd w:val="clear" w:color="auto" w:fill="auto"/>
                  <w:noWrap w:val="0"/>
                  <w:vAlign w:val="center"/>
                </w:tcPr>
                <w:p w14:paraId="2E0C169F">
                  <w:pPr>
                    <w:pStyle w:val="32"/>
                    <w:keepNext w:val="0"/>
                    <w:keepLines w:val="0"/>
                    <w:pageBreakBefore w:val="0"/>
                    <w:kinsoku/>
                    <w:wordWrap/>
                    <w:overflowPunct/>
                    <w:bidi w:val="0"/>
                    <w:spacing w:line="240" w:lineRule="auto"/>
                    <w:ind w:left="-48" w:leftChars="-20" w:right="-48" w:rightChars="-20" w:firstLine="0" w:firstLineChars="0"/>
                    <w:jc w:val="center"/>
                    <w:rPr>
                      <w:rFonts w:hint="default" w:ascii="Times New Roman" w:hAnsi="宋体" w:eastAsia="宋体" w:cs="Times New Roman"/>
                      <w:b w:val="0"/>
                      <w:bCs/>
                      <w:color w:val="auto"/>
                      <w:sz w:val="21"/>
                      <w:szCs w:val="21"/>
                      <w:lang w:val="en-US" w:eastAsia="zh-CN" w:bidi="ar-SA"/>
                    </w:rPr>
                  </w:pPr>
                  <w:r>
                    <w:rPr>
                      <w:rFonts w:hint="eastAsia" w:ascii="Times New Roman"/>
                      <w:b w:val="0"/>
                      <w:bCs/>
                      <w:color w:val="auto"/>
                      <w:sz w:val="21"/>
                      <w:szCs w:val="21"/>
                      <w:lang w:val="en-US" w:eastAsia="zh-CN"/>
                    </w:rPr>
                    <w:t>HW49</w:t>
                  </w:r>
                  <w:r>
                    <w:rPr>
                      <w:rFonts w:hint="eastAsia" w:ascii="Times New Roman"/>
                      <w:b w:val="0"/>
                      <w:bCs/>
                      <w:color w:val="auto"/>
                      <w:sz w:val="21"/>
                      <w:szCs w:val="21"/>
                      <w:vertAlign w:val="baseline"/>
                      <w:lang w:val="en-US" w:eastAsia="zh-CN"/>
                    </w:rPr>
                    <w:t>/</w:t>
                  </w:r>
                  <w:r>
                    <w:rPr>
                      <w:rFonts w:hint="eastAsia" w:ascii="Times New Roman"/>
                      <w:b w:val="0"/>
                      <w:bCs/>
                      <w:color w:val="auto"/>
                      <w:sz w:val="21"/>
                      <w:szCs w:val="21"/>
                      <w:lang w:val="en-US" w:eastAsia="zh-CN"/>
                    </w:rPr>
                    <w:t>900-039-49</w:t>
                  </w:r>
                </w:p>
              </w:tc>
              <w:tc>
                <w:tcPr>
                  <w:tcW w:w="419" w:type="pct"/>
                  <w:shd w:val="clear" w:color="auto" w:fill="auto"/>
                  <w:noWrap w:val="0"/>
                  <w:vAlign w:val="center"/>
                </w:tcPr>
                <w:p w14:paraId="59FDBF1F">
                  <w:pPr>
                    <w:pStyle w:val="32"/>
                    <w:keepNext w:val="0"/>
                    <w:keepLines w:val="0"/>
                    <w:pageBreakBefore w:val="0"/>
                    <w:kinsoku/>
                    <w:wordWrap/>
                    <w:overflowPunct/>
                    <w:bidi w:val="0"/>
                    <w:spacing w:line="240" w:lineRule="auto"/>
                    <w:ind w:firstLine="0" w:firstLineChars="0"/>
                    <w:jc w:val="center"/>
                    <w:rPr>
                      <w:rFonts w:hint="eastAsia" w:ascii="Times New Roman" w:hAnsi="宋体" w:eastAsia="宋体" w:cs="Times New Roman"/>
                      <w:b w:val="0"/>
                      <w:bCs/>
                      <w:color w:val="auto"/>
                      <w:sz w:val="21"/>
                      <w:szCs w:val="21"/>
                      <w:lang w:val="en-US" w:eastAsia="zh-CN" w:bidi="ar-SA"/>
                    </w:rPr>
                  </w:pPr>
                  <w:r>
                    <w:rPr>
                      <w:rFonts w:hint="eastAsia" w:ascii="Times New Roman"/>
                      <w:b w:val="0"/>
                      <w:bCs/>
                      <w:color w:val="auto"/>
                      <w:sz w:val="21"/>
                      <w:szCs w:val="21"/>
                      <w:lang w:val="en-US" w:eastAsia="zh-CN"/>
                    </w:rPr>
                    <w:t>有机废气</w:t>
                  </w:r>
                </w:p>
              </w:tc>
              <w:tc>
                <w:tcPr>
                  <w:tcW w:w="222" w:type="pct"/>
                  <w:shd w:val="clear" w:color="auto" w:fill="auto"/>
                  <w:noWrap w:val="0"/>
                  <w:vAlign w:val="center"/>
                </w:tcPr>
                <w:p w14:paraId="7DEA7C5B">
                  <w:pPr>
                    <w:pStyle w:val="32"/>
                    <w:keepNext w:val="0"/>
                    <w:keepLines w:val="0"/>
                    <w:pageBreakBefore w:val="0"/>
                    <w:kinsoku/>
                    <w:wordWrap/>
                    <w:overflowPunct/>
                    <w:bidi w:val="0"/>
                    <w:spacing w:line="240" w:lineRule="auto"/>
                    <w:ind w:firstLine="0" w:firstLineChars="0"/>
                    <w:jc w:val="center"/>
                    <w:rPr>
                      <w:rFonts w:hint="eastAsia" w:ascii="Times New Roman" w:hAnsi="宋体" w:eastAsia="宋体" w:cs="Times New Roman"/>
                      <w:b w:val="0"/>
                      <w:bCs/>
                      <w:color w:val="auto"/>
                      <w:sz w:val="21"/>
                      <w:szCs w:val="21"/>
                      <w:lang w:val="en-US" w:eastAsia="zh-CN" w:bidi="ar-SA"/>
                    </w:rPr>
                  </w:pPr>
                  <w:r>
                    <w:rPr>
                      <w:rFonts w:hint="eastAsia" w:ascii="Times New Roman"/>
                      <w:b w:val="0"/>
                      <w:bCs/>
                      <w:color w:val="auto"/>
                      <w:sz w:val="21"/>
                      <w:szCs w:val="21"/>
                    </w:rPr>
                    <w:t>固态</w:t>
                  </w:r>
                </w:p>
              </w:tc>
              <w:tc>
                <w:tcPr>
                  <w:tcW w:w="414" w:type="pct"/>
                  <w:shd w:val="clear" w:color="auto" w:fill="auto"/>
                  <w:noWrap w:val="0"/>
                  <w:vAlign w:val="center"/>
                </w:tcPr>
                <w:p w14:paraId="356BFC3B">
                  <w:pPr>
                    <w:pStyle w:val="32"/>
                    <w:keepNext w:val="0"/>
                    <w:keepLines w:val="0"/>
                    <w:pageBreakBefore w:val="0"/>
                    <w:kinsoku/>
                    <w:wordWrap/>
                    <w:overflowPunct/>
                    <w:bidi w:val="0"/>
                    <w:spacing w:line="240" w:lineRule="auto"/>
                    <w:ind w:firstLine="0" w:firstLineChars="0"/>
                    <w:jc w:val="center"/>
                    <w:rPr>
                      <w:rFonts w:hint="default" w:ascii="Times New Roman" w:hAnsi="宋体" w:eastAsia="宋体" w:cs="Times New Roman"/>
                      <w:b w:val="0"/>
                      <w:bCs/>
                      <w:color w:val="auto"/>
                      <w:sz w:val="21"/>
                      <w:szCs w:val="21"/>
                      <w:lang w:val="en-US" w:eastAsia="zh-CN" w:bidi="ar-SA"/>
                    </w:rPr>
                  </w:pPr>
                  <w:r>
                    <w:rPr>
                      <w:rFonts w:hint="eastAsia" w:ascii="Times New Roman"/>
                      <w:b w:val="0"/>
                      <w:bCs/>
                      <w:color w:val="auto"/>
                      <w:sz w:val="21"/>
                      <w:szCs w:val="21"/>
                    </w:rPr>
                    <w:t>T</w:t>
                  </w:r>
                </w:p>
              </w:tc>
              <w:tc>
                <w:tcPr>
                  <w:tcW w:w="414" w:type="pct"/>
                  <w:shd w:val="clear" w:color="auto" w:fill="auto"/>
                  <w:noWrap w:val="0"/>
                  <w:vAlign w:val="center"/>
                </w:tcPr>
                <w:p w14:paraId="58986212">
                  <w:pPr>
                    <w:pStyle w:val="67"/>
                    <w:keepNext w:val="0"/>
                    <w:keepLines w:val="0"/>
                    <w:pageBreakBefore w:val="0"/>
                    <w:kinsoku/>
                    <w:wordWrap/>
                    <w:overflowPunct/>
                    <w:bidi w:val="0"/>
                    <w:spacing w:line="240" w:lineRule="auto"/>
                    <w:rPr>
                      <w:rFonts w:hint="default" w:ascii="Times New Roman" w:hAnsi="Times New Roman" w:eastAsia="宋体" w:cs="Times New Roman"/>
                      <w:b w:val="0"/>
                      <w:bCs/>
                      <w:color w:val="auto"/>
                      <w:kern w:val="0"/>
                      <w:sz w:val="21"/>
                      <w:szCs w:val="21"/>
                      <w:lang w:val="en-US" w:eastAsia="zh-CN" w:bidi="ar-SA"/>
                    </w:rPr>
                  </w:pPr>
                  <w:r>
                    <w:rPr>
                      <w:rFonts w:hint="eastAsia"/>
                      <w:b w:val="0"/>
                      <w:bCs/>
                      <w:color w:val="auto"/>
                      <w:sz w:val="21"/>
                      <w:szCs w:val="21"/>
                      <w:lang w:val="en-US" w:eastAsia="zh-CN"/>
                    </w:rPr>
                    <w:t>33.305</w:t>
                  </w:r>
                </w:p>
              </w:tc>
              <w:tc>
                <w:tcPr>
                  <w:tcW w:w="513" w:type="pct"/>
                  <w:shd w:val="clear" w:color="auto" w:fill="auto"/>
                  <w:noWrap w:val="0"/>
                  <w:vAlign w:val="center"/>
                </w:tcPr>
                <w:p w14:paraId="7EF3BF9B">
                  <w:pPr>
                    <w:pStyle w:val="32"/>
                    <w:keepNext w:val="0"/>
                    <w:keepLines w:val="0"/>
                    <w:pageBreakBefore w:val="0"/>
                    <w:kinsoku/>
                    <w:wordWrap/>
                    <w:overflowPunct/>
                    <w:bidi w:val="0"/>
                    <w:spacing w:line="240" w:lineRule="auto"/>
                    <w:ind w:firstLine="0" w:firstLineChars="0"/>
                    <w:jc w:val="center"/>
                    <w:rPr>
                      <w:rFonts w:hint="eastAsia" w:ascii="Times New Roman" w:hAnsi="宋体" w:eastAsia="宋体" w:cs="Times New Roman"/>
                      <w:b w:val="0"/>
                      <w:bCs/>
                      <w:color w:val="auto"/>
                      <w:sz w:val="21"/>
                      <w:szCs w:val="21"/>
                      <w:lang w:val="en-US" w:eastAsia="zh-CN" w:bidi="ar-SA"/>
                    </w:rPr>
                  </w:pPr>
                  <w:r>
                    <w:rPr>
                      <w:rFonts w:hint="eastAsia" w:ascii="Times New Roman"/>
                      <w:b w:val="0"/>
                      <w:bCs/>
                      <w:color w:val="auto"/>
                      <w:sz w:val="21"/>
                      <w:szCs w:val="21"/>
                      <w:lang w:eastAsia="zh-CN"/>
                    </w:rPr>
                    <w:t>密闭</w:t>
                  </w:r>
                  <w:r>
                    <w:rPr>
                      <w:rFonts w:hint="eastAsia" w:ascii="Times New Roman"/>
                      <w:b w:val="0"/>
                      <w:bCs/>
                      <w:color w:val="auto"/>
                      <w:sz w:val="21"/>
                      <w:szCs w:val="21"/>
                      <w:lang w:val="en-US" w:eastAsia="zh-CN"/>
                    </w:rPr>
                    <w:t>袋</w:t>
                  </w:r>
                  <w:r>
                    <w:rPr>
                      <w:rFonts w:hint="eastAsia" w:ascii="Times New Roman"/>
                      <w:b w:val="0"/>
                      <w:bCs/>
                      <w:color w:val="auto"/>
                      <w:sz w:val="21"/>
                      <w:szCs w:val="21"/>
                    </w:rPr>
                    <w:t>装收集</w:t>
                  </w:r>
                </w:p>
              </w:tc>
              <w:tc>
                <w:tcPr>
                  <w:tcW w:w="609" w:type="pct"/>
                  <w:vMerge w:val="restart"/>
                  <w:noWrap w:val="0"/>
                  <w:vAlign w:val="center"/>
                </w:tcPr>
                <w:p w14:paraId="237D3065">
                  <w:pPr>
                    <w:pStyle w:val="32"/>
                    <w:keepNext w:val="0"/>
                    <w:keepLines w:val="0"/>
                    <w:pageBreakBefore w:val="0"/>
                    <w:kinsoku/>
                    <w:wordWrap/>
                    <w:overflowPunct/>
                    <w:bidi w:val="0"/>
                    <w:spacing w:line="240" w:lineRule="auto"/>
                    <w:ind w:firstLine="0"/>
                    <w:jc w:val="center"/>
                    <w:rPr>
                      <w:rFonts w:hint="eastAsia" w:ascii="Times New Roman"/>
                      <w:b w:val="0"/>
                      <w:bCs/>
                      <w:color w:val="auto"/>
                      <w:sz w:val="21"/>
                      <w:szCs w:val="21"/>
                    </w:rPr>
                  </w:pPr>
                  <w:r>
                    <w:rPr>
                      <w:rFonts w:hint="eastAsia" w:ascii="Times New Roman"/>
                      <w:b w:val="0"/>
                      <w:bCs/>
                      <w:color w:val="auto"/>
                      <w:sz w:val="21"/>
                      <w:szCs w:val="21"/>
                    </w:rPr>
                    <w:t>分类集中收集后暂存于危废暂存</w:t>
                  </w:r>
                  <w:r>
                    <w:rPr>
                      <w:rFonts w:hint="eastAsia" w:ascii="Times New Roman"/>
                      <w:b w:val="0"/>
                      <w:bCs/>
                      <w:color w:val="auto"/>
                      <w:sz w:val="21"/>
                      <w:szCs w:val="21"/>
                      <w:lang w:eastAsia="zh-CN"/>
                    </w:rPr>
                    <w:t>间</w:t>
                  </w:r>
                  <w:r>
                    <w:rPr>
                      <w:rFonts w:hint="eastAsia" w:ascii="Times New Roman"/>
                      <w:b w:val="0"/>
                      <w:bCs/>
                      <w:color w:val="auto"/>
                      <w:sz w:val="21"/>
                      <w:szCs w:val="21"/>
                    </w:rPr>
                    <w:t>内，</w:t>
                  </w:r>
                  <w:r>
                    <w:rPr>
                      <w:rFonts w:hint="eastAsia" w:ascii="Times New Roman"/>
                      <w:b w:val="0"/>
                      <w:bCs/>
                      <w:color w:val="auto"/>
                      <w:sz w:val="21"/>
                      <w:szCs w:val="21"/>
                      <w:lang w:eastAsia="zh-CN"/>
                    </w:rPr>
                    <w:t>定期</w:t>
                  </w:r>
                  <w:r>
                    <w:rPr>
                      <w:rFonts w:hint="eastAsia" w:ascii="Times New Roman"/>
                      <w:b w:val="0"/>
                      <w:bCs/>
                      <w:color w:val="auto"/>
                      <w:sz w:val="21"/>
                      <w:szCs w:val="21"/>
                    </w:rPr>
                    <w:t>交由</w:t>
                  </w:r>
                  <w:r>
                    <w:rPr>
                      <w:rFonts w:hint="eastAsia" w:ascii="Times New Roman"/>
                      <w:b w:val="0"/>
                      <w:bCs/>
                      <w:color w:val="auto"/>
                      <w:sz w:val="21"/>
                      <w:szCs w:val="21"/>
                      <w:lang w:val="en-US" w:eastAsia="zh-CN"/>
                    </w:rPr>
                    <w:t>有资质单位</w:t>
                  </w:r>
                  <w:r>
                    <w:rPr>
                      <w:rFonts w:hint="eastAsia" w:ascii="Times New Roman"/>
                      <w:b w:val="0"/>
                      <w:bCs/>
                      <w:color w:val="auto"/>
                      <w:sz w:val="21"/>
                      <w:szCs w:val="21"/>
                      <w:lang w:eastAsia="zh-CN"/>
                    </w:rPr>
                    <w:t>处置</w:t>
                  </w:r>
                </w:p>
              </w:tc>
              <w:tc>
                <w:tcPr>
                  <w:tcW w:w="416" w:type="pct"/>
                  <w:noWrap w:val="0"/>
                  <w:vAlign w:val="center"/>
                </w:tcPr>
                <w:p w14:paraId="00ABDD8E">
                  <w:pPr>
                    <w:pStyle w:val="67"/>
                    <w:keepNext w:val="0"/>
                    <w:keepLines w:val="0"/>
                    <w:pageBreakBefore w:val="0"/>
                    <w:kinsoku/>
                    <w:wordWrap/>
                    <w:overflowPunct/>
                    <w:bidi w:val="0"/>
                    <w:spacing w:line="240" w:lineRule="auto"/>
                    <w:rPr>
                      <w:rFonts w:hint="default"/>
                      <w:b w:val="0"/>
                      <w:bCs/>
                      <w:color w:val="auto"/>
                      <w:sz w:val="21"/>
                      <w:szCs w:val="21"/>
                      <w:lang w:val="en-US" w:eastAsia="zh-CN"/>
                    </w:rPr>
                  </w:pPr>
                  <w:r>
                    <w:rPr>
                      <w:rFonts w:hint="eastAsia"/>
                      <w:b w:val="0"/>
                      <w:bCs/>
                      <w:color w:val="auto"/>
                      <w:sz w:val="21"/>
                      <w:szCs w:val="21"/>
                      <w:lang w:val="en-US" w:eastAsia="zh-CN"/>
                    </w:rPr>
                    <w:t>33.305</w:t>
                  </w:r>
                </w:p>
              </w:tc>
            </w:tr>
            <w:tr w14:paraId="4FF95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3" w:type="pct"/>
                  <w:noWrap w:val="0"/>
                  <w:vAlign w:val="center"/>
                </w:tcPr>
                <w:p w14:paraId="235E590E">
                  <w:pPr>
                    <w:pStyle w:val="32"/>
                    <w:keepNext w:val="0"/>
                    <w:keepLines w:val="0"/>
                    <w:pageBreakBefore w:val="0"/>
                    <w:kinsoku/>
                    <w:wordWrap/>
                    <w:overflowPunct/>
                    <w:bidi w:val="0"/>
                    <w:spacing w:line="240" w:lineRule="auto"/>
                    <w:ind w:firstLine="0" w:firstLineChars="0"/>
                    <w:jc w:val="center"/>
                    <w:rPr>
                      <w:rFonts w:hint="eastAsia" w:ascii="Times New Roman" w:hAnsi="宋体"/>
                      <w:b w:val="0"/>
                      <w:bCs/>
                      <w:color w:val="auto"/>
                      <w:kern w:val="2"/>
                      <w:sz w:val="21"/>
                      <w:szCs w:val="21"/>
                      <w:lang w:val="en-US" w:eastAsia="zh-CN" w:bidi="ar-SA"/>
                    </w:rPr>
                  </w:pPr>
                  <w:r>
                    <w:rPr>
                      <w:rFonts w:hint="eastAsia" w:ascii="Times New Roman"/>
                      <w:b w:val="0"/>
                      <w:bCs/>
                      <w:color w:val="auto"/>
                      <w:sz w:val="21"/>
                      <w:szCs w:val="21"/>
                      <w:lang w:val="en-US" w:eastAsia="zh-CN"/>
                    </w:rPr>
                    <w:t>4</w:t>
                  </w:r>
                </w:p>
              </w:tc>
              <w:tc>
                <w:tcPr>
                  <w:tcW w:w="409" w:type="pct"/>
                  <w:vMerge w:val="restart"/>
                  <w:noWrap w:val="0"/>
                  <w:vAlign w:val="center"/>
                </w:tcPr>
                <w:p w14:paraId="277EC79B">
                  <w:pPr>
                    <w:keepNext w:val="0"/>
                    <w:keepLines w:val="0"/>
                    <w:pageBreakBefore w:val="0"/>
                    <w:kinsoku/>
                    <w:wordWrap/>
                    <w:overflowPunct/>
                    <w:topLinePunct/>
                    <w:bidi w:val="0"/>
                    <w:adjustRightInd w:val="0"/>
                    <w:snapToGrid w:val="0"/>
                    <w:spacing w:line="240" w:lineRule="auto"/>
                    <w:jc w:val="center"/>
                    <w:rPr>
                      <w:rFonts w:hint="eastAsia" w:ascii="Times New Roman" w:cs="Times New Roman"/>
                      <w:b w:val="0"/>
                      <w:bCs/>
                      <w:color w:val="auto"/>
                      <w:sz w:val="21"/>
                      <w:szCs w:val="21"/>
                      <w:lang w:eastAsia="zh-CN"/>
                    </w:rPr>
                  </w:pPr>
                  <w:r>
                    <w:rPr>
                      <w:rFonts w:hint="default" w:ascii="Times New Roman" w:hAnsi="Times New Roman" w:cs="Times New Roman"/>
                      <w:b w:val="0"/>
                      <w:bCs/>
                      <w:color w:val="auto"/>
                      <w:spacing w:val="0"/>
                      <w:sz w:val="21"/>
                      <w:szCs w:val="21"/>
                    </w:rPr>
                    <w:t>设备维修保养</w:t>
                  </w:r>
                </w:p>
              </w:tc>
              <w:tc>
                <w:tcPr>
                  <w:tcW w:w="401" w:type="pct"/>
                  <w:noWrap w:val="0"/>
                  <w:vAlign w:val="center"/>
                </w:tcPr>
                <w:p w14:paraId="3BF3A265">
                  <w:pPr>
                    <w:pStyle w:val="7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val="0"/>
                      <w:bCs/>
                      <w:color w:val="auto"/>
                      <w:kern w:val="0"/>
                      <w:sz w:val="21"/>
                      <w:szCs w:val="21"/>
                      <w:lang w:val="en-US" w:eastAsia="zh-CN" w:bidi="ar-SA"/>
                    </w:rPr>
                  </w:pPr>
                  <w:r>
                    <w:rPr>
                      <w:rFonts w:hint="eastAsia" w:ascii="Times New Roman" w:hAnsi="Times New Roman" w:cs="Times New Roman"/>
                      <w:b w:val="0"/>
                      <w:bCs/>
                      <w:color w:val="auto"/>
                      <w:spacing w:val="0"/>
                      <w:sz w:val="21"/>
                      <w:szCs w:val="21"/>
                      <w:lang w:val="en-US" w:eastAsia="zh-CN"/>
                    </w:rPr>
                    <w:t>废润滑油</w:t>
                  </w:r>
                </w:p>
              </w:tc>
              <w:tc>
                <w:tcPr>
                  <w:tcW w:w="414" w:type="pct"/>
                  <w:vMerge w:val="continue"/>
                  <w:noWrap w:val="0"/>
                  <w:vAlign w:val="center"/>
                </w:tcPr>
                <w:p w14:paraId="6C99DA5C">
                  <w:pPr>
                    <w:pStyle w:val="32"/>
                    <w:keepNext w:val="0"/>
                    <w:keepLines w:val="0"/>
                    <w:pageBreakBefore w:val="0"/>
                    <w:kinsoku/>
                    <w:wordWrap/>
                    <w:overflowPunct/>
                    <w:bidi w:val="0"/>
                    <w:spacing w:line="240" w:lineRule="auto"/>
                    <w:ind w:firstLine="0"/>
                    <w:jc w:val="center"/>
                    <w:rPr>
                      <w:rFonts w:ascii="Times New Roman"/>
                      <w:b w:val="0"/>
                      <w:bCs/>
                      <w:color w:val="auto"/>
                      <w:sz w:val="21"/>
                      <w:szCs w:val="21"/>
                    </w:rPr>
                  </w:pPr>
                </w:p>
              </w:tc>
              <w:tc>
                <w:tcPr>
                  <w:tcW w:w="528" w:type="pct"/>
                  <w:noWrap w:val="0"/>
                  <w:vAlign w:val="center"/>
                </w:tcPr>
                <w:p w14:paraId="365A4F05">
                  <w:pPr>
                    <w:pStyle w:val="32"/>
                    <w:keepNext w:val="0"/>
                    <w:keepLines w:val="0"/>
                    <w:pageBreakBefore w:val="0"/>
                    <w:widowControl w:val="0"/>
                    <w:kinsoku/>
                    <w:wordWrap/>
                    <w:overflowPunct/>
                    <w:topLinePunct w:val="0"/>
                    <w:autoSpaceDE w:val="0"/>
                    <w:autoSpaceDN w:val="0"/>
                    <w:bidi w:val="0"/>
                    <w:adjustRightInd w:val="0"/>
                    <w:snapToGrid/>
                    <w:spacing w:line="240" w:lineRule="auto"/>
                    <w:ind w:left="-48" w:leftChars="-20" w:right="-48" w:rightChars="-20" w:firstLine="0" w:firstLineChars="0"/>
                    <w:jc w:val="center"/>
                    <w:textAlignment w:val="auto"/>
                    <w:rPr>
                      <w:rFonts w:hint="eastAsia" w:ascii="Times New Roman"/>
                      <w:b w:val="0"/>
                      <w:bCs/>
                      <w:color w:val="auto"/>
                      <w:sz w:val="21"/>
                      <w:szCs w:val="21"/>
                    </w:rPr>
                  </w:pPr>
                  <w:r>
                    <w:rPr>
                      <w:rFonts w:hint="default" w:ascii="Times New Roman" w:hAnsi="Times New Roman" w:eastAsia="宋体"/>
                      <w:b w:val="0"/>
                      <w:bCs/>
                      <w:color w:val="auto"/>
                      <w:sz w:val="21"/>
                      <w:szCs w:val="21"/>
                      <w:vertAlign w:val="baseline"/>
                      <w:lang w:val="en-US" w:eastAsia="zh-CN"/>
                    </w:rPr>
                    <w:t>HW08</w:t>
                  </w:r>
                  <w:r>
                    <w:rPr>
                      <w:rFonts w:hint="eastAsia" w:ascii="Times New Roman"/>
                      <w:b w:val="0"/>
                      <w:bCs/>
                      <w:color w:val="auto"/>
                      <w:sz w:val="21"/>
                      <w:szCs w:val="21"/>
                      <w:vertAlign w:val="baseline"/>
                      <w:lang w:val="en-US" w:eastAsia="zh-CN"/>
                    </w:rPr>
                    <w:t>/</w:t>
                  </w:r>
                  <w:r>
                    <w:rPr>
                      <w:rFonts w:hint="default" w:ascii="Times New Roman" w:hAnsi="Times New Roman" w:eastAsia="宋体"/>
                      <w:b w:val="0"/>
                      <w:bCs/>
                      <w:color w:val="auto"/>
                      <w:sz w:val="21"/>
                      <w:szCs w:val="21"/>
                      <w:vertAlign w:val="baseline"/>
                      <w:lang w:val="en-US" w:eastAsia="zh-CN"/>
                    </w:rPr>
                    <w:t>900-214-08</w:t>
                  </w:r>
                </w:p>
              </w:tc>
              <w:tc>
                <w:tcPr>
                  <w:tcW w:w="419" w:type="pct"/>
                  <w:noWrap w:val="0"/>
                  <w:vAlign w:val="center"/>
                </w:tcPr>
                <w:p w14:paraId="659DA05C">
                  <w:pPr>
                    <w:keepNext w:val="0"/>
                    <w:keepLines w:val="0"/>
                    <w:pageBreakBefore w:val="0"/>
                    <w:widowControl/>
                    <w:kinsoku/>
                    <w:wordWrap/>
                    <w:overflowPunct/>
                    <w:bidi w:val="0"/>
                    <w:adjustRightInd w:val="0"/>
                    <w:spacing w:line="240" w:lineRule="auto"/>
                    <w:jc w:val="center"/>
                    <w:rPr>
                      <w:rFonts w:hint="eastAsia" w:ascii="Times New Roman" w:hAnsi="Times New Roman" w:eastAsia="宋体" w:cs="Times New Roman"/>
                      <w:b w:val="0"/>
                      <w:bCs/>
                      <w:color w:val="auto"/>
                      <w:kern w:val="0"/>
                      <w:sz w:val="21"/>
                      <w:szCs w:val="21"/>
                      <w:lang w:eastAsia="zh-CN"/>
                    </w:rPr>
                  </w:pPr>
                  <w:r>
                    <w:rPr>
                      <w:rFonts w:hint="eastAsia" w:ascii="Times New Roman" w:hAnsi="Times New Roman" w:cs="Times New Roman"/>
                      <w:b w:val="0"/>
                      <w:bCs/>
                      <w:color w:val="auto"/>
                      <w:kern w:val="0"/>
                      <w:sz w:val="21"/>
                      <w:szCs w:val="21"/>
                      <w:lang w:eastAsia="zh-CN"/>
                    </w:rPr>
                    <w:t>石油类</w:t>
                  </w:r>
                </w:p>
              </w:tc>
              <w:tc>
                <w:tcPr>
                  <w:tcW w:w="222" w:type="pct"/>
                  <w:noWrap w:val="0"/>
                  <w:vAlign w:val="center"/>
                </w:tcPr>
                <w:p w14:paraId="2EEEE124">
                  <w:pPr>
                    <w:pStyle w:val="32"/>
                    <w:keepNext w:val="0"/>
                    <w:keepLines w:val="0"/>
                    <w:pageBreakBefore w:val="0"/>
                    <w:kinsoku/>
                    <w:wordWrap/>
                    <w:overflowPunct/>
                    <w:bidi w:val="0"/>
                    <w:spacing w:line="240" w:lineRule="auto"/>
                    <w:ind w:firstLine="0"/>
                    <w:jc w:val="center"/>
                    <w:rPr>
                      <w:rFonts w:hint="eastAsia" w:ascii="Times New Roman"/>
                      <w:b w:val="0"/>
                      <w:bCs/>
                      <w:color w:val="auto"/>
                      <w:sz w:val="21"/>
                      <w:szCs w:val="21"/>
                    </w:rPr>
                  </w:pPr>
                  <w:r>
                    <w:rPr>
                      <w:rFonts w:hint="eastAsia" w:ascii="Times New Roman"/>
                      <w:b w:val="0"/>
                      <w:bCs/>
                      <w:color w:val="auto"/>
                      <w:sz w:val="21"/>
                      <w:szCs w:val="21"/>
                    </w:rPr>
                    <w:t>液态</w:t>
                  </w:r>
                </w:p>
              </w:tc>
              <w:tc>
                <w:tcPr>
                  <w:tcW w:w="414" w:type="pct"/>
                  <w:noWrap w:val="0"/>
                  <w:vAlign w:val="center"/>
                </w:tcPr>
                <w:p w14:paraId="7DD8FA69">
                  <w:pPr>
                    <w:pStyle w:val="32"/>
                    <w:keepNext w:val="0"/>
                    <w:keepLines w:val="0"/>
                    <w:pageBreakBefore w:val="0"/>
                    <w:kinsoku/>
                    <w:wordWrap/>
                    <w:overflowPunct/>
                    <w:bidi w:val="0"/>
                    <w:spacing w:line="240" w:lineRule="auto"/>
                    <w:ind w:firstLine="0"/>
                    <w:jc w:val="center"/>
                    <w:rPr>
                      <w:rFonts w:hint="eastAsia" w:ascii="Times New Roman"/>
                      <w:b w:val="0"/>
                      <w:bCs/>
                      <w:color w:val="auto"/>
                      <w:sz w:val="21"/>
                      <w:szCs w:val="21"/>
                    </w:rPr>
                  </w:pPr>
                  <w:r>
                    <w:rPr>
                      <w:rFonts w:hint="eastAsia" w:ascii="Times New Roman"/>
                      <w:b w:val="0"/>
                      <w:bCs/>
                      <w:color w:val="auto"/>
                      <w:sz w:val="21"/>
                      <w:szCs w:val="21"/>
                    </w:rPr>
                    <w:t>T，I</w:t>
                  </w:r>
                </w:p>
              </w:tc>
              <w:tc>
                <w:tcPr>
                  <w:tcW w:w="414" w:type="pct"/>
                  <w:noWrap w:val="0"/>
                  <w:vAlign w:val="center"/>
                </w:tcPr>
                <w:p w14:paraId="1EBE1B02">
                  <w:pPr>
                    <w:pStyle w:val="67"/>
                    <w:keepNext w:val="0"/>
                    <w:keepLines w:val="0"/>
                    <w:pageBreakBefore w:val="0"/>
                    <w:kinsoku/>
                    <w:wordWrap/>
                    <w:overflowPunct/>
                    <w:bidi w:val="0"/>
                    <w:spacing w:line="240" w:lineRule="auto"/>
                    <w:rPr>
                      <w:rFonts w:hint="default" w:ascii="Times New Roman" w:hAnsi="Times New Roman"/>
                      <w:b w:val="0"/>
                      <w:bCs/>
                      <w:color w:val="auto"/>
                      <w:sz w:val="21"/>
                      <w:szCs w:val="21"/>
                      <w:lang w:val="en-US"/>
                    </w:rPr>
                  </w:pPr>
                  <w:r>
                    <w:rPr>
                      <w:rFonts w:hint="default" w:ascii="Times New Roman" w:hAnsi="Times New Roman"/>
                      <w:b w:val="0"/>
                      <w:bCs/>
                      <w:color w:val="auto"/>
                      <w:sz w:val="21"/>
                      <w:szCs w:val="21"/>
                      <w:lang w:val="en-US"/>
                    </w:rPr>
                    <w:t>0.</w:t>
                  </w:r>
                  <w:r>
                    <w:rPr>
                      <w:rFonts w:hint="eastAsia"/>
                      <w:b w:val="0"/>
                      <w:bCs/>
                      <w:color w:val="auto"/>
                      <w:sz w:val="21"/>
                      <w:szCs w:val="21"/>
                      <w:lang w:val="en-US" w:eastAsia="zh-CN"/>
                    </w:rPr>
                    <w:t>03</w:t>
                  </w:r>
                </w:p>
              </w:tc>
              <w:tc>
                <w:tcPr>
                  <w:tcW w:w="513" w:type="pct"/>
                  <w:noWrap w:val="0"/>
                  <w:vAlign w:val="center"/>
                </w:tcPr>
                <w:p w14:paraId="0FB636A2">
                  <w:pPr>
                    <w:pStyle w:val="32"/>
                    <w:keepNext w:val="0"/>
                    <w:keepLines w:val="0"/>
                    <w:pageBreakBefore w:val="0"/>
                    <w:kinsoku/>
                    <w:wordWrap/>
                    <w:overflowPunct/>
                    <w:bidi w:val="0"/>
                    <w:spacing w:line="240" w:lineRule="auto"/>
                    <w:ind w:firstLine="0"/>
                    <w:jc w:val="center"/>
                    <w:rPr>
                      <w:rFonts w:hint="eastAsia" w:ascii="Times New Roman"/>
                      <w:b w:val="0"/>
                      <w:bCs/>
                      <w:color w:val="auto"/>
                      <w:sz w:val="21"/>
                      <w:szCs w:val="21"/>
                    </w:rPr>
                  </w:pPr>
                  <w:r>
                    <w:rPr>
                      <w:rFonts w:hint="eastAsia" w:ascii="Times New Roman"/>
                      <w:b w:val="0"/>
                      <w:bCs/>
                      <w:color w:val="auto"/>
                      <w:sz w:val="21"/>
                      <w:szCs w:val="21"/>
                      <w:lang w:eastAsia="zh-CN"/>
                    </w:rPr>
                    <w:t>密闭</w:t>
                  </w:r>
                  <w:r>
                    <w:rPr>
                      <w:rFonts w:hint="eastAsia" w:ascii="Times New Roman"/>
                      <w:b w:val="0"/>
                      <w:bCs/>
                      <w:color w:val="auto"/>
                      <w:sz w:val="21"/>
                      <w:szCs w:val="21"/>
                    </w:rPr>
                    <w:t>桶装收集</w:t>
                  </w:r>
                </w:p>
              </w:tc>
              <w:tc>
                <w:tcPr>
                  <w:tcW w:w="609" w:type="pct"/>
                  <w:vMerge w:val="continue"/>
                  <w:noWrap w:val="0"/>
                  <w:vAlign w:val="center"/>
                </w:tcPr>
                <w:p w14:paraId="2175530A">
                  <w:pPr>
                    <w:pStyle w:val="32"/>
                    <w:keepNext w:val="0"/>
                    <w:keepLines w:val="0"/>
                    <w:pageBreakBefore w:val="0"/>
                    <w:kinsoku/>
                    <w:wordWrap/>
                    <w:overflowPunct/>
                    <w:bidi w:val="0"/>
                    <w:spacing w:line="240" w:lineRule="auto"/>
                    <w:ind w:firstLine="0"/>
                    <w:jc w:val="center"/>
                    <w:rPr>
                      <w:rFonts w:hint="eastAsia" w:ascii="Times New Roman"/>
                      <w:b w:val="0"/>
                      <w:bCs/>
                      <w:color w:val="auto"/>
                      <w:sz w:val="21"/>
                      <w:szCs w:val="21"/>
                    </w:rPr>
                  </w:pPr>
                </w:p>
              </w:tc>
              <w:tc>
                <w:tcPr>
                  <w:tcW w:w="416" w:type="pct"/>
                  <w:noWrap w:val="0"/>
                  <w:vAlign w:val="center"/>
                </w:tcPr>
                <w:p w14:paraId="54E8BF33">
                  <w:pPr>
                    <w:pStyle w:val="67"/>
                    <w:keepNext w:val="0"/>
                    <w:keepLines w:val="0"/>
                    <w:pageBreakBefore w:val="0"/>
                    <w:kinsoku/>
                    <w:wordWrap/>
                    <w:overflowPunct/>
                    <w:bidi w:val="0"/>
                    <w:spacing w:line="240" w:lineRule="auto"/>
                    <w:rPr>
                      <w:rFonts w:hint="default" w:ascii="Times New Roman" w:hAnsi="Times New Roman" w:eastAsia="宋体"/>
                      <w:b w:val="0"/>
                      <w:bCs/>
                      <w:color w:val="auto"/>
                      <w:kern w:val="0"/>
                      <w:sz w:val="21"/>
                      <w:szCs w:val="21"/>
                      <w:lang w:val="en-US" w:eastAsia="zh-CN" w:bidi="ar-SA"/>
                    </w:rPr>
                  </w:pPr>
                  <w:r>
                    <w:rPr>
                      <w:rFonts w:hint="default" w:ascii="Times New Roman" w:hAnsi="Times New Roman"/>
                      <w:b w:val="0"/>
                      <w:bCs/>
                      <w:color w:val="auto"/>
                      <w:sz w:val="21"/>
                      <w:szCs w:val="21"/>
                      <w:lang w:val="en-US"/>
                    </w:rPr>
                    <w:t>0.</w:t>
                  </w:r>
                  <w:r>
                    <w:rPr>
                      <w:rFonts w:hint="eastAsia"/>
                      <w:b w:val="0"/>
                      <w:bCs/>
                      <w:color w:val="auto"/>
                      <w:sz w:val="21"/>
                      <w:szCs w:val="21"/>
                      <w:lang w:val="en-US" w:eastAsia="zh-CN"/>
                    </w:rPr>
                    <w:t>03</w:t>
                  </w:r>
                </w:p>
              </w:tc>
            </w:tr>
            <w:tr w14:paraId="4169F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3" w:type="pct"/>
                  <w:noWrap w:val="0"/>
                  <w:vAlign w:val="center"/>
                </w:tcPr>
                <w:p w14:paraId="6713F37A">
                  <w:pPr>
                    <w:pStyle w:val="32"/>
                    <w:keepNext w:val="0"/>
                    <w:keepLines w:val="0"/>
                    <w:pageBreakBefore w:val="0"/>
                    <w:kinsoku/>
                    <w:wordWrap/>
                    <w:overflowPunct/>
                    <w:bidi w:val="0"/>
                    <w:spacing w:line="240" w:lineRule="auto"/>
                    <w:ind w:firstLine="0" w:firstLineChars="0"/>
                    <w:jc w:val="center"/>
                    <w:rPr>
                      <w:rFonts w:hint="default" w:ascii="Times New Roman" w:hAnsi="Times New Roman" w:eastAsia="宋体" w:cs="宋体"/>
                      <w:b w:val="0"/>
                      <w:bCs/>
                      <w:color w:val="auto"/>
                      <w:kern w:val="2"/>
                      <w:sz w:val="21"/>
                      <w:szCs w:val="21"/>
                      <w:lang w:val="en-US" w:eastAsia="zh-CN" w:bidi="ar-SA"/>
                    </w:rPr>
                  </w:pPr>
                  <w:r>
                    <w:rPr>
                      <w:rFonts w:hint="eastAsia" w:ascii="Times New Roman"/>
                      <w:b w:val="0"/>
                      <w:bCs/>
                      <w:color w:val="auto"/>
                      <w:sz w:val="21"/>
                      <w:szCs w:val="21"/>
                      <w:lang w:val="en-US" w:eastAsia="zh-CN"/>
                    </w:rPr>
                    <w:t>5</w:t>
                  </w:r>
                </w:p>
              </w:tc>
              <w:tc>
                <w:tcPr>
                  <w:tcW w:w="409" w:type="pct"/>
                  <w:vMerge w:val="continue"/>
                  <w:noWrap w:val="0"/>
                  <w:vAlign w:val="center"/>
                </w:tcPr>
                <w:p w14:paraId="35EFBE47">
                  <w:pPr>
                    <w:keepNext w:val="0"/>
                    <w:keepLines w:val="0"/>
                    <w:pageBreakBefore w:val="0"/>
                    <w:kinsoku/>
                    <w:wordWrap/>
                    <w:overflowPunct/>
                    <w:topLinePunct/>
                    <w:bidi w:val="0"/>
                    <w:adjustRightInd w:val="0"/>
                    <w:snapToGrid w:val="0"/>
                    <w:spacing w:line="240" w:lineRule="auto"/>
                    <w:jc w:val="center"/>
                    <w:rPr>
                      <w:rFonts w:hint="eastAsia" w:ascii="Times New Roman" w:cs="Times New Roman"/>
                      <w:b w:val="0"/>
                      <w:bCs/>
                      <w:color w:val="auto"/>
                      <w:sz w:val="21"/>
                      <w:szCs w:val="21"/>
                      <w:lang w:eastAsia="zh-CN"/>
                    </w:rPr>
                  </w:pPr>
                </w:p>
              </w:tc>
              <w:tc>
                <w:tcPr>
                  <w:tcW w:w="401" w:type="pct"/>
                  <w:noWrap w:val="0"/>
                  <w:vAlign w:val="center"/>
                </w:tcPr>
                <w:p w14:paraId="0F16F2F2">
                  <w:pPr>
                    <w:pStyle w:val="7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val="0"/>
                      <w:bCs/>
                      <w:color w:val="auto"/>
                      <w:kern w:val="0"/>
                      <w:sz w:val="21"/>
                      <w:szCs w:val="21"/>
                      <w:lang w:val="en-US" w:eastAsia="zh-CN" w:bidi="ar-SA"/>
                    </w:rPr>
                  </w:pPr>
                  <w:r>
                    <w:rPr>
                      <w:rFonts w:hint="default" w:ascii="Times New Roman" w:hAnsi="Times New Roman" w:cs="Times New Roman"/>
                      <w:b w:val="0"/>
                      <w:bCs/>
                      <w:color w:val="auto"/>
                      <w:spacing w:val="0"/>
                      <w:sz w:val="21"/>
                      <w:szCs w:val="21"/>
                    </w:rPr>
                    <w:t>废油桶</w:t>
                  </w:r>
                </w:p>
              </w:tc>
              <w:tc>
                <w:tcPr>
                  <w:tcW w:w="414" w:type="pct"/>
                  <w:vMerge w:val="continue"/>
                  <w:noWrap w:val="0"/>
                  <w:vAlign w:val="center"/>
                </w:tcPr>
                <w:p w14:paraId="5626BAC1">
                  <w:pPr>
                    <w:pStyle w:val="32"/>
                    <w:keepNext w:val="0"/>
                    <w:keepLines w:val="0"/>
                    <w:pageBreakBefore w:val="0"/>
                    <w:kinsoku/>
                    <w:wordWrap/>
                    <w:overflowPunct/>
                    <w:bidi w:val="0"/>
                    <w:spacing w:line="240" w:lineRule="auto"/>
                    <w:ind w:firstLine="0"/>
                    <w:jc w:val="center"/>
                    <w:rPr>
                      <w:rFonts w:hint="eastAsia" w:ascii="Times New Roman"/>
                      <w:b w:val="0"/>
                      <w:bCs/>
                      <w:color w:val="auto"/>
                      <w:sz w:val="21"/>
                      <w:szCs w:val="21"/>
                    </w:rPr>
                  </w:pPr>
                </w:p>
              </w:tc>
              <w:tc>
                <w:tcPr>
                  <w:tcW w:w="528" w:type="pct"/>
                  <w:noWrap w:val="0"/>
                  <w:vAlign w:val="center"/>
                </w:tcPr>
                <w:p w14:paraId="4989F62C">
                  <w:pPr>
                    <w:pStyle w:val="32"/>
                    <w:keepNext w:val="0"/>
                    <w:keepLines w:val="0"/>
                    <w:pageBreakBefore w:val="0"/>
                    <w:widowControl w:val="0"/>
                    <w:kinsoku/>
                    <w:wordWrap/>
                    <w:overflowPunct/>
                    <w:topLinePunct w:val="0"/>
                    <w:autoSpaceDE w:val="0"/>
                    <w:autoSpaceDN w:val="0"/>
                    <w:bidi w:val="0"/>
                    <w:adjustRightInd w:val="0"/>
                    <w:snapToGrid/>
                    <w:spacing w:line="240" w:lineRule="auto"/>
                    <w:ind w:left="-48" w:leftChars="-20" w:right="-48" w:rightChars="-20" w:firstLine="0" w:firstLineChars="0"/>
                    <w:jc w:val="center"/>
                    <w:textAlignment w:val="auto"/>
                    <w:rPr>
                      <w:rFonts w:hint="eastAsia" w:ascii="Times New Roman" w:eastAsia="宋体"/>
                      <w:b w:val="0"/>
                      <w:bCs/>
                      <w:color w:val="auto"/>
                      <w:sz w:val="21"/>
                      <w:szCs w:val="21"/>
                      <w:lang w:val="en-US" w:eastAsia="zh-CN"/>
                    </w:rPr>
                  </w:pPr>
                  <w:r>
                    <w:rPr>
                      <w:rFonts w:hint="default" w:ascii="Times New Roman" w:hAnsi="Times New Roman" w:eastAsia="宋体"/>
                      <w:b w:val="0"/>
                      <w:bCs/>
                      <w:color w:val="auto"/>
                      <w:sz w:val="21"/>
                      <w:szCs w:val="21"/>
                      <w:vertAlign w:val="baseline"/>
                      <w:lang w:val="en-US" w:eastAsia="zh-CN"/>
                    </w:rPr>
                    <w:t>HW</w:t>
                  </w:r>
                  <w:r>
                    <w:rPr>
                      <w:rFonts w:hint="eastAsia" w:ascii="Times New Roman"/>
                      <w:b w:val="0"/>
                      <w:bCs/>
                      <w:color w:val="auto"/>
                      <w:sz w:val="21"/>
                      <w:szCs w:val="21"/>
                      <w:vertAlign w:val="baseline"/>
                      <w:lang w:val="en-US" w:eastAsia="zh-CN"/>
                    </w:rPr>
                    <w:t>49</w:t>
                  </w:r>
                  <w:r>
                    <w:rPr>
                      <w:rFonts w:hint="eastAsia" w:ascii="Times New Roman" w:hAnsi="Times New Roman" w:eastAsia="宋体"/>
                      <w:b w:val="0"/>
                      <w:bCs/>
                      <w:color w:val="auto"/>
                      <w:sz w:val="21"/>
                      <w:szCs w:val="21"/>
                      <w:vertAlign w:val="baseline"/>
                      <w:lang w:val="en-US" w:eastAsia="zh-CN"/>
                    </w:rPr>
                    <w:t>/900-041-49</w:t>
                  </w:r>
                </w:p>
              </w:tc>
              <w:tc>
                <w:tcPr>
                  <w:tcW w:w="419" w:type="pct"/>
                  <w:noWrap w:val="0"/>
                  <w:vAlign w:val="center"/>
                </w:tcPr>
                <w:p w14:paraId="3542674B">
                  <w:pPr>
                    <w:keepNext w:val="0"/>
                    <w:keepLines w:val="0"/>
                    <w:pageBreakBefore w:val="0"/>
                    <w:widowControl/>
                    <w:kinsoku/>
                    <w:wordWrap/>
                    <w:overflowPunct/>
                    <w:bidi w:val="0"/>
                    <w:adjustRightInd w:val="0"/>
                    <w:spacing w:line="240" w:lineRule="auto"/>
                    <w:jc w:val="center"/>
                    <w:rPr>
                      <w:rFonts w:hint="eastAsia" w:ascii="Times New Roman" w:hAnsi="Times New Roman" w:cs="Times New Roman"/>
                      <w:b w:val="0"/>
                      <w:bCs/>
                      <w:color w:val="auto"/>
                      <w:kern w:val="0"/>
                      <w:sz w:val="21"/>
                      <w:szCs w:val="21"/>
                      <w:lang w:eastAsia="zh-CN"/>
                    </w:rPr>
                  </w:pPr>
                  <w:r>
                    <w:rPr>
                      <w:rFonts w:hint="eastAsia" w:ascii="Times New Roman" w:hAnsi="Times New Roman" w:cs="Times New Roman"/>
                      <w:b w:val="0"/>
                      <w:bCs/>
                      <w:color w:val="auto"/>
                      <w:kern w:val="0"/>
                      <w:sz w:val="21"/>
                      <w:szCs w:val="21"/>
                      <w:lang w:eastAsia="zh-CN"/>
                    </w:rPr>
                    <w:t>石油类</w:t>
                  </w:r>
                </w:p>
              </w:tc>
              <w:tc>
                <w:tcPr>
                  <w:tcW w:w="222" w:type="pct"/>
                  <w:noWrap w:val="0"/>
                  <w:vAlign w:val="center"/>
                </w:tcPr>
                <w:p w14:paraId="78770B17">
                  <w:pPr>
                    <w:pStyle w:val="32"/>
                    <w:keepNext w:val="0"/>
                    <w:keepLines w:val="0"/>
                    <w:pageBreakBefore w:val="0"/>
                    <w:kinsoku/>
                    <w:wordWrap/>
                    <w:overflowPunct/>
                    <w:bidi w:val="0"/>
                    <w:spacing w:line="240" w:lineRule="auto"/>
                    <w:ind w:firstLine="0"/>
                    <w:jc w:val="center"/>
                    <w:rPr>
                      <w:rFonts w:hint="eastAsia" w:ascii="Times New Roman"/>
                      <w:b w:val="0"/>
                      <w:bCs/>
                      <w:color w:val="auto"/>
                      <w:sz w:val="21"/>
                      <w:szCs w:val="21"/>
                    </w:rPr>
                  </w:pPr>
                  <w:r>
                    <w:rPr>
                      <w:rFonts w:hint="eastAsia" w:ascii="Times New Roman"/>
                      <w:b w:val="0"/>
                      <w:bCs/>
                      <w:color w:val="auto"/>
                      <w:sz w:val="21"/>
                      <w:szCs w:val="21"/>
                    </w:rPr>
                    <w:t>固态</w:t>
                  </w:r>
                </w:p>
              </w:tc>
              <w:tc>
                <w:tcPr>
                  <w:tcW w:w="414" w:type="pct"/>
                  <w:noWrap w:val="0"/>
                  <w:vAlign w:val="center"/>
                </w:tcPr>
                <w:p w14:paraId="5A386540">
                  <w:pPr>
                    <w:pStyle w:val="32"/>
                    <w:keepNext w:val="0"/>
                    <w:keepLines w:val="0"/>
                    <w:pageBreakBefore w:val="0"/>
                    <w:kinsoku/>
                    <w:wordWrap/>
                    <w:overflowPunct/>
                    <w:bidi w:val="0"/>
                    <w:spacing w:line="240" w:lineRule="auto"/>
                    <w:ind w:firstLine="0"/>
                    <w:jc w:val="center"/>
                    <w:rPr>
                      <w:rFonts w:hint="eastAsia" w:ascii="Times New Roman"/>
                      <w:b w:val="0"/>
                      <w:bCs/>
                      <w:color w:val="auto"/>
                      <w:sz w:val="21"/>
                      <w:szCs w:val="21"/>
                    </w:rPr>
                  </w:pPr>
                  <w:r>
                    <w:rPr>
                      <w:rFonts w:hint="eastAsia" w:ascii="Times New Roman"/>
                      <w:b w:val="0"/>
                      <w:bCs/>
                      <w:color w:val="auto"/>
                      <w:sz w:val="21"/>
                      <w:szCs w:val="21"/>
                    </w:rPr>
                    <w:t>T，I</w:t>
                  </w:r>
                </w:p>
              </w:tc>
              <w:tc>
                <w:tcPr>
                  <w:tcW w:w="414" w:type="pct"/>
                  <w:noWrap w:val="0"/>
                  <w:vAlign w:val="center"/>
                </w:tcPr>
                <w:p w14:paraId="2A0A901A">
                  <w:pPr>
                    <w:pStyle w:val="67"/>
                    <w:keepNext w:val="0"/>
                    <w:keepLines w:val="0"/>
                    <w:pageBreakBefore w:val="0"/>
                    <w:kinsoku/>
                    <w:wordWrap/>
                    <w:overflowPunct/>
                    <w:bidi w:val="0"/>
                    <w:spacing w:line="240" w:lineRule="auto"/>
                    <w:rPr>
                      <w:rFonts w:hint="default" w:ascii="Times New Roman" w:hAnsi="Times New Roman"/>
                      <w:b w:val="0"/>
                      <w:bCs/>
                      <w:color w:val="auto"/>
                      <w:sz w:val="21"/>
                      <w:szCs w:val="21"/>
                      <w:lang w:val="en-US" w:eastAsia="zh-CN"/>
                    </w:rPr>
                  </w:pPr>
                  <w:r>
                    <w:rPr>
                      <w:rFonts w:hint="default" w:ascii="Times New Roman" w:hAnsi="Times New Roman"/>
                      <w:b w:val="0"/>
                      <w:bCs/>
                      <w:color w:val="auto"/>
                      <w:sz w:val="21"/>
                      <w:szCs w:val="21"/>
                      <w:lang w:val="en-US" w:eastAsia="zh-CN"/>
                    </w:rPr>
                    <w:t>0.</w:t>
                  </w:r>
                  <w:r>
                    <w:rPr>
                      <w:rFonts w:hint="eastAsia"/>
                      <w:b w:val="0"/>
                      <w:bCs/>
                      <w:color w:val="auto"/>
                      <w:sz w:val="21"/>
                      <w:szCs w:val="21"/>
                      <w:lang w:val="en-US" w:eastAsia="zh-CN"/>
                    </w:rPr>
                    <w:t>0</w:t>
                  </w:r>
                  <w:r>
                    <w:rPr>
                      <w:rFonts w:hint="eastAsia" w:ascii="Times New Roman" w:hAnsi="Times New Roman"/>
                      <w:b w:val="0"/>
                      <w:bCs/>
                      <w:color w:val="auto"/>
                      <w:sz w:val="21"/>
                      <w:szCs w:val="21"/>
                      <w:lang w:val="en-US" w:eastAsia="zh-CN"/>
                    </w:rPr>
                    <w:t>1</w:t>
                  </w:r>
                  <w:r>
                    <w:rPr>
                      <w:rFonts w:hint="eastAsia"/>
                      <w:b w:val="0"/>
                      <w:bCs/>
                      <w:color w:val="auto"/>
                      <w:sz w:val="21"/>
                      <w:szCs w:val="21"/>
                      <w:lang w:val="en-US" w:eastAsia="zh-CN"/>
                    </w:rPr>
                    <w:t>5</w:t>
                  </w:r>
                </w:p>
              </w:tc>
              <w:tc>
                <w:tcPr>
                  <w:tcW w:w="513" w:type="pct"/>
                  <w:noWrap w:val="0"/>
                  <w:vAlign w:val="center"/>
                </w:tcPr>
                <w:p w14:paraId="5B7C9C72">
                  <w:pPr>
                    <w:pStyle w:val="32"/>
                    <w:keepNext w:val="0"/>
                    <w:keepLines w:val="0"/>
                    <w:pageBreakBefore w:val="0"/>
                    <w:kinsoku/>
                    <w:wordWrap/>
                    <w:overflowPunct/>
                    <w:bidi w:val="0"/>
                    <w:spacing w:line="240" w:lineRule="auto"/>
                    <w:ind w:firstLine="0"/>
                    <w:jc w:val="center"/>
                    <w:rPr>
                      <w:rFonts w:hint="eastAsia" w:ascii="Times New Roman"/>
                      <w:b w:val="0"/>
                      <w:bCs/>
                      <w:color w:val="auto"/>
                      <w:sz w:val="21"/>
                      <w:szCs w:val="21"/>
                      <w:lang w:eastAsia="zh-CN"/>
                    </w:rPr>
                  </w:pPr>
                  <w:r>
                    <w:rPr>
                      <w:rFonts w:hint="eastAsia" w:ascii="Times New Roman"/>
                      <w:b w:val="0"/>
                      <w:bCs/>
                      <w:color w:val="auto"/>
                      <w:sz w:val="21"/>
                      <w:szCs w:val="21"/>
                      <w:lang w:eastAsia="zh-CN"/>
                    </w:rPr>
                    <w:t>加盖封闭</w:t>
                  </w:r>
                </w:p>
              </w:tc>
              <w:tc>
                <w:tcPr>
                  <w:tcW w:w="609" w:type="pct"/>
                  <w:vMerge w:val="continue"/>
                  <w:noWrap w:val="0"/>
                  <w:vAlign w:val="center"/>
                </w:tcPr>
                <w:p w14:paraId="74885A60">
                  <w:pPr>
                    <w:pStyle w:val="32"/>
                    <w:keepNext w:val="0"/>
                    <w:keepLines w:val="0"/>
                    <w:pageBreakBefore w:val="0"/>
                    <w:kinsoku/>
                    <w:wordWrap/>
                    <w:overflowPunct/>
                    <w:bidi w:val="0"/>
                    <w:spacing w:line="240" w:lineRule="auto"/>
                    <w:ind w:firstLine="0"/>
                    <w:jc w:val="center"/>
                    <w:rPr>
                      <w:rFonts w:hint="eastAsia" w:ascii="Times New Roman"/>
                      <w:b w:val="0"/>
                      <w:bCs/>
                      <w:color w:val="auto"/>
                      <w:sz w:val="21"/>
                      <w:szCs w:val="21"/>
                    </w:rPr>
                  </w:pPr>
                </w:p>
              </w:tc>
              <w:tc>
                <w:tcPr>
                  <w:tcW w:w="416" w:type="pct"/>
                  <w:noWrap w:val="0"/>
                  <w:vAlign w:val="center"/>
                </w:tcPr>
                <w:p w14:paraId="76A37D55">
                  <w:pPr>
                    <w:pStyle w:val="67"/>
                    <w:keepNext w:val="0"/>
                    <w:keepLines w:val="0"/>
                    <w:pageBreakBefore w:val="0"/>
                    <w:kinsoku/>
                    <w:wordWrap/>
                    <w:overflowPunct/>
                    <w:bidi w:val="0"/>
                    <w:spacing w:line="240" w:lineRule="auto"/>
                    <w:rPr>
                      <w:rFonts w:hint="default" w:ascii="Times New Roman" w:hAnsi="Times New Roman"/>
                      <w:b w:val="0"/>
                      <w:bCs/>
                      <w:color w:val="auto"/>
                      <w:kern w:val="0"/>
                      <w:sz w:val="21"/>
                      <w:szCs w:val="21"/>
                      <w:lang w:val="en-US" w:eastAsia="zh-CN" w:bidi="ar-SA"/>
                    </w:rPr>
                  </w:pPr>
                  <w:r>
                    <w:rPr>
                      <w:rFonts w:hint="default" w:ascii="Times New Roman" w:hAnsi="Times New Roman"/>
                      <w:b w:val="0"/>
                      <w:bCs/>
                      <w:color w:val="auto"/>
                      <w:sz w:val="21"/>
                      <w:szCs w:val="21"/>
                      <w:lang w:val="en-US" w:eastAsia="zh-CN"/>
                    </w:rPr>
                    <w:t>0.</w:t>
                  </w:r>
                  <w:r>
                    <w:rPr>
                      <w:rFonts w:hint="eastAsia"/>
                      <w:b w:val="0"/>
                      <w:bCs/>
                      <w:color w:val="auto"/>
                      <w:sz w:val="21"/>
                      <w:szCs w:val="21"/>
                      <w:lang w:val="en-US" w:eastAsia="zh-CN"/>
                    </w:rPr>
                    <w:t>0</w:t>
                  </w:r>
                  <w:r>
                    <w:rPr>
                      <w:rFonts w:hint="eastAsia" w:ascii="Times New Roman" w:hAnsi="Times New Roman"/>
                      <w:b w:val="0"/>
                      <w:bCs/>
                      <w:color w:val="auto"/>
                      <w:sz w:val="21"/>
                      <w:szCs w:val="21"/>
                      <w:lang w:val="en-US" w:eastAsia="zh-CN"/>
                    </w:rPr>
                    <w:t>1</w:t>
                  </w:r>
                  <w:r>
                    <w:rPr>
                      <w:rFonts w:hint="eastAsia"/>
                      <w:b w:val="0"/>
                      <w:bCs/>
                      <w:color w:val="auto"/>
                      <w:sz w:val="21"/>
                      <w:szCs w:val="21"/>
                      <w:lang w:val="en-US" w:eastAsia="zh-CN"/>
                    </w:rPr>
                    <w:t>5</w:t>
                  </w:r>
                </w:p>
              </w:tc>
            </w:tr>
            <w:tr w14:paraId="485F8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3" w:type="pct"/>
                  <w:noWrap w:val="0"/>
                  <w:vAlign w:val="center"/>
                </w:tcPr>
                <w:p w14:paraId="1098E571">
                  <w:pPr>
                    <w:pStyle w:val="32"/>
                    <w:keepNext w:val="0"/>
                    <w:keepLines w:val="0"/>
                    <w:pageBreakBefore w:val="0"/>
                    <w:kinsoku/>
                    <w:wordWrap/>
                    <w:overflowPunct/>
                    <w:bidi w:val="0"/>
                    <w:spacing w:line="240" w:lineRule="auto"/>
                    <w:ind w:firstLine="0" w:firstLineChars="0"/>
                    <w:jc w:val="center"/>
                    <w:rPr>
                      <w:rFonts w:hint="default" w:ascii="Times New Roman"/>
                      <w:b w:val="0"/>
                      <w:bCs/>
                      <w:color w:val="auto"/>
                      <w:sz w:val="21"/>
                      <w:szCs w:val="21"/>
                      <w:lang w:val="en-US" w:eastAsia="zh-CN"/>
                    </w:rPr>
                  </w:pPr>
                  <w:r>
                    <w:rPr>
                      <w:rFonts w:hint="eastAsia" w:ascii="Times New Roman"/>
                      <w:b w:val="0"/>
                      <w:bCs/>
                      <w:color w:val="auto"/>
                      <w:sz w:val="21"/>
                      <w:szCs w:val="21"/>
                      <w:lang w:val="en-US" w:eastAsia="zh-CN"/>
                    </w:rPr>
                    <w:t>6</w:t>
                  </w:r>
                </w:p>
              </w:tc>
              <w:tc>
                <w:tcPr>
                  <w:tcW w:w="409" w:type="pct"/>
                  <w:noWrap w:val="0"/>
                  <w:vAlign w:val="center"/>
                </w:tcPr>
                <w:p w14:paraId="561F4009">
                  <w:pPr>
                    <w:keepNext w:val="0"/>
                    <w:keepLines w:val="0"/>
                    <w:pageBreakBefore w:val="0"/>
                    <w:widowControl/>
                    <w:kinsoku/>
                    <w:wordWrap/>
                    <w:overflowPunct/>
                    <w:bidi w:val="0"/>
                    <w:spacing w:line="240" w:lineRule="auto"/>
                    <w:jc w:val="center"/>
                    <w:textAlignment w:val="center"/>
                    <w:rPr>
                      <w:rFonts w:hint="eastAsia" w:ascii="Times New Roman" w:hAnsi="Times New Roman" w:eastAsia="宋体"/>
                      <w:b w:val="0"/>
                      <w:bCs/>
                      <w:color w:val="auto"/>
                      <w:kern w:val="2"/>
                      <w:sz w:val="21"/>
                      <w:szCs w:val="21"/>
                      <w:lang w:val="en-US" w:eastAsia="zh-CN" w:bidi="ar-SA"/>
                    </w:rPr>
                  </w:pPr>
                  <w:r>
                    <w:rPr>
                      <w:rFonts w:hint="eastAsia" w:ascii="Times New Roman"/>
                      <w:b w:val="0"/>
                      <w:bCs/>
                      <w:color w:val="auto"/>
                      <w:sz w:val="21"/>
                      <w:szCs w:val="21"/>
                      <w:lang w:val="en-US" w:eastAsia="zh-CN"/>
                    </w:rPr>
                    <w:t>职工</w:t>
                  </w:r>
                  <w:r>
                    <w:rPr>
                      <w:rFonts w:hint="eastAsia" w:ascii="Times New Roman"/>
                      <w:b w:val="0"/>
                      <w:bCs/>
                      <w:color w:val="auto"/>
                      <w:sz w:val="21"/>
                      <w:szCs w:val="21"/>
                    </w:rPr>
                    <w:t>生活</w:t>
                  </w:r>
                </w:p>
              </w:tc>
              <w:tc>
                <w:tcPr>
                  <w:tcW w:w="401" w:type="pct"/>
                  <w:noWrap w:val="0"/>
                  <w:vAlign w:val="center"/>
                </w:tcPr>
                <w:p w14:paraId="743DCCF4">
                  <w:pPr>
                    <w:keepNext w:val="0"/>
                    <w:keepLines w:val="0"/>
                    <w:pageBreakBefore w:val="0"/>
                    <w:widowControl/>
                    <w:kinsoku/>
                    <w:wordWrap/>
                    <w:overflowPunct/>
                    <w:bidi w:val="0"/>
                    <w:spacing w:line="240" w:lineRule="auto"/>
                    <w:jc w:val="center"/>
                    <w:textAlignment w:val="center"/>
                    <w:rPr>
                      <w:rFonts w:hint="default" w:ascii="Times New Roman" w:hAnsi="Times New Roman"/>
                      <w:b w:val="0"/>
                      <w:bCs/>
                      <w:color w:val="auto"/>
                      <w:kern w:val="2"/>
                      <w:sz w:val="21"/>
                      <w:szCs w:val="21"/>
                      <w:lang w:val="en-US" w:eastAsia="zh-CN" w:bidi="ar-SA"/>
                    </w:rPr>
                  </w:pPr>
                  <w:r>
                    <w:rPr>
                      <w:rFonts w:hint="eastAsia" w:ascii="Times New Roman"/>
                      <w:b w:val="0"/>
                      <w:bCs/>
                      <w:color w:val="auto"/>
                      <w:sz w:val="21"/>
                      <w:szCs w:val="21"/>
                    </w:rPr>
                    <w:t>生活垃圾</w:t>
                  </w:r>
                </w:p>
              </w:tc>
              <w:tc>
                <w:tcPr>
                  <w:tcW w:w="414" w:type="pct"/>
                  <w:noWrap w:val="0"/>
                  <w:vAlign w:val="center"/>
                </w:tcPr>
                <w:p w14:paraId="502CB885">
                  <w:pPr>
                    <w:pStyle w:val="32"/>
                    <w:keepNext w:val="0"/>
                    <w:keepLines w:val="0"/>
                    <w:pageBreakBefore w:val="0"/>
                    <w:kinsoku/>
                    <w:wordWrap/>
                    <w:overflowPunct/>
                    <w:bidi w:val="0"/>
                    <w:spacing w:line="240" w:lineRule="auto"/>
                    <w:ind w:firstLine="0" w:firstLineChars="0"/>
                    <w:jc w:val="center"/>
                    <w:rPr>
                      <w:rFonts w:hint="eastAsia" w:ascii="Times New Roman" w:hAnsi="宋体"/>
                      <w:b w:val="0"/>
                      <w:bCs/>
                      <w:color w:val="auto"/>
                      <w:kern w:val="2"/>
                      <w:sz w:val="21"/>
                      <w:szCs w:val="21"/>
                      <w:lang w:val="en-US" w:eastAsia="zh-CN" w:bidi="ar-SA"/>
                    </w:rPr>
                  </w:pPr>
                  <w:r>
                    <w:rPr>
                      <w:rFonts w:hint="eastAsia" w:ascii="Times New Roman"/>
                      <w:b w:val="0"/>
                      <w:bCs/>
                      <w:color w:val="auto"/>
                      <w:sz w:val="21"/>
                      <w:szCs w:val="21"/>
                    </w:rPr>
                    <w:t>生活垃圾</w:t>
                  </w:r>
                </w:p>
              </w:tc>
              <w:tc>
                <w:tcPr>
                  <w:tcW w:w="528" w:type="pct"/>
                  <w:noWrap w:val="0"/>
                  <w:vAlign w:val="center"/>
                </w:tcPr>
                <w:p w14:paraId="127B95FC">
                  <w:pPr>
                    <w:pStyle w:val="32"/>
                    <w:keepNext w:val="0"/>
                    <w:keepLines w:val="0"/>
                    <w:pageBreakBefore w:val="0"/>
                    <w:kinsoku/>
                    <w:wordWrap/>
                    <w:overflowPunct/>
                    <w:bidi w:val="0"/>
                    <w:spacing w:line="240" w:lineRule="auto"/>
                    <w:ind w:left="-48" w:leftChars="-20" w:right="-48" w:rightChars="-20" w:firstLine="0" w:firstLineChars="0"/>
                    <w:jc w:val="center"/>
                    <w:rPr>
                      <w:rFonts w:hint="default" w:ascii="Times New Roman" w:hAnsi="宋体" w:eastAsia="宋体"/>
                      <w:b w:val="0"/>
                      <w:bCs/>
                      <w:color w:val="auto"/>
                      <w:kern w:val="2"/>
                      <w:sz w:val="21"/>
                      <w:szCs w:val="21"/>
                      <w:lang w:val="en-US" w:eastAsia="zh-CN" w:bidi="ar-SA"/>
                    </w:rPr>
                  </w:pPr>
                  <w:r>
                    <w:rPr>
                      <w:rFonts w:hint="eastAsia" w:ascii="Times New Roman"/>
                      <w:b w:val="0"/>
                      <w:bCs/>
                      <w:color w:val="auto"/>
                      <w:sz w:val="21"/>
                      <w:szCs w:val="21"/>
                      <w:lang w:val="en-US" w:eastAsia="zh-CN"/>
                    </w:rPr>
                    <w:t>/</w:t>
                  </w:r>
                </w:p>
              </w:tc>
              <w:tc>
                <w:tcPr>
                  <w:tcW w:w="419" w:type="pct"/>
                  <w:noWrap w:val="0"/>
                  <w:vAlign w:val="center"/>
                </w:tcPr>
                <w:p w14:paraId="531D6315">
                  <w:pPr>
                    <w:pStyle w:val="32"/>
                    <w:keepNext w:val="0"/>
                    <w:keepLines w:val="0"/>
                    <w:pageBreakBefore w:val="0"/>
                    <w:kinsoku/>
                    <w:wordWrap/>
                    <w:overflowPunct/>
                    <w:bidi w:val="0"/>
                    <w:spacing w:line="240" w:lineRule="auto"/>
                    <w:ind w:firstLine="0" w:firstLineChars="0"/>
                    <w:jc w:val="center"/>
                    <w:rPr>
                      <w:rFonts w:hint="eastAsia" w:ascii="Times New Roman" w:hAnsi="宋体"/>
                      <w:b w:val="0"/>
                      <w:bCs/>
                      <w:color w:val="auto"/>
                      <w:kern w:val="2"/>
                      <w:sz w:val="21"/>
                      <w:szCs w:val="21"/>
                      <w:lang w:val="en-US" w:eastAsia="zh-CN" w:bidi="ar-SA"/>
                    </w:rPr>
                  </w:pPr>
                  <w:r>
                    <w:rPr>
                      <w:rFonts w:hint="eastAsia" w:ascii="Times New Roman"/>
                      <w:b w:val="0"/>
                      <w:bCs/>
                      <w:color w:val="auto"/>
                      <w:sz w:val="21"/>
                      <w:szCs w:val="21"/>
                    </w:rPr>
                    <w:t>-</w:t>
                  </w:r>
                </w:p>
              </w:tc>
              <w:tc>
                <w:tcPr>
                  <w:tcW w:w="222" w:type="pct"/>
                  <w:noWrap w:val="0"/>
                  <w:vAlign w:val="center"/>
                </w:tcPr>
                <w:p w14:paraId="7B2A9A97">
                  <w:pPr>
                    <w:pStyle w:val="32"/>
                    <w:keepNext w:val="0"/>
                    <w:keepLines w:val="0"/>
                    <w:pageBreakBefore w:val="0"/>
                    <w:kinsoku/>
                    <w:wordWrap/>
                    <w:overflowPunct/>
                    <w:bidi w:val="0"/>
                    <w:spacing w:line="240" w:lineRule="auto"/>
                    <w:ind w:firstLine="0" w:firstLineChars="0"/>
                    <w:jc w:val="center"/>
                    <w:rPr>
                      <w:rFonts w:hint="eastAsia" w:ascii="Times New Roman" w:hAnsi="宋体"/>
                      <w:b w:val="0"/>
                      <w:bCs/>
                      <w:color w:val="auto"/>
                      <w:kern w:val="2"/>
                      <w:sz w:val="21"/>
                      <w:szCs w:val="21"/>
                      <w:lang w:val="en-US" w:eastAsia="zh-CN" w:bidi="ar-SA"/>
                    </w:rPr>
                  </w:pPr>
                  <w:r>
                    <w:rPr>
                      <w:rFonts w:hint="eastAsia" w:ascii="Times New Roman"/>
                      <w:b w:val="0"/>
                      <w:bCs/>
                      <w:color w:val="auto"/>
                      <w:sz w:val="21"/>
                      <w:szCs w:val="21"/>
                    </w:rPr>
                    <w:t>固态</w:t>
                  </w:r>
                </w:p>
              </w:tc>
              <w:tc>
                <w:tcPr>
                  <w:tcW w:w="414" w:type="pct"/>
                  <w:noWrap w:val="0"/>
                  <w:vAlign w:val="center"/>
                </w:tcPr>
                <w:p w14:paraId="6AD20169">
                  <w:pPr>
                    <w:pStyle w:val="32"/>
                    <w:keepNext w:val="0"/>
                    <w:keepLines w:val="0"/>
                    <w:pageBreakBefore w:val="0"/>
                    <w:kinsoku/>
                    <w:wordWrap/>
                    <w:overflowPunct/>
                    <w:bidi w:val="0"/>
                    <w:spacing w:line="240" w:lineRule="auto"/>
                    <w:ind w:firstLine="0" w:firstLineChars="0"/>
                    <w:jc w:val="center"/>
                    <w:rPr>
                      <w:rFonts w:hint="eastAsia" w:ascii="Times New Roman" w:hAnsi="宋体"/>
                      <w:b w:val="0"/>
                      <w:bCs/>
                      <w:color w:val="auto"/>
                      <w:kern w:val="2"/>
                      <w:sz w:val="21"/>
                      <w:szCs w:val="21"/>
                      <w:lang w:val="en-US" w:eastAsia="zh-CN" w:bidi="ar-SA"/>
                    </w:rPr>
                  </w:pPr>
                  <w:r>
                    <w:rPr>
                      <w:rFonts w:hint="eastAsia" w:ascii="Times New Roman"/>
                      <w:b w:val="0"/>
                      <w:bCs/>
                      <w:color w:val="auto"/>
                      <w:sz w:val="21"/>
                      <w:szCs w:val="21"/>
                    </w:rPr>
                    <w:t>-</w:t>
                  </w:r>
                </w:p>
              </w:tc>
              <w:tc>
                <w:tcPr>
                  <w:tcW w:w="414" w:type="pct"/>
                  <w:noWrap w:val="0"/>
                  <w:vAlign w:val="center"/>
                </w:tcPr>
                <w:p w14:paraId="08360E00">
                  <w:pPr>
                    <w:pStyle w:val="67"/>
                    <w:keepNext w:val="0"/>
                    <w:keepLines w:val="0"/>
                    <w:pageBreakBefore w:val="0"/>
                    <w:kinsoku/>
                    <w:wordWrap/>
                    <w:overflowPunct/>
                    <w:bidi w:val="0"/>
                    <w:spacing w:line="240" w:lineRule="auto"/>
                    <w:rPr>
                      <w:rFonts w:hint="default" w:ascii="Times New Roman" w:hAnsi="Times New Roman"/>
                      <w:b w:val="0"/>
                      <w:bCs/>
                      <w:color w:val="auto"/>
                      <w:kern w:val="0"/>
                      <w:sz w:val="21"/>
                      <w:szCs w:val="21"/>
                      <w:lang w:val="en-US" w:eastAsia="zh-CN" w:bidi="ar-SA"/>
                    </w:rPr>
                  </w:pPr>
                  <w:r>
                    <w:rPr>
                      <w:rFonts w:hint="eastAsia" w:cs="宋体"/>
                      <w:b w:val="0"/>
                      <w:bCs/>
                      <w:color w:val="auto"/>
                      <w:kern w:val="2"/>
                      <w:sz w:val="21"/>
                      <w:szCs w:val="21"/>
                      <w:lang w:val="en-US" w:eastAsia="zh-CN"/>
                    </w:rPr>
                    <w:t>3</w:t>
                  </w:r>
                </w:p>
              </w:tc>
              <w:tc>
                <w:tcPr>
                  <w:tcW w:w="513" w:type="pct"/>
                  <w:noWrap w:val="0"/>
                  <w:vAlign w:val="center"/>
                </w:tcPr>
                <w:p w14:paraId="6A7FE72F">
                  <w:pPr>
                    <w:pStyle w:val="32"/>
                    <w:keepNext w:val="0"/>
                    <w:keepLines w:val="0"/>
                    <w:pageBreakBefore w:val="0"/>
                    <w:kinsoku/>
                    <w:wordWrap/>
                    <w:overflowPunct/>
                    <w:bidi w:val="0"/>
                    <w:spacing w:line="240" w:lineRule="auto"/>
                    <w:ind w:firstLine="0" w:firstLineChars="0"/>
                    <w:jc w:val="center"/>
                    <w:rPr>
                      <w:rFonts w:hint="eastAsia" w:ascii="Times New Roman" w:hAnsi="宋体"/>
                      <w:b w:val="0"/>
                      <w:bCs/>
                      <w:color w:val="auto"/>
                      <w:kern w:val="2"/>
                      <w:sz w:val="21"/>
                      <w:szCs w:val="21"/>
                      <w:lang w:val="en-US" w:eastAsia="zh-CN" w:bidi="ar-SA"/>
                    </w:rPr>
                  </w:pPr>
                  <w:r>
                    <w:rPr>
                      <w:rFonts w:hint="eastAsia" w:ascii="Times New Roman"/>
                      <w:b w:val="0"/>
                      <w:bCs/>
                      <w:color w:val="auto"/>
                      <w:sz w:val="21"/>
                      <w:szCs w:val="21"/>
                    </w:rPr>
                    <w:t>生活垃圾桶存放</w:t>
                  </w:r>
                </w:p>
              </w:tc>
              <w:tc>
                <w:tcPr>
                  <w:tcW w:w="609" w:type="pct"/>
                  <w:noWrap w:val="0"/>
                  <w:vAlign w:val="center"/>
                </w:tcPr>
                <w:p w14:paraId="463D9051">
                  <w:pPr>
                    <w:pStyle w:val="32"/>
                    <w:keepNext w:val="0"/>
                    <w:keepLines w:val="0"/>
                    <w:pageBreakBefore w:val="0"/>
                    <w:kinsoku/>
                    <w:wordWrap/>
                    <w:overflowPunct/>
                    <w:bidi w:val="0"/>
                    <w:spacing w:line="240" w:lineRule="auto"/>
                    <w:ind w:firstLine="0" w:firstLineChars="0"/>
                    <w:jc w:val="center"/>
                    <w:rPr>
                      <w:rFonts w:hint="eastAsia" w:ascii="Times New Roman" w:hAnsi="宋体"/>
                      <w:b w:val="0"/>
                      <w:bCs/>
                      <w:color w:val="auto"/>
                      <w:kern w:val="2"/>
                      <w:sz w:val="21"/>
                      <w:szCs w:val="21"/>
                      <w:lang w:val="en-US" w:eastAsia="zh-CN" w:bidi="ar-SA"/>
                    </w:rPr>
                  </w:pPr>
                  <w:r>
                    <w:rPr>
                      <w:rFonts w:hint="eastAsia" w:ascii="Times New Roman"/>
                      <w:b w:val="0"/>
                      <w:bCs/>
                      <w:color w:val="auto"/>
                      <w:sz w:val="21"/>
                      <w:szCs w:val="21"/>
                      <w:lang w:eastAsia="zh-CN"/>
                    </w:rPr>
                    <w:t>交由</w:t>
                  </w:r>
                  <w:r>
                    <w:rPr>
                      <w:rFonts w:hint="eastAsia" w:ascii="Times New Roman"/>
                      <w:b w:val="0"/>
                      <w:bCs/>
                      <w:color w:val="auto"/>
                      <w:sz w:val="21"/>
                      <w:szCs w:val="21"/>
                    </w:rPr>
                    <w:t>环卫部门</w:t>
                  </w:r>
                  <w:r>
                    <w:rPr>
                      <w:rFonts w:hint="eastAsia" w:ascii="Times New Roman"/>
                      <w:b w:val="0"/>
                      <w:bCs/>
                      <w:color w:val="auto"/>
                      <w:sz w:val="21"/>
                      <w:szCs w:val="21"/>
                      <w:lang w:eastAsia="zh-CN"/>
                    </w:rPr>
                    <w:t>统一</w:t>
                  </w:r>
                  <w:r>
                    <w:rPr>
                      <w:rFonts w:hint="eastAsia" w:ascii="Times New Roman"/>
                      <w:b w:val="0"/>
                      <w:bCs/>
                      <w:color w:val="auto"/>
                      <w:sz w:val="21"/>
                      <w:szCs w:val="21"/>
                    </w:rPr>
                    <w:t>清运</w:t>
                  </w:r>
                </w:p>
              </w:tc>
              <w:tc>
                <w:tcPr>
                  <w:tcW w:w="416" w:type="pct"/>
                  <w:noWrap w:val="0"/>
                  <w:vAlign w:val="center"/>
                </w:tcPr>
                <w:p w14:paraId="36492EF4">
                  <w:pPr>
                    <w:pStyle w:val="67"/>
                    <w:keepNext w:val="0"/>
                    <w:keepLines w:val="0"/>
                    <w:pageBreakBefore w:val="0"/>
                    <w:kinsoku/>
                    <w:wordWrap/>
                    <w:overflowPunct/>
                    <w:bidi w:val="0"/>
                    <w:spacing w:line="240" w:lineRule="auto"/>
                    <w:rPr>
                      <w:rFonts w:hint="eastAsia" w:ascii="Times New Roman" w:hAnsi="Times New Roman"/>
                      <w:b w:val="0"/>
                      <w:bCs/>
                      <w:color w:val="auto"/>
                      <w:kern w:val="0"/>
                      <w:sz w:val="21"/>
                      <w:szCs w:val="21"/>
                      <w:lang w:val="en-US" w:eastAsia="zh-CN" w:bidi="ar-SA"/>
                    </w:rPr>
                  </w:pPr>
                  <w:r>
                    <w:rPr>
                      <w:rFonts w:hint="eastAsia" w:cs="宋体"/>
                      <w:b w:val="0"/>
                      <w:bCs/>
                      <w:color w:val="auto"/>
                      <w:kern w:val="2"/>
                      <w:sz w:val="21"/>
                      <w:szCs w:val="21"/>
                      <w:lang w:val="en-US" w:eastAsia="zh-CN"/>
                    </w:rPr>
                    <w:t>3</w:t>
                  </w:r>
                </w:p>
              </w:tc>
            </w:tr>
          </w:tbl>
          <w:p w14:paraId="1AF59805">
            <w:pPr>
              <w:spacing w:line="360" w:lineRule="auto"/>
              <w:ind w:firstLine="480" w:firstLineChars="200"/>
              <w:jc w:val="both"/>
              <w:rPr>
                <w:sz w:val="24"/>
                <w:szCs w:val="24"/>
              </w:rPr>
            </w:pPr>
            <w:r>
              <w:rPr>
                <w:rFonts w:hint="eastAsia"/>
                <w:sz w:val="24"/>
                <w:szCs w:val="24"/>
              </w:rPr>
              <w:t>（3）</w:t>
            </w:r>
            <w:r>
              <w:rPr>
                <w:sz w:val="24"/>
                <w:szCs w:val="24"/>
              </w:rPr>
              <w:t>环境管理要求</w:t>
            </w:r>
          </w:p>
          <w:p w14:paraId="3F9CE2FF">
            <w:pPr>
              <w:spacing w:line="360" w:lineRule="auto"/>
              <w:ind w:firstLine="480" w:firstLineChars="200"/>
              <w:jc w:val="both"/>
              <w:rPr>
                <w:sz w:val="24"/>
                <w:szCs w:val="24"/>
              </w:rPr>
            </w:pPr>
            <w:r>
              <w:rPr>
                <w:rFonts w:hint="eastAsia"/>
                <w:sz w:val="24"/>
                <w:szCs w:val="24"/>
                <w:lang w:val="en-US" w:eastAsia="zh-CN"/>
              </w:rPr>
              <w:t>①</w:t>
            </w:r>
            <w:r>
              <w:rPr>
                <w:sz w:val="24"/>
                <w:szCs w:val="24"/>
              </w:rPr>
              <w:t>一般固废</w:t>
            </w:r>
          </w:p>
          <w:p w14:paraId="55227482">
            <w:pPr>
              <w:spacing w:line="360" w:lineRule="auto"/>
              <w:ind w:firstLine="480" w:firstLineChars="200"/>
              <w:jc w:val="both"/>
              <w:rPr>
                <w:sz w:val="24"/>
                <w:szCs w:val="24"/>
              </w:rPr>
            </w:pPr>
            <w:r>
              <w:rPr>
                <w:rFonts w:hint="eastAsia"/>
                <w:sz w:val="24"/>
                <w:szCs w:val="24"/>
                <w:lang w:val="en-US" w:eastAsia="zh-CN"/>
              </w:rPr>
              <w:t>2#生产车间内东北角</w:t>
            </w:r>
            <w:r>
              <w:rPr>
                <w:rFonts w:hint="eastAsia"/>
                <w:sz w:val="24"/>
                <w:szCs w:val="24"/>
                <w:lang w:eastAsia="zh-CN"/>
              </w:rPr>
              <w:t>设置</w:t>
            </w:r>
            <w:r>
              <w:rPr>
                <w:rFonts w:hint="eastAsia"/>
                <w:kern w:val="0"/>
                <w:sz w:val="24"/>
                <w:szCs w:val="24"/>
                <w:lang w:bidi="en-US"/>
              </w:rPr>
              <w:t>一座</w:t>
            </w:r>
            <w:r>
              <w:rPr>
                <w:kern w:val="0"/>
                <w:sz w:val="24"/>
                <w:szCs w:val="24"/>
                <w:lang w:bidi="en-US"/>
              </w:rPr>
              <w:t>一般固废</w:t>
            </w:r>
            <w:r>
              <w:rPr>
                <w:rFonts w:hint="eastAsia"/>
                <w:kern w:val="0"/>
                <w:sz w:val="24"/>
                <w:szCs w:val="24"/>
                <w:lang w:val="en-US" w:eastAsia="zh-CN" w:bidi="en-US"/>
              </w:rPr>
              <w:t>间</w:t>
            </w:r>
            <w:r>
              <w:rPr>
                <w:kern w:val="0"/>
                <w:sz w:val="24"/>
                <w:szCs w:val="24"/>
                <w:lang w:bidi="en-US"/>
              </w:rPr>
              <w:t>，建筑面积约</w:t>
            </w:r>
            <w:r>
              <w:rPr>
                <w:rFonts w:hint="eastAsia"/>
                <w:kern w:val="0"/>
                <w:sz w:val="24"/>
                <w:szCs w:val="24"/>
                <w:lang w:val="en-US" w:eastAsia="zh-CN" w:bidi="en-US"/>
              </w:rPr>
              <w:t>1</w:t>
            </w:r>
            <w:r>
              <w:rPr>
                <w:kern w:val="0"/>
                <w:sz w:val="24"/>
                <w:szCs w:val="24"/>
                <w:lang w:bidi="en-US"/>
              </w:rPr>
              <w:t>0m</w:t>
            </w:r>
            <w:r>
              <w:rPr>
                <w:kern w:val="0"/>
                <w:sz w:val="24"/>
                <w:szCs w:val="24"/>
                <w:vertAlign w:val="superscript"/>
                <w:lang w:bidi="en-US"/>
              </w:rPr>
              <w:t>2</w:t>
            </w:r>
            <w:r>
              <w:rPr>
                <w:kern w:val="0"/>
                <w:sz w:val="24"/>
                <w:szCs w:val="24"/>
                <w:lang w:bidi="en-US"/>
              </w:rPr>
              <w:t>，</w:t>
            </w:r>
            <w:r>
              <w:rPr>
                <w:sz w:val="24"/>
                <w:szCs w:val="24"/>
              </w:rPr>
              <w:t>一般固体废物收集后一般固废库暂存，外售综合利用，本项目一般性生产固体废物种类明确，各类固体废物处置去向明确，均得到有效处置，一般固废处置方式切实可行。地面进行一般防渗处理，其防渗要求采用刚性防渗结构，即采用抗渗混凝土（厚度不宜小于100mm）作面层，其下铺砌砂石基层，原土夯实达到防渗目的，一般固废的暂存执行《一般工业固体废物贮存和填埋污染控制标准》（GB18599-2020）要求。</w:t>
            </w:r>
          </w:p>
          <w:p w14:paraId="66AF002D">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both"/>
              <w:textAlignment w:val="auto"/>
              <w:rPr>
                <w:sz w:val="24"/>
                <w:szCs w:val="24"/>
              </w:rPr>
            </w:pPr>
            <w:r>
              <w:rPr>
                <w:rFonts w:hint="eastAsia"/>
                <w:sz w:val="24"/>
                <w:szCs w:val="24"/>
                <w:lang w:val="en-US" w:eastAsia="zh-CN"/>
              </w:rPr>
              <w:t>②</w:t>
            </w:r>
            <w:r>
              <w:rPr>
                <w:sz w:val="24"/>
                <w:szCs w:val="24"/>
              </w:rPr>
              <w:t>危险废物</w:t>
            </w:r>
          </w:p>
          <w:p w14:paraId="4D8D8E90">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both"/>
              <w:textAlignment w:val="auto"/>
              <w:rPr>
                <w:sz w:val="24"/>
                <w:szCs w:val="24"/>
              </w:rPr>
            </w:pPr>
            <w:r>
              <w:rPr>
                <w:rFonts w:hint="eastAsia"/>
                <w:sz w:val="24"/>
                <w:szCs w:val="24"/>
                <w:lang w:val="en-US" w:eastAsia="zh-CN"/>
              </w:rPr>
              <w:t>a</w:t>
            </w:r>
            <w:r>
              <w:rPr>
                <w:rFonts w:hint="eastAsia"/>
                <w:sz w:val="24"/>
                <w:szCs w:val="24"/>
                <w:lang w:eastAsia="zh-CN"/>
              </w:rPr>
              <w:t>、</w:t>
            </w:r>
            <w:r>
              <w:rPr>
                <w:sz w:val="24"/>
                <w:szCs w:val="24"/>
              </w:rPr>
              <w:t>危废暂存间设置</w:t>
            </w:r>
          </w:p>
          <w:p w14:paraId="070F7040">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both"/>
              <w:textAlignment w:val="auto"/>
              <w:rPr>
                <w:rFonts w:hint="eastAsia" w:ascii="Times New Roman" w:hAnsi="Times New Roman"/>
                <w:color w:val="auto"/>
                <w:sz w:val="24"/>
              </w:rPr>
            </w:pPr>
            <w:r>
              <w:rPr>
                <w:rFonts w:hint="eastAsia"/>
                <w:sz w:val="24"/>
                <w:szCs w:val="24"/>
                <w:lang w:val="en-US" w:eastAsia="zh-CN"/>
              </w:rPr>
              <w:t>拟在防水池旁边</w:t>
            </w:r>
            <w:r>
              <w:rPr>
                <w:rFonts w:hint="eastAsia"/>
                <w:sz w:val="24"/>
                <w:szCs w:val="24"/>
                <w:lang w:eastAsia="zh-CN"/>
              </w:rPr>
              <w:t>设置危废暂存间，</w:t>
            </w:r>
            <w:r>
              <w:rPr>
                <w:kern w:val="0"/>
                <w:sz w:val="24"/>
                <w:szCs w:val="24"/>
                <w:lang w:bidi="en-US"/>
              </w:rPr>
              <w:t>建筑面积约</w:t>
            </w:r>
            <w:r>
              <w:rPr>
                <w:rFonts w:hint="eastAsia"/>
                <w:kern w:val="0"/>
                <w:sz w:val="24"/>
                <w:szCs w:val="24"/>
                <w:lang w:val="en-US" w:eastAsia="zh-CN" w:bidi="en-US"/>
              </w:rPr>
              <w:t>5</w:t>
            </w:r>
            <w:r>
              <w:rPr>
                <w:kern w:val="0"/>
                <w:sz w:val="24"/>
                <w:szCs w:val="24"/>
                <w:lang w:bidi="en-US"/>
              </w:rPr>
              <w:t>m</w:t>
            </w:r>
            <w:r>
              <w:rPr>
                <w:kern w:val="0"/>
                <w:sz w:val="24"/>
                <w:szCs w:val="24"/>
                <w:vertAlign w:val="superscript"/>
                <w:lang w:bidi="en-US"/>
              </w:rPr>
              <w:t>2</w:t>
            </w:r>
            <w:r>
              <w:rPr>
                <w:rFonts w:hint="eastAsia"/>
                <w:kern w:val="0"/>
                <w:sz w:val="24"/>
                <w:szCs w:val="24"/>
                <w:lang w:eastAsia="zh-CN" w:bidi="en-US"/>
              </w:rPr>
              <w:t>，</w:t>
            </w:r>
            <w:r>
              <w:rPr>
                <w:rFonts w:hint="eastAsia"/>
                <w:kern w:val="0"/>
                <w:sz w:val="24"/>
                <w:szCs w:val="24"/>
                <w:lang w:val="en-US" w:eastAsia="zh-CN" w:bidi="en-US"/>
              </w:rPr>
              <w:t>容积约为20</w:t>
            </w:r>
            <w:r>
              <w:rPr>
                <w:kern w:val="0"/>
                <w:sz w:val="24"/>
                <w:szCs w:val="24"/>
                <w:lang w:bidi="en-US"/>
              </w:rPr>
              <w:t>m</w:t>
            </w:r>
            <w:r>
              <w:rPr>
                <w:rFonts w:hint="eastAsia"/>
                <w:kern w:val="0"/>
                <w:sz w:val="24"/>
                <w:szCs w:val="24"/>
                <w:vertAlign w:val="superscript"/>
                <w:lang w:val="en-US" w:eastAsia="zh-CN" w:bidi="en-US"/>
              </w:rPr>
              <w:t>3</w:t>
            </w:r>
            <w:r>
              <w:rPr>
                <w:rFonts w:hint="eastAsia"/>
                <w:kern w:val="0"/>
                <w:sz w:val="24"/>
                <w:szCs w:val="24"/>
                <w:lang w:eastAsia="zh-CN" w:bidi="en-US"/>
              </w:rPr>
              <w:t>。</w:t>
            </w:r>
            <w:r>
              <w:rPr>
                <w:sz w:val="24"/>
                <w:szCs w:val="24"/>
              </w:rPr>
              <w:t>危废库设置危险废物暂存标志，用于生产危废的暂存，各危险废物分类</w:t>
            </w:r>
            <w:r>
              <w:rPr>
                <w:rFonts w:hint="eastAsia"/>
                <w:sz w:val="24"/>
                <w:szCs w:val="24"/>
                <w:lang w:val="en-US" w:eastAsia="zh-CN"/>
              </w:rPr>
              <w:t>分区</w:t>
            </w:r>
            <w:r>
              <w:rPr>
                <w:sz w:val="24"/>
                <w:szCs w:val="24"/>
              </w:rPr>
              <w:t>贮存。</w:t>
            </w:r>
            <w:r>
              <w:rPr>
                <w:rFonts w:hint="eastAsia" w:ascii="Times New Roman" w:hAnsi="Times New Roman"/>
                <w:color w:val="auto"/>
                <w:sz w:val="24"/>
                <w:lang w:eastAsia="zh-CN"/>
              </w:rPr>
              <w:t>本项目</w:t>
            </w:r>
            <w:r>
              <w:rPr>
                <w:rFonts w:hint="eastAsia" w:ascii="Times New Roman" w:hAnsi="Times New Roman"/>
                <w:color w:val="auto"/>
                <w:sz w:val="24"/>
              </w:rPr>
              <w:t>危废</w:t>
            </w:r>
            <w:r>
              <w:rPr>
                <w:rFonts w:hint="eastAsia" w:ascii="Times New Roman" w:hAnsi="Times New Roman" w:cs="Times New Roman"/>
                <w:color w:val="auto"/>
                <w:kern w:val="0"/>
                <w:sz w:val="24"/>
                <w:lang w:eastAsia="zh-CN"/>
              </w:rPr>
              <w:t>产生量为</w:t>
            </w:r>
            <w:r>
              <w:rPr>
                <w:rFonts w:hint="eastAsia" w:cs="Times New Roman"/>
                <w:color w:val="auto"/>
                <w:kern w:val="0"/>
                <w:sz w:val="24"/>
                <w:lang w:val="en-US" w:eastAsia="zh-CN"/>
              </w:rPr>
              <w:t>33.305</w:t>
            </w:r>
            <w:r>
              <w:rPr>
                <w:rFonts w:ascii="Times New Roman" w:hAnsi="Times New Roman" w:cs="Times New Roman"/>
                <w:color w:val="auto"/>
                <w:kern w:val="0"/>
                <w:sz w:val="24"/>
              </w:rPr>
              <w:t>t/a，</w:t>
            </w:r>
            <w:r>
              <w:rPr>
                <w:rFonts w:hint="eastAsia" w:ascii="Times New Roman" w:hAnsi="Times New Roman" w:cs="Times New Roman"/>
                <w:color w:val="auto"/>
                <w:kern w:val="0"/>
                <w:sz w:val="24"/>
                <w:lang w:eastAsia="zh-CN"/>
              </w:rPr>
              <w:t>每</w:t>
            </w:r>
            <w:r>
              <w:rPr>
                <w:rFonts w:hint="eastAsia" w:cs="Times New Roman"/>
                <w:color w:val="auto"/>
                <w:kern w:val="0"/>
                <w:sz w:val="24"/>
                <w:lang w:val="en-US" w:eastAsia="zh-CN"/>
              </w:rPr>
              <w:t>季度</w:t>
            </w:r>
            <w:r>
              <w:rPr>
                <w:rFonts w:ascii="Times New Roman" w:hAnsi="Times New Roman" w:cs="Times New Roman"/>
                <w:color w:val="auto"/>
                <w:kern w:val="0"/>
                <w:sz w:val="24"/>
              </w:rPr>
              <w:t>转运一次，容量可满足需求</w:t>
            </w:r>
            <w:r>
              <w:rPr>
                <w:rFonts w:ascii="Times New Roman" w:hAnsi="Times New Roman" w:cs="Times New Roman"/>
                <w:color w:val="auto"/>
                <w:sz w:val="24"/>
              </w:rPr>
              <w:t>。</w:t>
            </w:r>
            <w:r>
              <w:rPr>
                <w:rFonts w:hint="eastAsia" w:ascii="Times New Roman" w:hAnsi="Times New Roman" w:cs="Times New Roman"/>
                <w:color w:val="auto"/>
                <w:sz w:val="24"/>
              </w:rPr>
              <w:t>各类危险废物分类存放，且</w:t>
            </w:r>
            <w:r>
              <w:rPr>
                <w:rFonts w:ascii="Times New Roman" w:hAnsi="Times New Roman" w:cs="Times New Roman"/>
                <w:color w:val="auto"/>
                <w:sz w:val="24"/>
              </w:rPr>
              <w:t>委托有</w:t>
            </w:r>
            <w:r>
              <w:rPr>
                <w:rFonts w:hint="eastAsia" w:ascii="Times New Roman" w:hAnsi="Times New Roman" w:cs="Times New Roman"/>
                <w:color w:val="auto"/>
                <w:sz w:val="24"/>
                <w:lang w:eastAsia="zh-CN"/>
              </w:rPr>
              <w:t>相应</w:t>
            </w:r>
            <w:r>
              <w:rPr>
                <w:rFonts w:ascii="Times New Roman" w:hAnsi="Times New Roman" w:cs="Times New Roman"/>
                <w:color w:val="auto"/>
                <w:sz w:val="24"/>
              </w:rPr>
              <w:t>处理资质的单位定期清运处置</w:t>
            </w:r>
            <w:r>
              <w:rPr>
                <w:rFonts w:hint="eastAsia" w:ascii="Times New Roman" w:hAnsi="Times New Roman" w:cs="Times New Roman"/>
                <w:color w:val="auto"/>
                <w:sz w:val="24"/>
              </w:rPr>
              <w:t>，不在厂区内长期存放。</w:t>
            </w:r>
          </w:p>
          <w:p w14:paraId="45230A20">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both"/>
              <w:textAlignment w:val="auto"/>
              <w:rPr>
                <w:sz w:val="24"/>
                <w:szCs w:val="24"/>
              </w:rPr>
            </w:pPr>
            <w:r>
              <w:rPr>
                <w:kern w:val="0"/>
                <w:sz w:val="24"/>
                <w:szCs w:val="24"/>
              </w:rPr>
              <w:t>危废暂存库</w:t>
            </w:r>
            <w:r>
              <w:rPr>
                <w:sz w:val="24"/>
                <w:szCs w:val="24"/>
              </w:rPr>
              <w:t>地面及四周墙面进行重点防渗处理，其下铺砌砂石基层，原土夯实，</w:t>
            </w:r>
            <w:r>
              <w:rPr>
                <w:kern w:val="0"/>
                <w:sz w:val="24"/>
                <w:szCs w:val="24"/>
              </w:rPr>
              <w:t>地面采用防渗混凝土硬化，混凝土上方涂刷环氧树脂涂料；等效黏土防渗层Mb≥6.0m，K≤1×10</w:t>
            </w:r>
            <w:r>
              <w:rPr>
                <w:kern w:val="0"/>
                <w:sz w:val="24"/>
                <w:szCs w:val="24"/>
                <w:vertAlign w:val="superscript"/>
              </w:rPr>
              <w:t>-7</w:t>
            </w:r>
            <w:r>
              <w:rPr>
                <w:kern w:val="0"/>
                <w:sz w:val="24"/>
                <w:szCs w:val="24"/>
              </w:rPr>
              <w:t>m/s。</w:t>
            </w:r>
            <w:r>
              <w:rPr>
                <w:sz w:val="24"/>
                <w:szCs w:val="24"/>
              </w:rPr>
              <w:t>危险废物暂存间按照《危险废物贮存污染控制标准》（GB18597-2023）要求建设，做好防渗措施，并设置环境保护图形标志，入库、出库应进行登记，档案长期保存，以备核查。各危险废物应装入危险废物专用容器，并</w:t>
            </w:r>
            <w:r>
              <w:rPr>
                <w:rFonts w:hint="eastAsia"/>
                <w:sz w:val="24"/>
                <w:szCs w:val="24"/>
                <w:lang w:eastAsia="zh-CN"/>
              </w:rPr>
              <w:t>粘贴</w:t>
            </w:r>
            <w:r>
              <w:rPr>
                <w:sz w:val="24"/>
                <w:szCs w:val="24"/>
              </w:rPr>
              <w:t>符合规范要求标签后存放在危废库，在转运过</w:t>
            </w:r>
            <w:r>
              <w:rPr>
                <w:rFonts w:hint="eastAsia"/>
                <w:sz w:val="24"/>
                <w:szCs w:val="24"/>
                <w:lang w:eastAsia="zh-CN"/>
              </w:rPr>
              <w:t>程中</w:t>
            </w:r>
            <w:r>
              <w:rPr>
                <w:sz w:val="24"/>
                <w:szCs w:val="24"/>
              </w:rPr>
              <w:t>，应加强管理，严防泄漏，避免产生二次污染。环评要求企业加强危废的入出库管理，及时联系有资质的单位清运、处理暂存的危废，保持危废间危废的正常流转。</w:t>
            </w:r>
          </w:p>
          <w:p w14:paraId="2EC4412F">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both"/>
              <w:textAlignment w:val="auto"/>
              <w:rPr>
                <w:sz w:val="24"/>
                <w:szCs w:val="24"/>
              </w:rPr>
            </w:pPr>
            <w:r>
              <w:rPr>
                <w:rFonts w:hint="eastAsia"/>
                <w:sz w:val="24"/>
                <w:szCs w:val="24"/>
              </w:rPr>
              <w:t>此外，</w:t>
            </w:r>
            <w:r>
              <w:rPr>
                <w:sz w:val="24"/>
                <w:szCs w:val="24"/>
              </w:rPr>
              <w:t>本项目危险废物仓库储存的危险废物主要为</w:t>
            </w:r>
            <w:r>
              <w:rPr>
                <w:rFonts w:hint="eastAsia"/>
                <w:sz w:val="24"/>
                <w:szCs w:val="24"/>
              </w:rPr>
              <w:t>少量</w:t>
            </w:r>
            <w:r>
              <w:rPr>
                <w:sz w:val="24"/>
                <w:szCs w:val="24"/>
              </w:rPr>
              <w:t>废</w:t>
            </w:r>
            <w:r>
              <w:rPr>
                <w:rFonts w:hint="eastAsia"/>
                <w:sz w:val="24"/>
                <w:szCs w:val="24"/>
              </w:rPr>
              <w:t>矿物油</w:t>
            </w:r>
            <w:r>
              <w:rPr>
                <w:sz w:val="24"/>
                <w:szCs w:val="24"/>
              </w:rPr>
              <w:t>、废包装桶、</w:t>
            </w:r>
            <w:r>
              <w:rPr>
                <w:rFonts w:hint="eastAsia"/>
                <w:sz w:val="24"/>
                <w:szCs w:val="24"/>
                <w:lang w:val="en-US" w:eastAsia="zh-CN"/>
              </w:rPr>
              <w:t>干式过滤废滤材、</w:t>
            </w:r>
            <w:r>
              <w:rPr>
                <w:sz w:val="24"/>
                <w:szCs w:val="24"/>
              </w:rPr>
              <w:t>废活性炭等，会</w:t>
            </w:r>
            <w:r>
              <w:rPr>
                <w:rFonts w:hint="eastAsia"/>
                <w:sz w:val="24"/>
                <w:szCs w:val="24"/>
              </w:rPr>
              <w:t>有</w:t>
            </w:r>
            <w:r>
              <w:rPr>
                <w:sz w:val="24"/>
                <w:szCs w:val="24"/>
              </w:rPr>
              <w:t>少量的异味产生，本</w:t>
            </w:r>
            <w:r>
              <w:rPr>
                <w:rFonts w:hint="eastAsia"/>
                <w:sz w:val="24"/>
                <w:szCs w:val="24"/>
              </w:rPr>
              <w:t>环评要求</w:t>
            </w:r>
            <w:r>
              <w:rPr>
                <w:sz w:val="24"/>
                <w:szCs w:val="24"/>
              </w:rPr>
              <w:t>废</w:t>
            </w:r>
            <w:r>
              <w:rPr>
                <w:rFonts w:hint="eastAsia"/>
                <w:sz w:val="24"/>
                <w:szCs w:val="24"/>
              </w:rPr>
              <w:t>矿物油</w:t>
            </w:r>
            <w:r>
              <w:rPr>
                <w:sz w:val="24"/>
                <w:szCs w:val="24"/>
              </w:rPr>
              <w:t>均桶装密封储存，废包装桶加盖密封后堆存、</w:t>
            </w:r>
            <w:r>
              <w:rPr>
                <w:rFonts w:hint="eastAsia"/>
                <w:sz w:val="24"/>
                <w:szCs w:val="24"/>
                <w:lang w:val="en-US" w:eastAsia="zh-CN"/>
              </w:rPr>
              <w:t>干式过滤废滤材和</w:t>
            </w:r>
            <w:r>
              <w:rPr>
                <w:sz w:val="24"/>
                <w:szCs w:val="24"/>
              </w:rPr>
              <w:t>废活性炭均袋装密封储存，从入库到出库，整个环节都保持原始包装状态，贮存过程不打开包装容器，故有机废气挥发量很少，从源头减少有机废气产生。</w:t>
            </w:r>
          </w:p>
          <w:p w14:paraId="3B508901">
            <w:pPr>
              <w:pStyle w:val="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leftChars="0" w:firstLine="480" w:firstLineChars="200"/>
              <w:jc w:val="both"/>
              <w:textAlignment w:val="auto"/>
              <w:outlineLvl w:val="2"/>
              <w:rPr>
                <w:b w:val="0"/>
                <w:sz w:val="24"/>
                <w:szCs w:val="24"/>
              </w:rPr>
            </w:pPr>
            <w:r>
              <w:rPr>
                <w:rFonts w:hint="eastAsia" w:cs="Times New Roman"/>
                <w:b w:val="0"/>
                <w:bCs w:val="0"/>
                <w:kern w:val="2"/>
                <w:sz w:val="24"/>
                <w:szCs w:val="24"/>
                <w:lang w:val="en-US" w:eastAsia="zh-CN" w:bidi="ar-SA"/>
              </w:rPr>
              <w:t>b、</w:t>
            </w:r>
            <w:r>
              <w:rPr>
                <w:rFonts w:hint="eastAsia" w:ascii="Times New Roman" w:hAnsi="Times New Roman" w:eastAsia="宋体" w:cs="Times New Roman"/>
                <w:b w:val="0"/>
                <w:bCs w:val="0"/>
                <w:kern w:val="2"/>
                <w:sz w:val="24"/>
                <w:szCs w:val="24"/>
                <w:lang w:val="en-US" w:eastAsia="zh-CN" w:bidi="ar-SA"/>
              </w:rPr>
              <w:t>危险废物贮存场所（设施）环境影响分析</w:t>
            </w:r>
          </w:p>
          <w:p w14:paraId="1DD8E70A">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both"/>
              <w:textAlignment w:val="auto"/>
              <w:rPr>
                <w:sz w:val="24"/>
                <w:szCs w:val="24"/>
              </w:rPr>
            </w:pPr>
            <w:r>
              <w:rPr>
                <w:sz w:val="24"/>
                <w:szCs w:val="24"/>
              </w:rPr>
              <w:t>危废库按照《危险废物贮存污染控制标准》（GB18597-2023）、《危险废物污染防治技术政策》的相关规定进行建设、管理，采取必要的防风、防晒、防雨、防漏、防渗、防腐以及其他环境污染防治措施，液态危废采取桶装密封暂存，危废库地面与裙角均采用防渗材料建造，设置标志牌，由专业人员操作，单独收集和贮运，并制定好危险废物转移运输途中的污染防范及事故应急措施，严格按照要求办理有关手续。</w:t>
            </w:r>
          </w:p>
          <w:p w14:paraId="465AE6D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sz w:val="24"/>
                <w:szCs w:val="24"/>
              </w:rPr>
            </w:pPr>
            <w:r>
              <w:rPr>
                <w:sz w:val="24"/>
                <w:szCs w:val="24"/>
              </w:rPr>
              <w:t>本项目危险废物在厂内贮存时，执行《危险废物贮存污染控制标准》（GB18597-2023）中相关规定，规范建设危废库，具体措施如下：</w:t>
            </w:r>
          </w:p>
          <w:p w14:paraId="134F20A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sz w:val="24"/>
                <w:szCs w:val="24"/>
              </w:rPr>
            </w:pPr>
            <w:r>
              <w:rPr>
                <w:sz w:val="24"/>
                <w:szCs w:val="24"/>
              </w:rPr>
              <w:t>①贮存设施应根据危险废物的形态、物理化学性质、包装形式和污染物迁移途径，采取必要的防风、防晒、防雨、防漏、防渗、防腐以及其他环境污染防治措施，不应露天堆放危险废物。</w:t>
            </w:r>
          </w:p>
          <w:p w14:paraId="6F4A198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sz w:val="24"/>
                <w:szCs w:val="24"/>
              </w:rPr>
            </w:pPr>
            <w:r>
              <w:rPr>
                <w:sz w:val="24"/>
                <w:szCs w:val="24"/>
              </w:rPr>
              <w:t>②贮存设施应根据危险废物的类别、数量、形态、物理化学性质和污染防治等要求设置必要的贮存分区，避免不相容的危险废物接触、混合。</w:t>
            </w:r>
          </w:p>
          <w:p w14:paraId="514FC9C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sz w:val="24"/>
                <w:szCs w:val="24"/>
              </w:rPr>
            </w:pPr>
            <w:r>
              <w:rPr>
                <w:sz w:val="24"/>
                <w:szCs w:val="24"/>
              </w:rPr>
              <w:t>③贮存设施或贮存分区内地面、墙面裙脚、堵截泄漏的围堰、接触危险废物的隔板和墙体等应采用坚固的材料建造，表面无裂缝。</w:t>
            </w:r>
          </w:p>
          <w:p w14:paraId="413A2F90">
            <w:pPr>
              <w:spacing w:line="360" w:lineRule="auto"/>
              <w:ind w:firstLine="480" w:firstLineChars="200"/>
              <w:jc w:val="both"/>
              <w:rPr>
                <w:sz w:val="24"/>
                <w:szCs w:val="24"/>
              </w:rPr>
            </w:pPr>
            <w:r>
              <w:rPr>
                <w:sz w:val="24"/>
                <w:szCs w:val="24"/>
              </w:rPr>
              <w:t>④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 m厚黏土层（渗透系数不大于10</w:t>
            </w:r>
            <w:r>
              <w:rPr>
                <w:sz w:val="24"/>
                <w:szCs w:val="24"/>
                <w:vertAlign w:val="superscript"/>
              </w:rPr>
              <w:t>-7</w:t>
            </w:r>
            <w:r>
              <w:rPr>
                <w:sz w:val="24"/>
                <w:szCs w:val="24"/>
              </w:rPr>
              <w:t>cm/s），或至少2mm厚高密度聚乙烯膜等人工防渗材料（渗透系数不大于10</w:t>
            </w:r>
            <w:r>
              <w:rPr>
                <w:sz w:val="24"/>
                <w:szCs w:val="24"/>
                <w:vertAlign w:val="superscript"/>
              </w:rPr>
              <w:t>-10</w:t>
            </w:r>
            <w:r>
              <w:rPr>
                <w:sz w:val="24"/>
                <w:szCs w:val="24"/>
              </w:rPr>
              <w:t>cm/s），或其他防渗性能等效的材料。</w:t>
            </w:r>
          </w:p>
          <w:p w14:paraId="6DECA527">
            <w:pPr>
              <w:spacing w:line="360" w:lineRule="auto"/>
              <w:ind w:firstLine="480" w:firstLineChars="200"/>
              <w:jc w:val="both"/>
              <w:rPr>
                <w:sz w:val="24"/>
                <w:szCs w:val="24"/>
              </w:rPr>
            </w:pPr>
            <w:r>
              <w:rPr>
                <w:sz w:val="24"/>
                <w:szCs w:val="24"/>
              </w:rPr>
              <w:t>⑤同一贮存设施宜采用相同的防渗、防腐工艺（包括防渗、防腐结构或材料），防渗、防腐材料应覆盖所有可能与废物及其渗滤液、渗漏液等接触的构筑物表面；采用不同防渗、防腐工艺应分别建设贮存分区。</w:t>
            </w:r>
          </w:p>
          <w:p w14:paraId="161C57B8">
            <w:pPr>
              <w:spacing w:line="360" w:lineRule="auto"/>
              <w:ind w:firstLine="480" w:firstLineChars="200"/>
              <w:jc w:val="both"/>
              <w:rPr>
                <w:sz w:val="24"/>
                <w:szCs w:val="24"/>
              </w:rPr>
            </w:pPr>
            <w:r>
              <w:rPr>
                <w:sz w:val="24"/>
                <w:szCs w:val="24"/>
              </w:rPr>
              <w:t>⑥贮存设施应采取技术和管理措施防止无关人员进入。</w:t>
            </w:r>
          </w:p>
          <w:p w14:paraId="484661C4">
            <w:pPr>
              <w:spacing w:line="360" w:lineRule="auto"/>
              <w:ind w:firstLine="480" w:firstLineChars="200"/>
              <w:jc w:val="both"/>
              <w:rPr>
                <w:sz w:val="24"/>
                <w:szCs w:val="24"/>
              </w:rPr>
            </w:pPr>
            <w:r>
              <w:rPr>
                <w:sz w:val="24"/>
                <w:szCs w:val="24"/>
              </w:rPr>
              <w:t>⑦在贮存库内或通过贮存分区方式贮存液态危险废物的，应具有液体泄漏堵截设施，堵截设施最小容积不应低于对应贮存区域最大液态废物容器容积或液态废物总储量1/10（二者取较大者）；用于贮存可能产生渗滤液的危险废物的贮存库或贮存分区应设计渗滤液收集设施，收集设施容积应满足渗滤液的收集要求。</w:t>
            </w:r>
          </w:p>
          <w:p w14:paraId="64CD870F">
            <w:pPr>
              <w:spacing w:line="360" w:lineRule="auto"/>
              <w:ind w:firstLine="480" w:firstLineChars="200"/>
              <w:jc w:val="both"/>
              <w:rPr>
                <w:sz w:val="24"/>
                <w:szCs w:val="24"/>
              </w:rPr>
            </w:pPr>
            <w:r>
              <w:rPr>
                <w:sz w:val="24"/>
                <w:szCs w:val="24"/>
              </w:rPr>
              <w:t>⑧液态危险废物应装入闭口容器内贮存。</w:t>
            </w:r>
          </w:p>
          <w:p w14:paraId="4CE7C350">
            <w:pPr>
              <w:spacing w:line="360" w:lineRule="auto"/>
              <w:ind w:firstLine="480" w:firstLineChars="200"/>
              <w:jc w:val="both"/>
              <w:rPr>
                <w:sz w:val="24"/>
                <w:szCs w:val="24"/>
              </w:rPr>
            </w:pPr>
            <w:r>
              <w:rPr>
                <w:sz w:val="24"/>
                <w:szCs w:val="24"/>
              </w:rPr>
              <w:t>⑨危废仓库需上锁防盗，制定严格的暂存保管措施，专人负责，危险废物定期交由有资质的处置单位接收处理，转运过程严格按照有关规定，实行联单制度。</w:t>
            </w:r>
          </w:p>
          <w:p w14:paraId="5D81ACD6">
            <w:pPr>
              <w:spacing w:line="360" w:lineRule="auto"/>
              <w:ind w:firstLine="480" w:firstLineChars="200"/>
              <w:jc w:val="both"/>
              <w:rPr>
                <w:sz w:val="24"/>
                <w:szCs w:val="24"/>
              </w:rPr>
            </w:pPr>
            <w:r>
              <w:rPr>
                <w:sz w:val="24"/>
                <w:szCs w:val="24"/>
              </w:rPr>
              <w:t>另外，危险废物运输中应做到以下几点：</w:t>
            </w:r>
          </w:p>
          <w:p w14:paraId="381A03AD">
            <w:pPr>
              <w:spacing w:line="360" w:lineRule="auto"/>
              <w:ind w:firstLine="480" w:firstLineChars="200"/>
              <w:jc w:val="both"/>
              <w:rPr>
                <w:sz w:val="24"/>
                <w:szCs w:val="24"/>
              </w:rPr>
            </w:pPr>
            <w:r>
              <w:rPr>
                <w:sz w:val="24"/>
                <w:szCs w:val="24"/>
              </w:rPr>
              <w:t>①危险废物的运输车辆须经主管单位检查，并持有有关单位签发的许可证，负责运输的司机应通过培训，持有关证明文件；</w:t>
            </w:r>
          </w:p>
          <w:p w14:paraId="4CECF2D4">
            <w:pPr>
              <w:spacing w:line="360" w:lineRule="auto"/>
              <w:ind w:firstLine="480" w:firstLineChars="200"/>
              <w:jc w:val="both"/>
              <w:rPr>
                <w:sz w:val="24"/>
                <w:szCs w:val="24"/>
              </w:rPr>
            </w:pPr>
            <w:r>
              <w:rPr>
                <w:sz w:val="24"/>
                <w:szCs w:val="24"/>
              </w:rPr>
              <w:t>②承载危险废物的车辆须有明显标志，能够引起注意；</w:t>
            </w:r>
          </w:p>
          <w:p w14:paraId="646D9FC3">
            <w:pPr>
              <w:spacing w:line="360" w:lineRule="auto"/>
              <w:ind w:firstLine="480" w:firstLineChars="200"/>
              <w:jc w:val="both"/>
              <w:rPr>
                <w:sz w:val="24"/>
                <w:szCs w:val="24"/>
              </w:rPr>
            </w:pPr>
            <w:r>
              <w:rPr>
                <w:sz w:val="24"/>
                <w:szCs w:val="24"/>
              </w:rPr>
              <w:t>③载有危险废物的车辆在公路行驶时，需持有运输许可证，其上应注明废物的来源，性质和运往地点；</w:t>
            </w:r>
          </w:p>
          <w:p w14:paraId="48D8F8F2">
            <w:pPr>
              <w:spacing w:line="360" w:lineRule="auto"/>
              <w:ind w:firstLine="480" w:firstLineChars="200"/>
              <w:jc w:val="both"/>
              <w:rPr>
                <w:sz w:val="24"/>
                <w:szCs w:val="24"/>
              </w:rPr>
            </w:pPr>
            <w:r>
              <w:rPr>
                <w:sz w:val="24"/>
                <w:szCs w:val="24"/>
              </w:rPr>
              <w:t>④组织危险废物运输的运输单位，在事先需作出周密的运输计划和行驶路线其中包括有效的废物</w:t>
            </w:r>
            <w:r>
              <w:rPr>
                <w:rFonts w:hint="eastAsia"/>
                <w:sz w:val="24"/>
                <w:szCs w:val="24"/>
                <w:lang w:eastAsia="zh-CN"/>
              </w:rPr>
              <w:t>泄漏</w:t>
            </w:r>
            <w:r>
              <w:rPr>
                <w:sz w:val="24"/>
                <w:szCs w:val="24"/>
              </w:rPr>
              <w:t>情况下的紧急措施。</w:t>
            </w:r>
          </w:p>
          <w:p w14:paraId="00C65293">
            <w:pPr>
              <w:spacing w:line="360" w:lineRule="auto"/>
              <w:ind w:firstLine="480" w:firstLineChars="200"/>
              <w:jc w:val="both"/>
              <w:rPr>
                <w:sz w:val="24"/>
                <w:szCs w:val="24"/>
              </w:rPr>
            </w:pPr>
            <w:r>
              <w:rPr>
                <w:sz w:val="24"/>
                <w:szCs w:val="24"/>
              </w:rPr>
              <w:t>企业应当按照危险废物管理措施及规定做到：</w:t>
            </w:r>
          </w:p>
          <w:p w14:paraId="6EC5591B">
            <w:pPr>
              <w:spacing w:line="360" w:lineRule="auto"/>
              <w:ind w:firstLine="480" w:firstLineChars="200"/>
              <w:jc w:val="both"/>
              <w:rPr>
                <w:sz w:val="24"/>
                <w:szCs w:val="24"/>
              </w:rPr>
            </w:pPr>
            <w:r>
              <w:rPr>
                <w:sz w:val="24"/>
                <w:szCs w:val="24"/>
              </w:rPr>
              <w:t>①建设单位作为危险废物污染防治的责任主体，应建立风险及应急救援体系，执行转移联单管理制度及国家和省有关的转移管理相关规定、处置过程安全操作规程、人员培训考核制度、档案管理制度、处置全过程管理制度等；</w:t>
            </w:r>
          </w:p>
          <w:p w14:paraId="5187B614">
            <w:pPr>
              <w:pStyle w:val="72"/>
              <w:spacing w:line="360" w:lineRule="auto"/>
              <w:ind w:firstLine="480"/>
              <w:rPr>
                <w:rFonts w:ascii="Times New Roman" w:hAnsi="Times New Roman" w:eastAsia="宋体"/>
                <w:sz w:val="24"/>
                <w:szCs w:val="24"/>
              </w:rPr>
            </w:pPr>
            <w:r>
              <w:rPr>
                <w:rFonts w:ascii="Times New Roman" w:hAnsi="Times New Roman" w:eastAsia="宋体"/>
                <w:sz w:val="24"/>
                <w:szCs w:val="24"/>
              </w:rPr>
              <w:t>②建设单位应与危废处置单位签订危废处置协议并及时更新；</w:t>
            </w:r>
          </w:p>
          <w:p w14:paraId="006A7D77">
            <w:pPr>
              <w:spacing w:line="360" w:lineRule="auto"/>
              <w:ind w:firstLine="480" w:firstLineChars="200"/>
              <w:jc w:val="both"/>
              <w:rPr>
                <w:sz w:val="24"/>
                <w:szCs w:val="24"/>
              </w:rPr>
            </w:pPr>
            <w:r>
              <w:rPr>
                <w:sz w:val="24"/>
                <w:szCs w:val="24"/>
              </w:rPr>
              <w:t>③规范危险废物贮存场所，按照要求设置警告标志，危险废物包装、容器和贮存场所应按照《危险废物识别标志设施技术规范》（HJ1276-2022）、《危险废物贮存污染控制标准》（GB18597-2023）有关要求张贴标志；</w:t>
            </w:r>
          </w:p>
          <w:p w14:paraId="482F7B79">
            <w:pPr>
              <w:spacing w:line="360" w:lineRule="auto"/>
              <w:ind w:firstLine="480" w:firstLineChars="200"/>
              <w:jc w:val="both"/>
              <w:rPr>
                <w:sz w:val="24"/>
                <w:szCs w:val="24"/>
              </w:rPr>
            </w:pPr>
            <w:r>
              <w:rPr>
                <w:sz w:val="24"/>
                <w:szCs w:val="24"/>
              </w:rPr>
              <w:t>④建设单位应尽量减少危险废物的暂存时间，及时委托资质单位进行处置，危险废物的转运，处理应根据法律法规以及环保部门的具体规定执行。</w:t>
            </w:r>
          </w:p>
          <w:p w14:paraId="708D1AB4">
            <w:pPr>
              <w:spacing w:line="360" w:lineRule="auto"/>
              <w:ind w:firstLine="480" w:firstLineChars="200"/>
              <w:jc w:val="both"/>
              <w:rPr>
                <w:sz w:val="24"/>
                <w:szCs w:val="24"/>
              </w:rPr>
            </w:pPr>
            <w:r>
              <w:rPr>
                <w:sz w:val="24"/>
                <w:szCs w:val="24"/>
              </w:rPr>
              <w:t>⑤签订委托处置协议</w:t>
            </w:r>
          </w:p>
          <w:p w14:paraId="48DDEBDA">
            <w:pPr>
              <w:spacing w:line="360" w:lineRule="auto"/>
              <w:ind w:firstLine="480" w:firstLineChars="200"/>
              <w:jc w:val="both"/>
              <w:rPr>
                <w:sz w:val="24"/>
                <w:szCs w:val="24"/>
              </w:rPr>
            </w:pPr>
            <w:r>
              <w:rPr>
                <w:sz w:val="24"/>
                <w:szCs w:val="24"/>
              </w:rPr>
              <w:t>建设单位产生的危险废物有HW08、HW49，企业承诺尽快完善该手续，委托具有相应资质的单位处理，报环保部门备案。</w:t>
            </w:r>
          </w:p>
          <w:p w14:paraId="7D7E3E08">
            <w:pPr>
              <w:spacing w:line="360" w:lineRule="auto"/>
              <w:ind w:firstLine="480" w:firstLineChars="200"/>
              <w:jc w:val="both"/>
              <w:rPr>
                <w:sz w:val="24"/>
                <w:szCs w:val="24"/>
              </w:rPr>
            </w:pPr>
            <w:r>
              <w:rPr>
                <w:sz w:val="24"/>
                <w:szCs w:val="24"/>
              </w:rPr>
              <w:t>项目建设单位在做好固体废物的分类收集、储存和转移工作时，要做好员工的防护工作，强化固体废物的产生、收集、贮存及处置等各环节的管理，杜绝危险废物的跑冒滴漏现象，同时建立完善的管理制度。通过以上措施，本项目各类固废均可得到妥善暂存、处理和处置，不会产生二次污染，可实现区域零排放，不会对周围环境产生不利影响。</w:t>
            </w:r>
          </w:p>
          <w:p w14:paraId="08FE5054">
            <w:pPr>
              <w:spacing w:line="360" w:lineRule="auto"/>
              <w:ind w:firstLine="482" w:firstLineChars="200"/>
              <w:jc w:val="both"/>
              <w:rPr>
                <w:rFonts w:hint="default" w:ascii="Times New Roman" w:hAnsi="Times New Roman" w:cs="Times New Roman"/>
                <w:b w:val="0"/>
                <w:bCs w:val="0"/>
                <w:color w:val="auto"/>
                <w:sz w:val="24"/>
                <w:szCs w:val="24"/>
                <w:vertAlign w:val="baseline"/>
                <w:lang w:val="en-US" w:eastAsia="zh-CN"/>
              </w:rPr>
            </w:pPr>
            <w:r>
              <w:rPr>
                <w:rFonts w:hint="eastAsia" w:cs="Times New Roman"/>
                <w:b/>
                <w:bCs/>
                <w:color w:val="auto"/>
                <w:sz w:val="24"/>
                <w:szCs w:val="24"/>
                <w:vertAlign w:val="baseline"/>
                <w:lang w:val="en-US" w:eastAsia="zh-CN"/>
              </w:rPr>
              <w:t>5</w:t>
            </w:r>
            <w:r>
              <w:rPr>
                <w:rFonts w:hint="default" w:ascii="Times New Roman" w:hAnsi="Times New Roman" w:cs="Times New Roman"/>
                <w:b/>
                <w:bCs/>
                <w:color w:val="auto"/>
                <w:sz w:val="24"/>
                <w:szCs w:val="24"/>
                <w:vertAlign w:val="baseline"/>
                <w:lang w:val="en-US" w:eastAsia="zh-CN"/>
              </w:rPr>
              <w:t>、</w:t>
            </w:r>
            <w:r>
              <w:rPr>
                <w:rFonts w:hint="eastAsia" w:cs="Times New Roman"/>
                <w:b/>
                <w:bCs/>
                <w:color w:val="auto"/>
                <w:sz w:val="24"/>
                <w:szCs w:val="24"/>
                <w:vertAlign w:val="baseline"/>
                <w:lang w:val="en-US" w:eastAsia="zh-CN"/>
              </w:rPr>
              <w:t>地下水、土壤</w:t>
            </w:r>
          </w:p>
          <w:p w14:paraId="5661044B">
            <w:pPr>
              <w:spacing w:line="360" w:lineRule="auto"/>
              <w:ind w:firstLine="480" w:firstLineChars="200"/>
              <w:jc w:val="both"/>
              <w:rPr>
                <w:sz w:val="24"/>
                <w:szCs w:val="24"/>
              </w:rPr>
            </w:pPr>
            <w:r>
              <w:rPr>
                <w:sz w:val="24"/>
                <w:szCs w:val="24"/>
              </w:rPr>
              <w:t>（1）地下水、土壤污染途径</w:t>
            </w:r>
          </w:p>
          <w:p w14:paraId="14E527D9">
            <w:pPr>
              <w:spacing w:line="360" w:lineRule="auto"/>
              <w:ind w:firstLine="480" w:firstLineChars="200"/>
              <w:jc w:val="both"/>
              <w:rPr>
                <w:sz w:val="24"/>
                <w:szCs w:val="24"/>
              </w:rPr>
            </w:pPr>
            <w:r>
              <w:rPr>
                <w:sz w:val="24"/>
                <w:szCs w:val="24"/>
              </w:rPr>
              <w:t>根据工程分析，项目产生的污染物主要为有机废气以及危险废物，生产运行过程中对土壤、地下水环境存在潜在污染风险的区域主要为危废暂存间液态</w:t>
            </w:r>
            <w:r>
              <w:rPr>
                <w:rFonts w:hint="eastAsia"/>
                <w:sz w:val="24"/>
                <w:szCs w:val="24"/>
              </w:rPr>
              <w:t>废物</w:t>
            </w:r>
            <w:r>
              <w:rPr>
                <w:rFonts w:hint="eastAsia"/>
                <w:sz w:val="24"/>
                <w:szCs w:val="24"/>
                <w:lang w:eastAsia="zh-CN"/>
              </w:rPr>
              <w:t>泄漏</w:t>
            </w:r>
            <w:r>
              <w:rPr>
                <w:sz w:val="24"/>
                <w:szCs w:val="24"/>
              </w:rPr>
              <w:t>；项目排放的废气</w:t>
            </w:r>
            <w:r>
              <w:rPr>
                <w:rFonts w:hint="eastAsia"/>
                <w:sz w:val="24"/>
                <w:szCs w:val="24"/>
              </w:rPr>
              <w:t>中</w:t>
            </w:r>
            <w:r>
              <w:rPr>
                <w:rFonts w:hint="eastAsia"/>
                <w:sz w:val="24"/>
                <w:szCs w:val="24"/>
                <w:lang w:eastAsia="zh-CN"/>
              </w:rPr>
              <w:t>非甲烷总烃</w:t>
            </w:r>
            <w:r>
              <w:rPr>
                <w:rFonts w:hint="eastAsia"/>
                <w:sz w:val="24"/>
                <w:szCs w:val="24"/>
              </w:rPr>
              <w:t>等</w:t>
            </w:r>
            <w:r>
              <w:rPr>
                <w:sz w:val="24"/>
                <w:szCs w:val="24"/>
              </w:rPr>
              <w:t>气态物质，造成大气沉降，故项目对土壤的潜在风险为废气大气沉降造成的污染及</w:t>
            </w:r>
            <w:r>
              <w:rPr>
                <w:rFonts w:hint="eastAsia"/>
                <w:sz w:val="24"/>
                <w:szCs w:val="24"/>
              </w:rPr>
              <w:t>危废</w:t>
            </w:r>
            <w:r>
              <w:rPr>
                <w:rFonts w:hint="eastAsia"/>
                <w:sz w:val="24"/>
                <w:szCs w:val="24"/>
                <w:lang w:eastAsia="zh-CN"/>
              </w:rPr>
              <w:t>泄漏</w:t>
            </w:r>
            <w:r>
              <w:rPr>
                <w:sz w:val="24"/>
                <w:szCs w:val="24"/>
              </w:rPr>
              <w:t>造成地表漫流和垂直入渗影响。项目污染源强如下表。</w:t>
            </w:r>
          </w:p>
          <w:p w14:paraId="523E460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宋体"/>
                <w:b/>
                <w:sz w:val="24"/>
                <w:szCs w:val="24"/>
                <w:lang w:eastAsia="zh-CN"/>
              </w:rPr>
            </w:pPr>
            <w:r>
              <w:rPr>
                <w:b/>
                <w:sz w:val="24"/>
                <w:szCs w:val="24"/>
              </w:rPr>
              <w:t>表4-</w:t>
            </w:r>
            <w:r>
              <w:rPr>
                <w:rFonts w:hint="eastAsia"/>
                <w:b/>
                <w:sz w:val="24"/>
                <w:szCs w:val="24"/>
                <w:lang w:val="en-US" w:eastAsia="zh-CN"/>
              </w:rPr>
              <w:t>19</w:t>
            </w:r>
            <w:r>
              <w:rPr>
                <w:rFonts w:hint="eastAsia"/>
                <w:b/>
                <w:sz w:val="24"/>
                <w:szCs w:val="24"/>
              </w:rPr>
              <w:t xml:space="preserve"> </w:t>
            </w:r>
            <w:r>
              <w:rPr>
                <w:b/>
                <w:sz w:val="24"/>
                <w:szCs w:val="24"/>
              </w:rPr>
              <w:t xml:space="preserve"> 项目地下水、土壤污染</w:t>
            </w:r>
            <w:r>
              <w:rPr>
                <w:rFonts w:hint="eastAsia"/>
                <w:b/>
                <w:sz w:val="24"/>
                <w:szCs w:val="24"/>
                <w:lang w:eastAsia="zh-CN"/>
              </w:rPr>
              <w:t>途径</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1224"/>
              <w:gridCol w:w="1979"/>
              <w:gridCol w:w="3295"/>
              <w:gridCol w:w="1255"/>
            </w:tblGrid>
            <w:tr w14:paraId="1A7E3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405" w:type="pct"/>
                  <w:noWrap w:val="0"/>
                  <w:vAlign w:val="center"/>
                </w:tcPr>
                <w:p w14:paraId="49E0690B">
                  <w:pPr>
                    <w:keepNext w:val="0"/>
                    <w:keepLines w:val="0"/>
                    <w:pageBreakBefore w:val="0"/>
                    <w:widowControl w:val="0"/>
                    <w:kinsoku/>
                    <w:wordWrap/>
                    <w:overflowPunct/>
                    <w:topLinePunct w:val="0"/>
                    <w:autoSpaceDE/>
                    <w:autoSpaceDN/>
                    <w:bidi w:val="0"/>
                    <w:adjustRightInd/>
                    <w:snapToGrid/>
                    <w:jc w:val="center"/>
                    <w:textAlignment w:val="auto"/>
                    <w:outlineLvl w:val="2"/>
                    <w:rPr>
                      <w:b w:val="0"/>
                      <w:bCs w:val="0"/>
                      <w:sz w:val="21"/>
                      <w:szCs w:val="21"/>
                    </w:rPr>
                  </w:pPr>
                  <w:r>
                    <w:rPr>
                      <w:b w:val="0"/>
                      <w:bCs w:val="0"/>
                      <w:sz w:val="21"/>
                      <w:szCs w:val="21"/>
                    </w:rPr>
                    <w:t>序号</w:t>
                  </w:r>
                </w:p>
              </w:tc>
              <w:tc>
                <w:tcPr>
                  <w:tcW w:w="725" w:type="pct"/>
                  <w:noWrap w:val="0"/>
                  <w:vAlign w:val="center"/>
                </w:tcPr>
                <w:p w14:paraId="3E8C9221">
                  <w:pPr>
                    <w:keepNext w:val="0"/>
                    <w:keepLines w:val="0"/>
                    <w:pageBreakBefore w:val="0"/>
                    <w:widowControl w:val="0"/>
                    <w:kinsoku/>
                    <w:wordWrap/>
                    <w:overflowPunct/>
                    <w:topLinePunct w:val="0"/>
                    <w:autoSpaceDE/>
                    <w:autoSpaceDN/>
                    <w:bidi w:val="0"/>
                    <w:adjustRightInd/>
                    <w:snapToGrid/>
                    <w:jc w:val="center"/>
                    <w:textAlignment w:val="auto"/>
                    <w:outlineLvl w:val="2"/>
                    <w:rPr>
                      <w:b w:val="0"/>
                      <w:bCs w:val="0"/>
                      <w:sz w:val="21"/>
                      <w:szCs w:val="21"/>
                    </w:rPr>
                  </w:pPr>
                  <w:r>
                    <w:rPr>
                      <w:b w:val="0"/>
                      <w:bCs w:val="0"/>
                      <w:sz w:val="21"/>
                      <w:szCs w:val="21"/>
                    </w:rPr>
                    <w:t>污染环节</w:t>
                  </w:r>
                </w:p>
              </w:tc>
              <w:tc>
                <w:tcPr>
                  <w:tcW w:w="1172" w:type="pct"/>
                  <w:noWrap w:val="0"/>
                  <w:vAlign w:val="center"/>
                </w:tcPr>
                <w:p w14:paraId="32674743">
                  <w:pPr>
                    <w:keepNext w:val="0"/>
                    <w:keepLines w:val="0"/>
                    <w:pageBreakBefore w:val="0"/>
                    <w:widowControl w:val="0"/>
                    <w:kinsoku/>
                    <w:wordWrap/>
                    <w:overflowPunct/>
                    <w:topLinePunct w:val="0"/>
                    <w:autoSpaceDE/>
                    <w:autoSpaceDN/>
                    <w:bidi w:val="0"/>
                    <w:adjustRightInd/>
                    <w:snapToGrid/>
                    <w:jc w:val="center"/>
                    <w:textAlignment w:val="auto"/>
                    <w:outlineLvl w:val="2"/>
                    <w:rPr>
                      <w:b w:val="0"/>
                      <w:bCs w:val="0"/>
                      <w:sz w:val="21"/>
                      <w:szCs w:val="21"/>
                    </w:rPr>
                  </w:pPr>
                  <w:r>
                    <w:rPr>
                      <w:b w:val="0"/>
                      <w:bCs w:val="0"/>
                      <w:sz w:val="21"/>
                      <w:szCs w:val="21"/>
                    </w:rPr>
                    <w:t>设施</w:t>
                  </w:r>
                </w:p>
              </w:tc>
              <w:tc>
                <w:tcPr>
                  <w:tcW w:w="1952" w:type="pct"/>
                  <w:noWrap w:val="0"/>
                  <w:vAlign w:val="center"/>
                </w:tcPr>
                <w:p w14:paraId="354AB418">
                  <w:pPr>
                    <w:keepNext w:val="0"/>
                    <w:keepLines w:val="0"/>
                    <w:pageBreakBefore w:val="0"/>
                    <w:widowControl w:val="0"/>
                    <w:kinsoku/>
                    <w:wordWrap/>
                    <w:overflowPunct/>
                    <w:topLinePunct w:val="0"/>
                    <w:autoSpaceDE/>
                    <w:autoSpaceDN/>
                    <w:bidi w:val="0"/>
                    <w:adjustRightInd/>
                    <w:snapToGrid/>
                    <w:jc w:val="center"/>
                    <w:textAlignment w:val="auto"/>
                    <w:outlineLvl w:val="2"/>
                    <w:rPr>
                      <w:b w:val="0"/>
                      <w:bCs w:val="0"/>
                      <w:sz w:val="21"/>
                      <w:szCs w:val="21"/>
                    </w:rPr>
                  </w:pPr>
                  <w:r>
                    <w:rPr>
                      <w:b w:val="0"/>
                      <w:bCs w:val="0"/>
                      <w:sz w:val="21"/>
                      <w:szCs w:val="21"/>
                    </w:rPr>
                    <w:t>污染物</w:t>
                  </w:r>
                </w:p>
              </w:tc>
              <w:tc>
                <w:tcPr>
                  <w:tcW w:w="743" w:type="pct"/>
                  <w:noWrap w:val="0"/>
                  <w:vAlign w:val="center"/>
                </w:tcPr>
                <w:p w14:paraId="7F78D7C2">
                  <w:pPr>
                    <w:keepNext w:val="0"/>
                    <w:keepLines w:val="0"/>
                    <w:pageBreakBefore w:val="0"/>
                    <w:widowControl w:val="0"/>
                    <w:kinsoku/>
                    <w:wordWrap/>
                    <w:overflowPunct/>
                    <w:topLinePunct w:val="0"/>
                    <w:autoSpaceDE/>
                    <w:autoSpaceDN/>
                    <w:bidi w:val="0"/>
                    <w:adjustRightInd/>
                    <w:snapToGrid/>
                    <w:jc w:val="center"/>
                    <w:textAlignment w:val="auto"/>
                    <w:outlineLvl w:val="2"/>
                    <w:rPr>
                      <w:b w:val="0"/>
                      <w:bCs w:val="0"/>
                      <w:sz w:val="21"/>
                      <w:szCs w:val="21"/>
                    </w:rPr>
                  </w:pPr>
                  <w:r>
                    <w:rPr>
                      <w:b w:val="0"/>
                      <w:bCs w:val="0"/>
                      <w:sz w:val="21"/>
                      <w:szCs w:val="21"/>
                    </w:rPr>
                    <w:t>污染途径</w:t>
                  </w:r>
                </w:p>
              </w:tc>
            </w:tr>
            <w:tr w14:paraId="72048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405" w:type="pct"/>
                  <w:noWrap w:val="0"/>
                  <w:vAlign w:val="center"/>
                </w:tcPr>
                <w:p w14:paraId="5F51DCCA">
                  <w:pPr>
                    <w:keepNext w:val="0"/>
                    <w:keepLines w:val="0"/>
                    <w:pageBreakBefore w:val="0"/>
                    <w:widowControl w:val="0"/>
                    <w:kinsoku/>
                    <w:wordWrap/>
                    <w:overflowPunct/>
                    <w:topLinePunct w:val="0"/>
                    <w:autoSpaceDE/>
                    <w:autoSpaceDN/>
                    <w:bidi w:val="0"/>
                    <w:adjustRightInd/>
                    <w:snapToGrid/>
                    <w:jc w:val="center"/>
                    <w:textAlignment w:val="auto"/>
                    <w:outlineLvl w:val="2"/>
                    <w:rPr>
                      <w:rFonts w:hint="eastAsia" w:eastAsia="宋体"/>
                      <w:b w:val="0"/>
                      <w:bCs w:val="0"/>
                      <w:sz w:val="21"/>
                      <w:szCs w:val="21"/>
                      <w:lang w:eastAsia="zh-CN"/>
                    </w:rPr>
                  </w:pPr>
                  <w:r>
                    <w:rPr>
                      <w:rFonts w:hint="eastAsia"/>
                      <w:b w:val="0"/>
                      <w:bCs w:val="0"/>
                      <w:sz w:val="21"/>
                      <w:szCs w:val="21"/>
                      <w:lang w:val="en-US" w:eastAsia="zh-CN"/>
                    </w:rPr>
                    <w:t>1</w:t>
                  </w:r>
                </w:p>
              </w:tc>
              <w:tc>
                <w:tcPr>
                  <w:tcW w:w="725" w:type="pct"/>
                  <w:noWrap w:val="0"/>
                  <w:vAlign w:val="center"/>
                </w:tcPr>
                <w:p w14:paraId="27034726">
                  <w:pPr>
                    <w:keepNext w:val="0"/>
                    <w:keepLines w:val="0"/>
                    <w:pageBreakBefore w:val="0"/>
                    <w:widowControl w:val="0"/>
                    <w:kinsoku/>
                    <w:wordWrap/>
                    <w:overflowPunct/>
                    <w:topLinePunct w:val="0"/>
                    <w:autoSpaceDE/>
                    <w:autoSpaceDN/>
                    <w:bidi w:val="0"/>
                    <w:adjustRightInd/>
                    <w:snapToGrid/>
                    <w:jc w:val="center"/>
                    <w:textAlignment w:val="auto"/>
                    <w:outlineLvl w:val="2"/>
                    <w:rPr>
                      <w:b w:val="0"/>
                      <w:bCs w:val="0"/>
                      <w:sz w:val="21"/>
                      <w:szCs w:val="21"/>
                    </w:rPr>
                  </w:pPr>
                  <w:r>
                    <w:rPr>
                      <w:b w:val="0"/>
                      <w:bCs w:val="0"/>
                      <w:sz w:val="21"/>
                      <w:szCs w:val="21"/>
                    </w:rPr>
                    <w:t>危废暂存</w:t>
                  </w:r>
                </w:p>
              </w:tc>
              <w:tc>
                <w:tcPr>
                  <w:tcW w:w="1172" w:type="pct"/>
                  <w:noWrap w:val="0"/>
                  <w:vAlign w:val="center"/>
                </w:tcPr>
                <w:p w14:paraId="3AA3999D">
                  <w:pPr>
                    <w:keepNext w:val="0"/>
                    <w:keepLines w:val="0"/>
                    <w:pageBreakBefore w:val="0"/>
                    <w:widowControl w:val="0"/>
                    <w:kinsoku/>
                    <w:wordWrap/>
                    <w:overflowPunct/>
                    <w:topLinePunct w:val="0"/>
                    <w:autoSpaceDE/>
                    <w:autoSpaceDN/>
                    <w:bidi w:val="0"/>
                    <w:adjustRightInd/>
                    <w:snapToGrid/>
                    <w:jc w:val="center"/>
                    <w:textAlignment w:val="auto"/>
                    <w:outlineLvl w:val="2"/>
                    <w:rPr>
                      <w:rFonts w:hint="eastAsia" w:eastAsia="宋体"/>
                      <w:b w:val="0"/>
                      <w:bCs w:val="0"/>
                      <w:sz w:val="21"/>
                      <w:szCs w:val="21"/>
                      <w:lang w:val="en-US" w:eastAsia="zh-CN"/>
                    </w:rPr>
                  </w:pPr>
                  <w:r>
                    <w:rPr>
                      <w:b w:val="0"/>
                      <w:bCs w:val="0"/>
                      <w:sz w:val="21"/>
                      <w:szCs w:val="21"/>
                    </w:rPr>
                    <w:t>危废暂存</w:t>
                  </w:r>
                  <w:r>
                    <w:rPr>
                      <w:rFonts w:hint="eastAsia"/>
                      <w:b w:val="0"/>
                      <w:bCs w:val="0"/>
                      <w:sz w:val="21"/>
                      <w:szCs w:val="21"/>
                      <w:lang w:val="en-US" w:eastAsia="zh-CN"/>
                    </w:rPr>
                    <w:t>间</w:t>
                  </w:r>
                </w:p>
              </w:tc>
              <w:tc>
                <w:tcPr>
                  <w:tcW w:w="1952" w:type="pct"/>
                  <w:noWrap w:val="0"/>
                  <w:vAlign w:val="center"/>
                </w:tcPr>
                <w:p w14:paraId="78D7E97F">
                  <w:pPr>
                    <w:keepNext w:val="0"/>
                    <w:keepLines w:val="0"/>
                    <w:pageBreakBefore w:val="0"/>
                    <w:widowControl w:val="0"/>
                    <w:kinsoku/>
                    <w:wordWrap/>
                    <w:overflowPunct/>
                    <w:topLinePunct w:val="0"/>
                    <w:autoSpaceDE/>
                    <w:autoSpaceDN/>
                    <w:bidi w:val="0"/>
                    <w:adjustRightInd/>
                    <w:snapToGrid/>
                    <w:jc w:val="center"/>
                    <w:textAlignment w:val="auto"/>
                    <w:outlineLvl w:val="2"/>
                    <w:rPr>
                      <w:b w:val="0"/>
                      <w:bCs w:val="0"/>
                      <w:sz w:val="21"/>
                      <w:szCs w:val="21"/>
                    </w:rPr>
                  </w:pPr>
                  <w:r>
                    <w:rPr>
                      <w:rFonts w:hint="eastAsia"/>
                      <w:b w:val="0"/>
                      <w:bCs w:val="0"/>
                      <w:sz w:val="21"/>
                      <w:szCs w:val="21"/>
                      <w:lang w:val="en-US" w:eastAsia="zh-CN"/>
                    </w:rPr>
                    <w:t>废活性炭、</w:t>
                  </w:r>
                  <w:r>
                    <w:rPr>
                      <w:b w:val="0"/>
                      <w:bCs w:val="0"/>
                      <w:sz w:val="21"/>
                      <w:szCs w:val="21"/>
                    </w:rPr>
                    <w:t>废矿物油</w:t>
                  </w:r>
                  <w:r>
                    <w:rPr>
                      <w:rFonts w:hint="eastAsia"/>
                      <w:b w:val="0"/>
                      <w:bCs w:val="0"/>
                      <w:sz w:val="21"/>
                      <w:szCs w:val="21"/>
                      <w:lang w:eastAsia="zh-CN"/>
                    </w:rPr>
                    <w:t>、</w:t>
                  </w:r>
                  <w:r>
                    <w:rPr>
                      <w:rFonts w:hint="eastAsia"/>
                      <w:b w:val="0"/>
                      <w:bCs w:val="0"/>
                      <w:sz w:val="21"/>
                      <w:szCs w:val="21"/>
                      <w:lang w:val="en-US" w:eastAsia="zh-CN"/>
                    </w:rPr>
                    <w:t>废油桶</w:t>
                  </w:r>
                  <w:r>
                    <w:rPr>
                      <w:b w:val="0"/>
                      <w:bCs w:val="0"/>
                      <w:sz w:val="21"/>
                      <w:szCs w:val="21"/>
                    </w:rPr>
                    <w:t>等</w:t>
                  </w:r>
                </w:p>
              </w:tc>
              <w:tc>
                <w:tcPr>
                  <w:tcW w:w="743" w:type="pct"/>
                  <w:noWrap w:val="0"/>
                  <w:vAlign w:val="center"/>
                </w:tcPr>
                <w:p w14:paraId="70341545">
                  <w:pPr>
                    <w:keepNext w:val="0"/>
                    <w:keepLines w:val="0"/>
                    <w:pageBreakBefore w:val="0"/>
                    <w:widowControl w:val="0"/>
                    <w:kinsoku/>
                    <w:wordWrap/>
                    <w:overflowPunct/>
                    <w:topLinePunct w:val="0"/>
                    <w:autoSpaceDE/>
                    <w:autoSpaceDN/>
                    <w:bidi w:val="0"/>
                    <w:adjustRightInd/>
                    <w:snapToGrid/>
                    <w:jc w:val="center"/>
                    <w:textAlignment w:val="auto"/>
                    <w:outlineLvl w:val="2"/>
                    <w:rPr>
                      <w:b w:val="0"/>
                      <w:bCs w:val="0"/>
                      <w:sz w:val="21"/>
                      <w:szCs w:val="21"/>
                    </w:rPr>
                  </w:pPr>
                  <w:r>
                    <w:rPr>
                      <w:b w:val="0"/>
                      <w:bCs w:val="0"/>
                      <w:sz w:val="21"/>
                      <w:szCs w:val="21"/>
                    </w:rPr>
                    <w:t>危废</w:t>
                  </w:r>
                  <w:r>
                    <w:rPr>
                      <w:rFonts w:hint="eastAsia"/>
                      <w:b w:val="0"/>
                      <w:bCs w:val="0"/>
                      <w:sz w:val="21"/>
                      <w:szCs w:val="21"/>
                      <w:lang w:eastAsia="zh-CN"/>
                    </w:rPr>
                    <w:t>泄漏</w:t>
                  </w:r>
                </w:p>
              </w:tc>
            </w:tr>
            <w:tr w14:paraId="4FAA1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405" w:type="pct"/>
                  <w:noWrap w:val="0"/>
                  <w:vAlign w:val="center"/>
                </w:tcPr>
                <w:p w14:paraId="4AA3B053">
                  <w:pPr>
                    <w:keepNext w:val="0"/>
                    <w:keepLines w:val="0"/>
                    <w:pageBreakBefore w:val="0"/>
                    <w:widowControl w:val="0"/>
                    <w:kinsoku/>
                    <w:wordWrap/>
                    <w:overflowPunct/>
                    <w:topLinePunct w:val="0"/>
                    <w:autoSpaceDE/>
                    <w:autoSpaceDN/>
                    <w:bidi w:val="0"/>
                    <w:adjustRightInd/>
                    <w:snapToGrid/>
                    <w:jc w:val="center"/>
                    <w:textAlignment w:val="auto"/>
                    <w:outlineLvl w:val="2"/>
                    <w:rPr>
                      <w:rFonts w:hint="eastAsia" w:eastAsia="宋体"/>
                      <w:b w:val="0"/>
                      <w:bCs w:val="0"/>
                      <w:sz w:val="21"/>
                      <w:szCs w:val="21"/>
                      <w:lang w:eastAsia="zh-CN"/>
                    </w:rPr>
                  </w:pPr>
                  <w:r>
                    <w:rPr>
                      <w:rFonts w:hint="eastAsia"/>
                      <w:b w:val="0"/>
                      <w:bCs w:val="0"/>
                      <w:sz w:val="21"/>
                      <w:szCs w:val="21"/>
                      <w:lang w:val="en-US" w:eastAsia="zh-CN"/>
                    </w:rPr>
                    <w:t>2</w:t>
                  </w:r>
                </w:p>
              </w:tc>
              <w:tc>
                <w:tcPr>
                  <w:tcW w:w="725" w:type="pct"/>
                  <w:noWrap w:val="0"/>
                  <w:vAlign w:val="center"/>
                </w:tcPr>
                <w:p w14:paraId="0D595642">
                  <w:pPr>
                    <w:keepNext w:val="0"/>
                    <w:keepLines w:val="0"/>
                    <w:pageBreakBefore w:val="0"/>
                    <w:widowControl w:val="0"/>
                    <w:kinsoku/>
                    <w:wordWrap/>
                    <w:overflowPunct/>
                    <w:topLinePunct w:val="0"/>
                    <w:autoSpaceDE/>
                    <w:autoSpaceDN/>
                    <w:bidi w:val="0"/>
                    <w:adjustRightInd/>
                    <w:snapToGrid/>
                    <w:jc w:val="center"/>
                    <w:textAlignment w:val="auto"/>
                    <w:outlineLvl w:val="2"/>
                    <w:rPr>
                      <w:b w:val="0"/>
                      <w:bCs w:val="0"/>
                      <w:sz w:val="21"/>
                      <w:szCs w:val="21"/>
                    </w:rPr>
                  </w:pPr>
                  <w:r>
                    <w:rPr>
                      <w:b w:val="0"/>
                      <w:bCs w:val="0"/>
                      <w:sz w:val="21"/>
                      <w:szCs w:val="21"/>
                    </w:rPr>
                    <w:t>废气处理</w:t>
                  </w:r>
                </w:p>
              </w:tc>
              <w:tc>
                <w:tcPr>
                  <w:tcW w:w="1172" w:type="pct"/>
                  <w:noWrap w:val="0"/>
                  <w:vAlign w:val="center"/>
                </w:tcPr>
                <w:p w14:paraId="425EFDEA">
                  <w:pPr>
                    <w:keepNext w:val="0"/>
                    <w:keepLines w:val="0"/>
                    <w:pageBreakBefore w:val="0"/>
                    <w:widowControl w:val="0"/>
                    <w:kinsoku/>
                    <w:wordWrap/>
                    <w:overflowPunct/>
                    <w:topLinePunct w:val="0"/>
                    <w:autoSpaceDE/>
                    <w:autoSpaceDN/>
                    <w:bidi w:val="0"/>
                    <w:adjustRightInd/>
                    <w:snapToGrid/>
                    <w:jc w:val="center"/>
                    <w:textAlignment w:val="auto"/>
                    <w:outlineLvl w:val="2"/>
                    <w:rPr>
                      <w:b w:val="0"/>
                      <w:bCs w:val="0"/>
                      <w:sz w:val="21"/>
                      <w:szCs w:val="21"/>
                    </w:rPr>
                  </w:pPr>
                  <w:r>
                    <w:rPr>
                      <w:b w:val="0"/>
                      <w:bCs w:val="0"/>
                      <w:sz w:val="21"/>
                      <w:szCs w:val="21"/>
                    </w:rPr>
                    <w:t>有机废气处理设施</w:t>
                  </w:r>
                </w:p>
              </w:tc>
              <w:tc>
                <w:tcPr>
                  <w:tcW w:w="1952" w:type="pct"/>
                  <w:noWrap w:val="0"/>
                  <w:vAlign w:val="center"/>
                </w:tcPr>
                <w:p w14:paraId="747B83BB">
                  <w:pPr>
                    <w:keepNext w:val="0"/>
                    <w:keepLines w:val="0"/>
                    <w:pageBreakBefore w:val="0"/>
                    <w:widowControl w:val="0"/>
                    <w:kinsoku/>
                    <w:wordWrap/>
                    <w:overflowPunct/>
                    <w:topLinePunct w:val="0"/>
                    <w:autoSpaceDE/>
                    <w:autoSpaceDN/>
                    <w:bidi w:val="0"/>
                    <w:adjustRightInd/>
                    <w:snapToGrid/>
                    <w:jc w:val="center"/>
                    <w:textAlignment w:val="auto"/>
                    <w:outlineLvl w:val="2"/>
                    <w:rPr>
                      <w:rFonts w:hint="eastAsia" w:eastAsia="宋体"/>
                      <w:b w:val="0"/>
                      <w:bCs w:val="0"/>
                      <w:sz w:val="21"/>
                      <w:szCs w:val="21"/>
                      <w:lang w:eastAsia="zh-CN"/>
                    </w:rPr>
                  </w:pPr>
                  <w:r>
                    <w:rPr>
                      <w:b w:val="0"/>
                      <w:bCs w:val="0"/>
                      <w:sz w:val="21"/>
                      <w:szCs w:val="21"/>
                    </w:rPr>
                    <w:t>挥发性有机物</w:t>
                  </w:r>
                  <w:r>
                    <w:rPr>
                      <w:rFonts w:hint="eastAsia"/>
                      <w:b w:val="0"/>
                      <w:bCs w:val="0"/>
                      <w:sz w:val="21"/>
                      <w:szCs w:val="21"/>
                      <w:lang w:eastAsia="zh-CN"/>
                    </w:rPr>
                    <w:t>等</w:t>
                  </w:r>
                </w:p>
              </w:tc>
              <w:tc>
                <w:tcPr>
                  <w:tcW w:w="743" w:type="pct"/>
                  <w:noWrap w:val="0"/>
                  <w:vAlign w:val="center"/>
                </w:tcPr>
                <w:p w14:paraId="685E8E93">
                  <w:pPr>
                    <w:keepNext w:val="0"/>
                    <w:keepLines w:val="0"/>
                    <w:pageBreakBefore w:val="0"/>
                    <w:widowControl w:val="0"/>
                    <w:kinsoku/>
                    <w:wordWrap/>
                    <w:overflowPunct/>
                    <w:topLinePunct w:val="0"/>
                    <w:autoSpaceDE/>
                    <w:autoSpaceDN/>
                    <w:bidi w:val="0"/>
                    <w:adjustRightInd/>
                    <w:snapToGrid/>
                    <w:jc w:val="center"/>
                    <w:textAlignment w:val="auto"/>
                    <w:outlineLvl w:val="2"/>
                    <w:rPr>
                      <w:b w:val="0"/>
                      <w:bCs w:val="0"/>
                      <w:sz w:val="21"/>
                      <w:szCs w:val="21"/>
                    </w:rPr>
                  </w:pPr>
                  <w:r>
                    <w:rPr>
                      <w:b w:val="0"/>
                      <w:bCs w:val="0"/>
                      <w:sz w:val="21"/>
                      <w:szCs w:val="21"/>
                    </w:rPr>
                    <w:t>大气沉降</w:t>
                  </w:r>
                </w:p>
              </w:tc>
            </w:tr>
          </w:tbl>
          <w:p w14:paraId="3ACB5689">
            <w:pPr>
              <w:spacing w:line="360" w:lineRule="auto"/>
              <w:ind w:firstLine="480" w:firstLineChars="200"/>
              <w:jc w:val="both"/>
              <w:rPr>
                <w:sz w:val="24"/>
                <w:szCs w:val="24"/>
              </w:rPr>
            </w:pPr>
            <w:r>
              <w:rPr>
                <w:sz w:val="24"/>
                <w:szCs w:val="24"/>
              </w:rPr>
              <w:t>本项目大气沉降影响主要</w:t>
            </w:r>
            <w:r>
              <w:rPr>
                <w:rFonts w:hint="eastAsia"/>
                <w:sz w:val="24"/>
                <w:szCs w:val="24"/>
                <w:lang w:eastAsia="zh-CN"/>
              </w:rPr>
              <w:t>来自</w:t>
            </w:r>
            <w:r>
              <w:rPr>
                <w:sz w:val="24"/>
                <w:szCs w:val="24"/>
              </w:rPr>
              <w:t>生产区域排放的</w:t>
            </w:r>
            <w:r>
              <w:rPr>
                <w:rFonts w:hint="eastAsia"/>
                <w:sz w:val="24"/>
                <w:szCs w:val="24"/>
                <w:lang w:eastAsia="zh-CN"/>
              </w:rPr>
              <w:t>非甲烷总烃</w:t>
            </w:r>
            <w:r>
              <w:rPr>
                <w:rFonts w:hint="eastAsia"/>
                <w:sz w:val="24"/>
                <w:szCs w:val="24"/>
                <w:lang w:val="en-US" w:eastAsia="zh-CN"/>
              </w:rPr>
              <w:t>等</w:t>
            </w:r>
            <w:r>
              <w:rPr>
                <w:sz w:val="24"/>
                <w:szCs w:val="24"/>
              </w:rPr>
              <w:t>，在采取一系列废气治理措施后，排气筒可满足排放标准的限值要求，且项目区域为园区工业用地，大气沉降对土壤环境影响较小。</w:t>
            </w:r>
          </w:p>
          <w:p w14:paraId="39303376">
            <w:pPr>
              <w:spacing w:line="360" w:lineRule="auto"/>
              <w:ind w:firstLine="480" w:firstLineChars="200"/>
              <w:jc w:val="both"/>
              <w:rPr>
                <w:sz w:val="24"/>
                <w:szCs w:val="24"/>
              </w:rPr>
            </w:pPr>
            <w:r>
              <w:rPr>
                <w:sz w:val="24"/>
                <w:szCs w:val="24"/>
              </w:rPr>
              <w:t>如发生液态危险废物进入土壤将会对厂区地下水及土壤造成污染。公司对厂区采取了分区防渗措施，危废暂存间设置了相应的防渗措施，可以有效减小废水对土壤的污染影响。因此项目在正常工况下，不会由于有害成分渗入地下影响土壤环境及地下水质。</w:t>
            </w:r>
          </w:p>
          <w:p w14:paraId="2ED8DD99">
            <w:pPr>
              <w:spacing w:line="360" w:lineRule="auto"/>
              <w:ind w:firstLine="480" w:firstLineChars="200"/>
              <w:jc w:val="both"/>
              <w:rPr>
                <w:color w:val="auto"/>
                <w:sz w:val="24"/>
                <w:szCs w:val="24"/>
              </w:rPr>
            </w:pPr>
            <w:r>
              <w:rPr>
                <w:color w:val="auto"/>
                <w:sz w:val="24"/>
                <w:szCs w:val="24"/>
              </w:rPr>
              <w:t>（2）防范措施</w:t>
            </w:r>
          </w:p>
          <w:p w14:paraId="3D089173">
            <w:pPr>
              <w:spacing w:line="360" w:lineRule="auto"/>
              <w:ind w:firstLine="480" w:firstLineChars="200"/>
              <w:jc w:val="both"/>
              <w:rPr>
                <w:sz w:val="24"/>
                <w:szCs w:val="24"/>
              </w:rPr>
            </w:pPr>
            <w:r>
              <w:rPr>
                <w:sz w:val="24"/>
                <w:szCs w:val="24"/>
              </w:rPr>
              <w:t>从原料和产品储存、装卸、运输、生产过程、污染处理装置等全过程控制各种有毒有害原辅材料（含跑、冒、滴、漏），同时对有害物质可能泄漏到地面的区域采取防渗措施，阻止其进入土壤、地下水中，即从源头到末端全方位采取控制措施，防止项目的建设对土壤、地下水造成污染。</w:t>
            </w:r>
          </w:p>
          <w:p w14:paraId="0D051F70">
            <w:pPr>
              <w:spacing w:line="360" w:lineRule="auto"/>
              <w:ind w:firstLine="480" w:firstLineChars="200"/>
              <w:jc w:val="both"/>
              <w:rPr>
                <w:sz w:val="24"/>
                <w:szCs w:val="24"/>
              </w:rPr>
            </w:pPr>
            <w:r>
              <w:rPr>
                <w:sz w:val="24"/>
                <w:szCs w:val="24"/>
              </w:rPr>
              <w:t>从生产过程入手，在工艺、管道、设备等方面尽可能地采取泄漏控制措施，从源头最大限度降低污染物质泄漏的可能性和泄漏量，使项目区污染物对土壤的影响降至最低，一旦出现泄漏等即可由区域内的各种配套措施进行收集、处置，同时经过硬化处理的地面有效阻止污染物的下渗。</w:t>
            </w:r>
          </w:p>
          <w:p w14:paraId="5EED99F7">
            <w:pPr>
              <w:spacing w:line="360" w:lineRule="auto"/>
              <w:ind w:firstLine="480" w:firstLineChars="200"/>
              <w:jc w:val="both"/>
              <w:rPr>
                <w:sz w:val="24"/>
                <w:szCs w:val="24"/>
              </w:rPr>
            </w:pPr>
            <w:r>
              <w:rPr>
                <w:sz w:val="24"/>
                <w:szCs w:val="24"/>
              </w:rPr>
              <w:t>项目按重点污染防治区、一般污染防治区、简单防渗区分别采取不同等级的防渗措施，其中</w:t>
            </w:r>
            <w:r>
              <w:rPr>
                <w:rFonts w:hint="eastAsia"/>
                <w:sz w:val="24"/>
                <w:szCs w:val="24"/>
                <w:lang w:val="en-US" w:eastAsia="zh-CN"/>
              </w:rPr>
              <w:t>辅料仓库、</w:t>
            </w:r>
            <w:r>
              <w:rPr>
                <w:rFonts w:hint="eastAsia"/>
                <w:sz w:val="24"/>
                <w:szCs w:val="24"/>
                <w:lang w:eastAsia="zh-CN"/>
              </w:rPr>
              <w:t>危废</w:t>
            </w:r>
            <w:r>
              <w:rPr>
                <w:sz w:val="24"/>
                <w:szCs w:val="24"/>
              </w:rPr>
              <w:t>暂存间</w:t>
            </w:r>
            <w:r>
              <w:rPr>
                <w:rFonts w:hint="eastAsia"/>
                <w:sz w:val="24"/>
                <w:szCs w:val="24"/>
                <w:lang w:eastAsia="zh-CN"/>
              </w:rPr>
              <w:t>等</w:t>
            </w:r>
            <w:r>
              <w:rPr>
                <w:rFonts w:hint="eastAsia"/>
                <w:sz w:val="24"/>
                <w:szCs w:val="24"/>
              </w:rPr>
              <w:t>为</w:t>
            </w:r>
            <w:r>
              <w:rPr>
                <w:sz w:val="24"/>
                <w:szCs w:val="24"/>
              </w:rPr>
              <w:t>重点防渗区域，基础底部夯实，上面铺装防渗层，等效黏土防渗层厚度≥6m，渗透系数≤10</w:t>
            </w:r>
            <w:r>
              <w:rPr>
                <w:sz w:val="24"/>
                <w:szCs w:val="24"/>
                <w:vertAlign w:val="superscript"/>
              </w:rPr>
              <w:t>-7</w:t>
            </w:r>
            <w:r>
              <w:rPr>
                <w:sz w:val="24"/>
                <w:szCs w:val="24"/>
              </w:rPr>
              <w:t>cm/s。</w:t>
            </w:r>
          </w:p>
          <w:p w14:paraId="64A665F7">
            <w:pPr>
              <w:spacing w:line="360" w:lineRule="auto"/>
              <w:ind w:firstLine="480" w:firstLineChars="200"/>
              <w:jc w:val="both"/>
              <w:rPr>
                <w:color w:val="auto"/>
                <w:sz w:val="24"/>
                <w:szCs w:val="24"/>
              </w:rPr>
            </w:pPr>
            <w:r>
              <w:rPr>
                <w:sz w:val="24"/>
                <w:szCs w:val="24"/>
              </w:rPr>
              <w:t>对</w:t>
            </w:r>
            <w:r>
              <w:rPr>
                <w:rFonts w:hint="eastAsia"/>
                <w:sz w:val="24"/>
                <w:szCs w:val="24"/>
                <w:lang w:eastAsia="zh-CN"/>
              </w:rPr>
              <w:t>生产车间、一般固废暂存间</w:t>
            </w:r>
            <w:r>
              <w:rPr>
                <w:sz w:val="24"/>
                <w:szCs w:val="24"/>
              </w:rPr>
              <w:t>等一般防渗区采取基底夯实、基础防渗及表层硬化措施，等效黏土防渗层厚度≥1.5m，渗透系数≤10</w:t>
            </w:r>
            <w:r>
              <w:rPr>
                <w:sz w:val="24"/>
                <w:szCs w:val="24"/>
                <w:vertAlign w:val="superscript"/>
              </w:rPr>
              <w:t>-7</w:t>
            </w:r>
            <w:r>
              <w:rPr>
                <w:sz w:val="24"/>
                <w:szCs w:val="24"/>
              </w:rPr>
              <w:t>cm/s。简单防渗区主要为办公、生活区等，进行地面硬化处理。企业在管理方面严加管理，并采取相应的防渗措施可有效</w:t>
            </w:r>
            <w:r>
              <w:rPr>
                <w:rFonts w:hint="eastAsia"/>
                <w:sz w:val="24"/>
                <w:szCs w:val="24"/>
                <w:lang w:eastAsia="zh-CN"/>
              </w:rPr>
              <w:t>防止</w:t>
            </w:r>
            <w:r>
              <w:rPr>
                <w:sz w:val="24"/>
                <w:szCs w:val="24"/>
              </w:rPr>
              <w:t>危险废物暂存和处置过程中因物料泄漏造成对区域地下水、土壤环境的污染。</w:t>
            </w:r>
          </w:p>
          <w:p w14:paraId="20A574D9">
            <w:pPr>
              <w:pStyle w:val="70"/>
              <w:keepNext w:val="0"/>
              <w:keepLines w:val="0"/>
              <w:pageBreakBefore w:val="0"/>
              <w:widowControl w:val="0"/>
              <w:kinsoku/>
              <w:wordWrap/>
              <w:overflowPunct/>
              <w:topLinePunct w:val="0"/>
              <w:autoSpaceDE/>
              <w:autoSpaceDN/>
              <w:bidi w:val="0"/>
              <w:adjustRightInd/>
              <w:snapToGrid/>
              <w:spacing w:line="360" w:lineRule="auto"/>
              <w:textAlignment w:val="auto"/>
              <w:rPr>
                <w:color w:val="auto"/>
                <w:sz w:val="24"/>
                <w:szCs w:val="24"/>
              </w:rPr>
            </w:pPr>
            <w:r>
              <w:rPr>
                <w:color w:val="auto"/>
                <w:sz w:val="24"/>
                <w:szCs w:val="24"/>
              </w:rPr>
              <w:t>表4-</w:t>
            </w:r>
            <w:r>
              <w:rPr>
                <w:rFonts w:hint="eastAsia"/>
                <w:color w:val="auto"/>
                <w:sz w:val="24"/>
                <w:szCs w:val="24"/>
                <w:lang w:val="en-US" w:eastAsia="zh-CN"/>
              </w:rPr>
              <w:t xml:space="preserve">20 </w:t>
            </w:r>
            <w:r>
              <w:rPr>
                <w:color w:val="auto"/>
                <w:sz w:val="24"/>
                <w:szCs w:val="24"/>
              </w:rPr>
              <w:t xml:space="preserve"> 本项目分区防渗一览表</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0"/>
              <w:gridCol w:w="1399"/>
              <w:gridCol w:w="1237"/>
              <w:gridCol w:w="3634"/>
            </w:tblGrid>
            <w:tr w14:paraId="3B068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080" w:type="dxa"/>
                  <w:noWrap w:val="0"/>
                  <w:vAlign w:val="center"/>
                </w:tcPr>
                <w:p w14:paraId="64FE512C">
                  <w:pPr>
                    <w:widowControl/>
                    <w:jc w:val="center"/>
                    <w:rPr>
                      <w:b w:val="0"/>
                      <w:bCs w:val="0"/>
                      <w:color w:val="auto"/>
                      <w:sz w:val="21"/>
                      <w:szCs w:val="21"/>
                    </w:rPr>
                  </w:pPr>
                  <w:r>
                    <w:rPr>
                      <w:b w:val="0"/>
                      <w:bCs w:val="0"/>
                      <w:color w:val="auto"/>
                      <w:sz w:val="21"/>
                      <w:szCs w:val="21"/>
                    </w:rPr>
                    <w:t>建设名称</w:t>
                  </w:r>
                </w:p>
              </w:tc>
              <w:tc>
                <w:tcPr>
                  <w:tcW w:w="1399" w:type="dxa"/>
                  <w:noWrap w:val="0"/>
                  <w:vAlign w:val="center"/>
                </w:tcPr>
                <w:p w14:paraId="29081EBE">
                  <w:pPr>
                    <w:widowControl/>
                    <w:jc w:val="center"/>
                    <w:rPr>
                      <w:b w:val="0"/>
                      <w:bCs w:val="0"/>
                      <w:color w:val="auto"/>
                      <w:sz w:val="21"/>
                      <w:szCs w:val="21"/>
                    </w:rPr>
                  </w:pPr>
                  <w:r>
                    <w:rPr>
                      <w:b w:val="0"/>
                      <w:bCs w:val="0"/>
                      <w:color w:val="auto"/>
                      <w:sz w:val="21"/>
                      <w:szCs w:val="21"/>
                    </w:rPr>
                    <w:t>污染防治区域及部位</w:t>
                  </w:r>
                </w:p>
              </w:tc>
              <w:tc>
                <w:tcPr>
                  <w:tcW w:w="1237" w:type="dxa"/>
                  <w:noWrap w:val="0"/>
                  <w:vAlign w:val="center"/>
                </w:tcPr>
                <w:p w14:paraId="59C3F828">
                  <w:pPr>
                    <w:widowControl/>
                    <w:jc w:val="center"/>
                    <w:rPr>
                      <w:b w:val="0"/>
                      <w:bCs w:val="0"/>
                      <w:color w:val="auto"/>
                      <w:sz w:val="21"/>
                      <w:szCs w:val="21"/>
                    </w:rPr>
                  </w:pPr>
                  <w:r>
                    <w:rPr>
                      <w:b w:val="0"/>
                      <w:bCs w:val="0"/>
                      <w:color w:val="auto"/>
                      <w:sz w:val="21"/>
                      <w:szCs w:val="21"/>
                    </w:rPr>
                    <w:t>污染防治区类别</w:t>
                  </w:r>
                </w:p>
              </w:tc>
              <w:tc>
                <w:tcPr>
                  <w:tcW w:w="3634" w:type="dxa"/>
                  <w:noWrap w:val="0"/>
                  <w:vAlign w:val="center"/>
                </w:tcPr>
                <w:p w14:paraId="25B00633">
                  <w:pPr>
                    <w:widowControl/>
                    <w:jc w:val="center"/>
                    <w:rPr>
                      <w:b w:val="0"/>
                      <w:bCs w:val="0"/>
                      <w:color w:val="auto"/>
                      <w:sz w:val="21"/>
                      <w:szCs w:val="21"/>
                    </w:rPr>
                  </w:pPr>
                  <w:r>
                    <w:rPr>
                      <w:b w:val="0"/>
                      <w:bCs w:val="0"/>
                      <w:color w:val="auto"/>
                      <w:sz w:val="21"/>
                      <w:szCs w:val="21"/>
                    </w:rPr>
                    <w:t>防渗要求</w:t>
                  </w:r>
                </w:p>
              </w:tc>
            </w:tr>
            <w:tr w14:paraId="6604E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2080" w:type="dxa"/>
                  <w:noWrap w:val="0"/>
                  <w:vAlign w:val="center"/>
                </w:tcPr>
                <w:p w14:paraId="35EBBAFF">
                  <w:pPr>
                    <w:widowControl/>
                    <w:jc w:val="center"/>
                    <w:rPr>
                      <w:rFonts w:hint="eastAsia" w:eastAsia="宋体"/>
                      <w:b w:val="0"/>
                      <w:bCs w:val="0"/>
                      <w:color w:val="auto"/>
                      <w:sz w:val="21"/>
                      <w:szCs w:val="21"/>
                      <w:lang w:eastAsia="zh-CN"/>
                    </w:rPr>
                  </w:pPr>
                  <w:r>
                    <w:rPr>
                      <w:rFonts w:hint="eastAsia"/>
                      <w:b w:val="0"/>
                      <w:bCs w:val="0"/>
                      <w:color w:val="auto"/>
                      <w:sz w:val="21"/>
                      <w:szCs w:val="21"/>
                      <w:lang w:eastAsia="zh-CN"/>
                    </w:rPr>
                    <w:t>危废</w:t>
                  </w:r>
                  <w:r>
                    <w:rPr>
                      <w:b w:val="0"/>
                      <w:bCs w:val="0"/>
                      <w:color w:val="auto"/>
                      <w:sz w:val="21"/>
                      <w:szCs w:val="21"/>
                    </w:rPr>
                    <w:t>暂存间</w:t>
                  </w:r>
                </w:p>
              </w:tc>
              <w:tc>
                <w:tcPr>
                  <w:tcW w:w="1399" w:type="dxa"/>
                  <w:noWrap w:val="0"/>
                  <w:vAlign w:val="center"/>
                </w:tcPr>
                <w:p w14:paraId="16183BD3">
                  <w:pPr>
                    <w:widowControl/>
                    <w:jc w:val="center"/>
                    <w:rPr>
                      <w:b w:val="0"/>
                      <w:bCs w:val="0"/>
                      <w:color w:val="auto"/>
                      <w:sz w:val="21"/>
                      <w:szCs w:val="21"/>
                    </w:rPr>
                  </w:pPr>
                  <w:r>
                    <w:rPr>
                      <w:b w:val="0"/>
                      <w:bCs w:val="0"/>
                      <w:color w:val="auto"/>
                      <w:sz w:val="21"/>
                      <w:szCs w:val="21"/>
                    </w:rPr>
                    <w:t>地面、四周墙面</w:t>
                  </w:r>
                </w:p>
              </w:tc>
              <w:tc>
                <w:tcPr>
                  <w:tcW w:w="1237" w:type="dxa"/>
                  <w:noWrap w:val="0"/>
                  <w:vAlign w:val="center"/>
                </w:tcPr>
                <w:p w14:paraId="10CE8A9A">
                  <w:pPr>
                    <w:widowControl/>
                    <w:jc w:val="center"/>
                    <w:rPr>
                      <w:b w:val="0"/>
                      <w:bCs w:val="0"/>
                      <w:color w:val="auto"/>
                      <w:sz w:val="21"/>
                      <w:szCs w:val="21"/>
                    </w:rPr>
                  </w:pPr>
                  <w:r>
                    <w:rPr>
                      <w:b w:val="0"/>
                      <w:bCs w:val="0"/>
                      <w:color w:val="auto"/>
                      <w:sz w:val="21"/>
                      <w:szCs w:val="21"/>
                    </w:rPr>
                    <w:t>重点防渗区</w:t>
                  </w:r>
                </w:p>
              </w:tc>
              <w:tc>
                <w:tcPr>
                  <w:tcW w:w="3634" w:type="dxa"/>
                  <w:noWrap w:val="0"/>
                  <w:vAlign w:val="center"/>
                </w:tcPr>
                <w:p w14:paraId="65B41529">
                  <w:pPr>
                    <w:jc w:val="center"/>
                    <w:rPr>
                      <w:b w:val="0"/>
                      <w:bCs w:val="0"/>
                      <w:color w:val="auto"/>
                      <w:sz w:val="21"/>
                      <w:szCs w:val="21"/>
                    </w:rPr>
                  </w:pPr>
                  <w:r>
                    <w:rPr>
                      <w:b w:val="0"/>
                      <w:bCs w:val="0"/>
                      <w:color w:val="auto"/>
                      <w:kern w:val="0"/>
                      <w:sz w:val="21"/>
                      <w:szCs w:val="21"/>
                    </w:rPr>
                    <w:t>地面采用防渗混凝土硬化，混凝土上方涂刷环氧树脂涂料；等效黏土防渗层Mb≥6.0m，K≤1×10</w:t>
                  </w:r>
                  <w:r>
                    <w:rPr>
                      <w:b w:val="0"/>
                      <w:bCs w:val="0"/>
                      <w:color w:val="auto"/>
                      <w:kern w:val="0"/>
                      <w:sz w:val="21"/>
                      <w:szCs w:val="21"/>
                      <w:vertAlign w:val="superscript"/>
                    </w:rPr>
                    <w:t>-7</w:t>
                  </w:r>
                  <w:r>
                    <w:rPr>
                      <w:b w:val="0"/>
                      <w:bCs w:val="0"/>
                      <w:color w:val="auto"/>
                      <w:kern w:val="0"/>
                      <w:sz w:val="21"/>
                      <w:szCs w:val="21"/>
                    </w:rPr>
                    <w:t>m/s。</w:t>
                  </w:r>
                </w:p>
              </w:tc>
            </w:tr>
            <w:tr w14:paraId="03582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2080" w:type="dxa"/>
                  <w:noWrap w:val="0"/>
                  <w:vAlign w:val="center"/>
                </w:tcPr>
                <w:p w14:paraId="4A6AE36B">
                  <w:pPr>
                    <w:widowControl/>
                    <w:jc w:val="center"/>
                    <w:rPr>
                      <w:rFonts w:hint="default" w:eastAsia="宋体"/>
                      <w:b w:val="0"/>
                      <w:bCs w:val="0"/>
                      <w:color w:val="auto"/>
                      <w:sz w:val="21"/>
                      <w:szCs w:val="21"/>
                      <w:lang w:val="en-US" w:eastAsia="zh-CN"/>
                    </w:rPr>
                  </w:pPr>
                  <w:r>
                    <w:rPr>
                      <w:rFonts w:hint="eastAsia"/>
                      <w:b w:val="0"/>
                      <w:bCs w:val="0"/>
                      <w:color w:val="auto"/>
                      <w:sz w:val="21"/>
                      <w:szCs w:val="21"/>
                      <w:lang w:eastAsia="zh-CN"/>
                    </w:rPr>
                    <w:t>生产车间、</w:t>
                  </w:r>
                  <w:r>
                    <w:rPr>
                      <w:rFonts w:hint="eastAsia"/>
                      <w:b w:val="0"/>
                      <w:bCs w:val="0"/>
                      <w:color w:val="auto"/>
                      <w:sz w:val="21"/>
                      <w:szCs w:val="21"/>
                      <w:lang w:val="en-US" w:eastAsia="zh-CN"/>
                    </w:rPr>
                    <w:t>循环水池、化粪池等</w:t>
                  </w:r>
                </w:p>
              </w:tc>
              <w:tc>
                <w:tcPr>
                  <w:tcW w:w="1399" w:type="dxa"/>
                  <w:noWrap w:val="0"/>
                  <w:vAlign w:val="center"/>
                </w:tcPr>
                <w:p w14:paraId="1BBEC84A">
                  <w:pPr>
                    <w:pStyle w:val="51"/>
                    <w:spacing w:line="240" w:lineRule="auto"/>
                    <w:ind w:left="0" w:leftChars="0" w:firstLine="0" w:firstLineChars="0"/>
                    <w:jc w:val="center"/>
                    <w:rPr>
                      <w:rFonts w:ascii="Times New Roman" w:hAnsi="Times New Roman"/>
                      <w:b w:val="0"/>
                      <w:bCs w:val="0"/>
                      <w:color w:val="auto"/>
                      <w:sz w:val="21"/>
                      <w:szCs w:val="21"/>
                    </w:rPr>
                  </w:pPr>
                  <w:r>
                    <w:rPr>
                      <w:rFonts w:ascii="Times New Roman" w:hAnsi="Times New Roman" w:eastAsia="宋体" w:cs="Times New Roman"/>
                      <w:b w:val="0"/>
                      <w:bCs w:val="0"/>
                      <w:color w:val="auto"/>
                      <w:kern w:val="2"/>
                      <w:sz w:val="21"/>
                      <w:szCs w:val="21"/>
                      <w:lang w:val="en-US" w:eastAsia="zh-CN" w:bidi="ar-SA"/>
                    </w:rPr>
                    <w:t>地面</w:t>
                  </w:r>
                </w:p>
              </w:tc>
              <w:tc>
                <w:tcPr>
                  <w:tcW w:w="1237" w:type="dxa"/>
                  <w:noWrap w:val="0"/>
                  <w:vAlign w:val="center"/>
                </w:tcPr>
                <w:p w14:paraId="4D63D062">
                  <w:pPr>
                    <w:widowControl/>
                    <w:jc w:val="center"/>
                    <w:rPr>
                      <w:b w:val="0"/>
                      <w:bCs w:val="0"/>
                      <w:color w:val="auto"/>
                      <w:sz w:val="21"/>
                      <w:szCs w:val="21"/>
                    </w:rPr>
                  </w:pPr>
                  <w:r>
                    <w:rPr>
                      <w:b w:val="0"/>
                      <w:bCs w:val="0"/>
                      <w:color w:val="auto"/>
                      <w:sz w:val="21"/>
                      <w:szCs w:val="21"/>
                    </w:rPr>
                    <w:t>一般防渗区</w:t>
                  </w:r>
                </w:p>
              </w:tc>
              <w:tc>
                <w:tcPr>
                  <w:tcW w:w="3634" w:type="dxa"/>
                  <w:noWrap w:val="0"/>
                  <w:vAlign w:val="center"/>
                </w:tcPr>
                <w:p w14:paraId="647560CA">
                  <w:pPr>
                    <w:widowControl/>
                    <w:jc w:val="center"/>
                    <w:rPr>
                      <w:b w:val="0"/>
                      <w:bCs w:val="0"/>
                      <w:color w:val="auto"/>
                      <w:sz w:val="21"/>
                      <w:szCs w:val="21"/>
                    </w:rPr>
                  </w:pPr>
                  <w:r>
                    <w:rPr>
                      <w:b w:val="0"/>
                      <w:bCs w:val="0"/>
                      <w:color w:val="auto"/>
                      <w:kern w:val="0"/>
                      <w:sz w:val="21"/>
                      <w:szCs w:val="21"/>
                    </w:rPr>
                    <w:t>采用防渗混凝土硬化，等效黏土防渗层Mb≥1.5m，K≤1×10</w:t>
                  </w:r>
                  <w:r>
                    <w:rPr>
                      <w:b w:val="0"/>
                      <w:bCs w:val="0"/>
                      <w:color w:val="auto"/>
                      <w:kern w:val="0"/>
                      <w:sz w:val="21"/>
                      <w:szCs w:val="21"/>
                      <w:vertAlign w:val="superscript"/>
                    </w:rPr>
                    <w:t>-7</w:t>
                  </w:r>
                  <w:r>
                    <w:rPr>
                      <w:b w:val="0"/>
                      <w:bCs w:val="0"/>
                      <w:color w:val="auto"/>
                      <w:kern w:val="0"/>
                      <w:sz w:val="21"/>
                      <w:szCs w:val="21"/>
                    </w:rPr>
                    <w:t>cm/s</w:t>
                  </w:r>
                </w:p>
              </w:tc>
            </w:tr>
            <w:tr w14:paraId="2E856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2080" w:type="dxa"/>
                  <w:noWrap w:val="0"/>
                  <w:vAlign w:val="center"/>
                </w:tcPr>
                <w:p w14:paraId="6259A49F">
                  <w:pPr>
                    <w:widowControl/>
                    <w:jc w:val="center"/>
                    <w:rPr>
                      <w:rFonts w:hint="eastAsia" w:eastAsia="宋体"/>
                      <w:b w:val="0"/>
                      <w:bCs w:val="0"/>
                      <w:color w:val="auto"/>
                      <w:sz w:val="21"/>
                      <w:szCs w:val="21"/>
                      <w:lang w:eastAsia="zh-CN"/>
                    </w:rPr>
                  </w:pPr>
                  <w:r>
                    <w:rPr>
                      <w:rFonts w:hint="eastAsia"/>
                      <w:b w:val="0"/>
                      <w:bCs w:val="0"/>
                      <w:color w:val="auto"/>
                      <w:sz w:val="21"/>
                      <w:szCs w:val="21"/>
                      <w:lang w:eastAsia="zh-CN"/>
                    </w:rPr>
                    <w:t>成品仓库、</w:t>
                  </w:r>
                  <w:r>
                    <w:rPr>
                      <w:b w:val="0"/>
                      <w:bCs w:val="0"/>
                      <w:color w:val="auto"/>
                      <w:sz w:val="21"/>
                      <w:szCs w:val="21"/>
                    </w:rPr>
                    <w:t>办公区</w:t>
                  </w:r>
                  <w:r>
                    <w:rPr>
                      <w:rFonts w:hint="eastAsia"/>
                      <w:b w:val="0"/>
                      <w:bCs w:val="0"/>
                      <w:color w:val="auto"/>
                      <w:sz w:val="21"/>
                      <w:szCs w:val="21"/>
                      <w:lang w:eastAsia="zh-CN"/>
                    </w:rPr>
                    <w:t>等其他区域</w:t>
                  </w:r>
                </w:p>
              </w:tc>
              <w:tc>
                <w:tcPr>
                  <w:tcW w:w="1399" w:type="dxa"/>
                  <w:noWrap w:val="0"/>
                  <w:vAlign w:val="center"/>
                </w:tcPr>
                <w:p w14:paraId="50DA3CDE">
                  <w:pPr>
                    <w:widowControl/>
                    <w:jc w:val="center"/>
                    <w:rPr>
                      <w:b w:val="0"/>
                      <w:bCs w:val="0"/>
                      <w:color w:val="auto"/>
                      <w:sz w:val="21"/>
                      <w:szCs w:val="21"/>
                    </w:rPr>
                  </w:pPr>
                  <w:r>
                    <w:rPr>
                      <w:b w:val="0"/>
                      <w:bCs w:val="0"/>
                      <w:color w:val="auto"/>
                      <w:sz w:val="21"/>
                      <w:szCs w:val="21"/>
                    </w:rPr>
                    <w:t>地面</w:t>
                  </w:r>
                </w:p>
              </w:tc>
              <w:tc>
                <w:tcPr>
                  <w:tcW w:w="1237" w:type="dxa"/>
                  <w:noWrap w:val="0"/>
                  <w:vAlign w:val="center"/>
                </w:tcPr>
                <w:p w14:paraId="421E6426">
                  <w:pPr>
                    <w:widowControl/>
                    <w:jc w:val="center"/>
                    <w:rPr>
                      <w:b w:val="0"/>
                      <w:bCs w:val="0"/>
                      <w:color w:val="auto"/>
                      <w:sz w:val="21"/>
                      <w:szCs w:val="21"/>
                    </w:rPr>
                  </w:pPr>
                  <w:r>
                    <w:rPr>
                      <w:b w:val="0"/>
                      <w:bCs w:val="0"/>
                      <w:color w:val="auto"/>
                      <w:sz w:val="21"/>
                      <w:szCs w:val="21"/>
                    </w:rPr>
                    <w:t>简单防渗区</w:t>
                  </w:r>
                </w:p>
              </w:tc>
              <w:tc>
                <w:tcPr>
                  <w:tcW w:w="3634" w:type="dxa"/>
                  <w:noWrap w:val="0"/>
                  <w:vAlign w:val="center"/>
                </w:tcPr>
                <w:p w14:paraId="270A3535">
                  <w:pPr>
                    <w:widowControl/>
                    <w:jc w:val="center"/>
                    <w:rPr>
                      <w:b w:val="0"/>
                      <w:bCs w:val="0"/>
                      <w:color w:val="auto"/>
                      <w:sz w:val="21"/>
                      <w:szCs w:val="21"/>
                    </w:rPr>
                  </w:pPr>
                  <w:r>
                    <w:rPr>
                      <w:b w:val="0"/>
                      <w:bCs w:val="0"/>
                      <w:color w:val="auto"/>
                      <w:kern w:val="0"/>
                      <w:sz w:val="21"/>
                      <w:szCs w:val="21"/>
                    </w:rPr>
                    <w:t>普通水泥硬化</w:t>
                  </w:r>
                </w:p>
              </w:tc>
            </w:tr>
          </w:tbl>
          <w:p w14:paraId="674DD040">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b/>
                <w:bCs/>
                <w:color w:val="auto"/>
                <w:sz w:val="24"/>
              </w:rPr>
            </w:pPr>
            <w:r>
              <w:rPr>
                <w:b/>
                <w:bCs/>
                <w:color w:val="auto"/>
                <w:sz w:val="24"/>
              </w:rPr>
              <w:t>6</w:t>
            </w:r>
            <w:r>
              <w:rPr>
                <w:rFonts w:hint="eastAsia"/>
                <w:b/>
                <w:bCs/>
                <w:color w:val="auto"/>
                <w:sz w:val="24"/>
              </w:rPr>
              <w:t>、环境风险</w:t>
            </w:r>
          </w:p>
          <w:p w14:paraId="15647713">
            <w:pPr>
              <w:wordWrap w:val="0"/>
              <w:topLinePunct/>
              <w:spacing w:line="360" w:lineRule="auto"/>
              <w:ind w:firstLine="480" w:firstLineChars="200"/>
              <w:contextualSpacing/>
              <w:jc w:val="both"/>
              <w:textAlignment w:val="center"/>
              <w:rPr>
                <w:sz w:val="24"/>
                <w:szCs w:val="24"/>
              </w:rPr>
            </w:pPr>
            <w:r>
              <w:rPr>
                <w:sz w:val="24"/>
                <w:szCs w:val="24"/>
              </w:rPr>
              <w:t>本次环评根据《建设项目环境风险评价技术导则》（HJ169-2018），针对项目运营期使用可能存在的环境风险进行风险评价。</w:t>
            </w:r>
          </w:p>
          <w:p w14:paraId="70A27AA8">
            <w:pPr>
              <w:wordWrap w:val="0"/>
              <w:topLinePunct/>
              <w:spacing w:line="360" w:lineRule="auto"/>
              <w:ind w:firstLine="480" w:firstLineChars="200"/>
              <w:jc w:val="both"/>
              <w:textAlignment w:val="center"/>
              <w:rPr>
                <w:b/>
                <w:sz w:val="24"/>
                <w:szCs w:val="24"/>
              </w:rPr>
            </w:pPr>
            <w:r>
              <w:rPr>
                <w:rFonts w:hint="eastAsia"/>
                <w:bCs/>
                <w:sz w:val="24"/>
                <w:szCs w:val="24"/>
                <w:lang w:eastAsia="zh-CN"/>
              </w:rPr>
              <w:t>（</w:t>
            </w:r>
            <w:r>
              <w:rPr>
                <w:rFonts w:hint="eastAsia"/>
                <w:bCs/>
                <w:sz w:val="24"/>
                <w:szCs w:val="24"/>
                <w:lang w:val="en-US" w:eastAsia="zh-CN"/>
              </w:rPr>
              <w:t>1</w:t>
            </w:r>
            <w:r>
              <w:rPr>
                <w:rFonts w:hint="eastAsia"/>
                <w:bCs/>
                <w:sz w:val="24"/>
                <w:szCs w:val="24"/>
                <w:lang w:eastAsia="zh-CN"/>
              </w:rPr>
              <w:t>）</w:t>
            </w:r>
            <w:r>
              <w:rPr>
                <w:bCs/>
                <w:sz w:val="24"/>
                <w:szCs w:val="24"/>
              </w:rPr>
              <w:t>风险识别</w:t>
            </w:r>
          </w:p>
          <w:p w14:paraId="3F6FE977">
            <w:pPr>
              <w:wordWrap w:val="0"/>
              <w:topLinePunct/>
              <w:snapToGrid w:val="0"/>
              <w:spacing w:line="360" w:lineRule="auto"/>
              <w:ind w:firstLine="480" w:firstLineChars="200"/>
              <w:contextualSpacing/>
              <w:jc w:val="both"/>
              <w:textAlignment w:val="center"/>
              <w:rPr>
                <w:sz w:val="24"/>
                <w:szCs w:val="24"/>
              </w:rPr>
            </w:pPr>
            <w:r>
              <w:rPr>
                <w:sz w:val="24"/>
                <w:szCs w:val="24"/>
              </w:rPr>
              <w:t>经查《建设项目环境风险评价技术导则》（HJ169</w:t>
            </w:r>
            <w:r>
              <w:rPr>
                <w:rFonts w:hint="eastAsia"/>
                <w:sz w:val="24"/>
                <w:szCs w:val="24"/>
                <w:lang w:val="en-US" w:eastAsia="zh-CN"/>
              </w:rPr>
              <w:t>-</w:t>
            </w:r>
            <w:r>
              <w:rPr>
                <w:sz w:val="24"/>
                <w:szCs w:val="24"/>
              </w:rPr>
              <w:t>2018），运营期所使用的润滑油及危废间储存的</w:t>
            </w:r>
            <w:r>
              <w:rPr>
                <w:rFonts w:hint="eastAsia"/>
                <w:sz w:val="24"/>
                <w:szCs w:val="24"/>
                <w:lang w:val="en-US" w:eastAsia="zh-CN"/>
              </w:rPr>
              <w:t>废矿物油</w:t>
            </w:r>
            <w:r>
              <w:rPr>
                <w:sz w:val="24"/>
                <w:szCs w:val="24"/>
              </w:rPr>
              <w:t>，其储存可能会发生泄漏，导致环境污染事故，也可能因</w:t>
            </w:r>
            <w:r>
              <w:rPr>
                <w:rFonts w:hint="eastAsia"/>
                <w:sz w:val="24"/>
                <w:szCs w:val="24"/>
                <w:lang w:eastAsia="zh-CN"/>
              </w:rPr>
              <w:t>泄漏</w:t>
            </w:r>
            <w:r>
              <w:rPr>
                <w:sz w:val="24"/>
                <w:szCs w:val="24"/>
              </w:rPr>
              <w:t>遇明火有发生火灾爆炸的危险性。其它各种风险源储存情况见下表。</w:t>
            </w:r>
          </w:p>
          <w:p w14:paraId="08AA4054">
            <w:pPr>
              <w:pStyle w:val="70"/>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表4-</w:t>
            </w:r>
            <w:r>
              <w:rPr>
                <w:rFonts w:hint="eastAsia" w:cs="Times New Roman"/>
                <w:color w:val="auto"/>
                <w:sz w:val="24"/>
                <w:szCs w:val="24"/>
                <w:lang w:val="en-US" w:eastAsia="zh-CN"/>
              </w:rPr>
              <w:t>21</w:t>
            </w:r>
            <w:r>
              <w:rPr>
                <w:rFonts w:ascii="Times New Roman" w:hAnsi="Times New Roman" w:eastAsia="宋体" w:cs="Times New Roman"/>
                <w:color w:val="auto"/>
                <w:sz w:val="24"/>
                <w:szCs w:val="24"/>
              </w:rPr>
              <w:t xml:space="preserve">  原辅料储存情况</w:t>
            </w:r>
          </w:p>
          <w:tbl>
            <w:tblPr>
              <w:tblStyle w:val="26"/>
              <w:tblW w:w="4995" w:type="pct"/>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57" w:type="dxa"/>
                <w:bottom w:w="0" w:type="dxa"/>
                <w:right w:w="57" w:type="dxa"/>
              </w:tblCellMar>
            </w:tblPr>
            <w:tblGrid>
              <w:gridCol w:w="440"/>
              <w:gridCol w:w="1267"/>
              <w:gridCol w:w="985"/>
              <w:gridCol w:w="1361"/>
              <w:gridCol w:w="953"/>
              <w:gridCol w:w="1414"/>
              <w:gridCol w:w="884"/>
              <w:gridCol w:w="1129"/>
            </w:tblGrid>
            <w:tr w14:paraId="750177A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57" w:type="dxa"/>
                  <w:bottom w:w="0" w:type="dxa"/>
                  <w:right w:w="57" w:type="dxa"/>
                </w:tblCellMar>
              </w:tblPrEx>
              <w:trPr>
                <w:trHeight w:val="340" w:hRule="atLeast"/>
                <w:jc w:val="center"/>
              </w:trPr>
              <w:tc>
                <w:tcPr>
                  <w:tcW w:w="260" w:type="pct"/>
                  <w:noWrap w:val="0"/>
                  <w:vAlign w:val="center"/>
                </w:tcPr>
                <w:p w14:paraId="061F1A57">
                  <w:pPr>
                    <w:jc w:val="center"/>
                    <w:rPr>
                      <w:b w:val="0"/>
                      <w:bCs w:val="0"/>
                      <w:sz w:val="21"/>
                      <w:szCs w:val="21"/>
                    </w:rPr>
                  </w:pPr>
                  <w:r>
                    <w:rPr>
                      <w:b w:val="0"/>
                      <w:bCs w:val="0"/>
                      <w:sz w:val="21"/>
                      <w:szCs w:val="21"/>
                    </w:rPr>
                    <w:t>序号</w:t>
                  </w:r>
                </w:p>
              </w:tc>
              <w:tc>
                <w:tcPr>
                  <w:tcW w:w="751" w:type="pct"/>
                  <w:noWrap w:val="0"/>
                  <w:vAlign w:val="center"/>
                </w:tcPr>
                <w:p w14:paraId="04EEFFC5">
                  <w:pPr>
                    <w:jc w:val="center"/>
                    <w:rPr>
                      <w:b w:val="0"/>
                      <w:bCs w:val="0"/>
                      <w:sz w:val="21"/>
                      <w:szCs w:val="21"/>
                    </w:rPr>
                  </w:pPr>
                  <w:r>
                    <w:rPr>
                      <w:b w:val="0"/>
                      <w:bCs w:val="0"/>
                      <w:sz w:val="21"/>
                      <w:szCs w:val="21"/>
                    </w:rPr>
                    <w:t>原辅料名称</w:t>
                  </w:r>
                </w:p>
              </w:tc>
              <w:tc>
                <w:tcPr>
                  <w:tcW w:w="584" w:type="pct"/>
                  <w:noWrap w:val="0"/>
                  <w:vAlign w:val="center"/>
                </w:tcPr>
                <w:p w14:paraId="5E0F1875">
                  <w:pPr>
                    <w:jc w:val="center"/>
                    <w:rPr>
                      <w:b w:val="0"/>
                      <w:bCs w:val="0"/>
                      <w:sz w:val="21"/>
                      <w:szCs w:val="21"/>
                    </w:rPr>
                  </w:pPr>
                  <w:r>
                    <w:rPr>
                      <w:b w:val="0"/>
                      <w:bCs w:val="0"/>
                      <w:sz w:val="21"/>
                      <w:szCs w:val="21"/>
                    </w:rPr>
                    <w:t>储存方式</w:t>
                  </w:r>
                </w:p>
              </w:tc>
              <w:tc>
                <w:tcPr>
                  <w:tcW w:w="806" w:type="pct"/>
                  <w:noWrap w:val="0"/>
                  <w:vAlign w:val="center"/>
                </w:tcPr>
                <w:p w14:paraId="40611BB6">
                  <w:pPr>
                    <w:jc w:val="center"/>
                    <w:rPr>
                      <w:b w:val="0"/>
                      <w:bCs w:val="0"/>
                      <w:sz w:val="21"/>
                      <w:szCs w:val="21"/>
                    </w:rPr>
                  </w:pPr>
                  <w:r>
                    <w:rPr>
                      <w:b w:val="0"/>
                      <w:bCs w:val="0"/>
                      <w:sz w:val="21"/>
                      <w:szCs w:val="21"/>
                    </w:rPr>
                    <w:t>储存位置</w:t>
                  </w:r>
                </w:p>
              </w:tc>
              <w:tc>
                <w:tcPr>
                  <w:tcW w:w="565" w:type="pct"/>
                  <w:noWrap w:val="0"/>
                  <w:vAlign w:val="center"/>
                </w:tcPr>
                <w:p w14:paraId="1B47F84C">
                  <w:pPr>
                    <w:jc w:val="center"/>
                    <w:rPr>
                      <w:b w:val="0"/>
                      <w:bCs w:val="0"/>
                      <w:sz w:val="21"/>
                      <w:szCs w:val="21"/>
                    </w:rPr>
                  </w:pPr>
                  <w:r>
                    <w:rPr>
                      <w:b w:val="0"/>
                      <w:bCs w:val="0"/>
                      <w:sz w:val="21"/>
                      <w:szCs w:val="21"/>
                    </w:rPr>
                    <w:t>最大贮存量t</w:t>
                  </w:r>
                </w:p>
              </w:tc>
              <w:tc>
                <w:tcPr>
                  <w:tcW w:w="838" w:type="pct"/>
                  <w:noWrap w:val="0"/>
                  <w:vAlign w:val="center"/>
                </w:tcPr>
                <w:p w14:paraId="61AE8BF7">
                  <w:pPr>
                    <w:jc w:val="center"/>
                    <w:rPr>
                      <w:b w:val="0"/>
                      <w:bCs w:val="0"/>
                      <w:sz w:val="21"/>
                      <w:szCs w:val="21"/>
                    </w:rPr>
                  </w:pPr>
                  <w:r>
                    <w:rPr>
                      <w:b w:val="0"/>
                      <w:bCs w:val="0"/>
                      <w:sz w:val="21"/>
                      <w:szCs w:val="21"/>
                    </w:rPr>
                    <w:t>危害性类别</w:t>
                  </w:r>
                </w:p>
              </w:tc>
              <w:tc>
                <w:tcPr>
                  <w:tcW w:w="524" w:type="pct"/>
                  <w:noWrap w:val="0"/>
                  <w:vAlign w:val="center"/>
                </w:tcPr>
                <w:p w14:paraId="74E32115">
                  <w:pPr>
                    <w:jc w:val="center"/>
                    <w:rPr>
                      <w:b w:val="0"/>
                      <w:bCs w:val="0"/>
                      <w:sz w:val="21"/>
                      <w:szCs w:val="21"/>
                    </w:rPr>
                  </w:pPr>
                  <w:r>
                    <w:rPr>
                      <w:b w:val="0"/>
                      <w:bCs w:val="0"/>
                      <w:sz w:val="21"/>
                      <w:szCs w:val="21"/>
                    </w:rPr>
                    <w:t>最大临界量t</w:t>
                  </w:r>
                </w:p>
              </w:tc>
              <w:tc>
                <w:tcPr>
                  <w:tcW w:w="669" w:type="pct"/>
                  <w:noWrap w:val="0"/>
                  <w:vAlign w:val="center"/>
                </w:tcPr>
                <w:p w14:paraId="2D6A5254">
                  <w:pPr>
                    <w:jc w:val="center"/>
                    <w:rPr>
                      <w:b w:val="0"/>
                      <w:bCs w:val="0"/>
                      <w:sz w:val="21"/>
                      <w:szCs w:val="21"/>
                    </w:rPr>
                  </w:pPr>
                  <w:r>
                    <w:rPr>
                      <w:b w:val="0"/>
                      <w:bCs w:val="0"/>
                      <w:sz w:val="21"/>
                      <w:szCs w:val="21"/>
                    </w:rPr>
                    <w:t>Q值</w:t>
                  </w:r>
                </w:p>
              </w:tc>
            </w:tr>
            <w:tr w14:paraId="4695255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57" w:type="dxa"/>
                  <w:bottom w:w="0" w:type="dxa"/>
                  <w:right w:w="57" w:type="dxa"/>
                </w:tblCellMar>
              </w:tblPrEx>
              <w:trPr>
                <w:trHeight w:val="340" w:hRule="atLeast"/>
                <w:jc w:val="center"/>
              </w:trPr>
              <w:tc>
                <w:tcPr>
                  <w:tcW w:w="260" w:type="pct"/>
                  <w:noWrap w:val="0"/>
                  <w:vAlign w:val="center"/>
                </w:tcPr>
                <w:p w14:paraId="099C7E8A">
                  <w:pPr>
                    <w:jc w:val="center"/>
                    <w:rPr>
                      <w:b w:val="0"/>
                      <w:bCs w:val="0"/>
                      <w:sz w:val="21"/>
                      <w:szCs w:val="21"/>
                    </w:rPr>
                  </w:pPr>
                  <w:r>
                    <w:rPr>
                      <w:b w:val="0"/>
                      <w:bCs w:val="0"/>
                      <w:sz w:val="21"/>
                      <w:szCs w:val="21"/>
                    </w:rPr>
                    <w:t>1</w:t>
                  </w:r>
                </w:p>
              </w:tc>
              <w:tc>
                <w:tcPr>
                  <w:tcW w:w="751" w:type="pct"/>
                  <w:noWrap w:val="0"/>
                  <w:vAlign w:val="center"/>
                </w:tcPr>
                <w:p w14:paraId="7D9C50C4">
                  <w:pPr>
                    <w:widowControl/>
                    <w:jc w:val="center"/>
                    <w:textAlignment w:val="center"/>
                    <w:rPr>
                      <w:b w:val="0"/>
                      <w:bCs w:val="0"/>
                      <w:sz w:val="21"/>
                      <w:szCs w:val="21"/>
                    </w:rPr>
                  </w:pPr>
                  <w:r>
                    <w:rPr>
                      <w:b w:val="0"/>
                      <w:bCs w:val="0"/>
                      <w:sz w:val="21"/>
                      <w:szCs w:val="21"/>
                    </w:rPr>
                    <w:t>润滑油</w:t>
                  </w:r>
                </w:p>
              </w:tc>
              <w:tc>
                <w:tcPr>
                  <w:tcW w:w="584" w:type="pct"/>
                  <w:noWrap w:val="0"/>
                  <w:vAlign w:val="center"/>
                </w:tcPr>
                <w:p w14:paraId="461B9828">
                  <w:pPr>
                    <w:widowControl/>
                    <w:jc w:val="center"/>
                    <w:textAlignment w:val="center"/>
                    <w:rPr>
                      <w:b w:val="0"/>
                      <w:bCs w:val="0"/>
                      <w:sz w:val="21"/>
                      <w:szCs w:val="21"/>
                    </w:rPr>
                  </w:pPr>
                  <w:r>
                    <w:rPr>
                      <w:b w:val="0"/>
                      <w:bCs w:val="0"/>
                      <w:sz w:val="21"/>
                      <w:szCs w:val="21"/>
                    </w:rPr>
                    <w:t>桶装</w:t>
                  </w:r>
                </w:p>
              </w:tc>
              <w:tc>
                <w:tcPr>
                  <w:tcW w:w="806" w:type="pct"/>
                  <w:noWrap w:val="0"/>
                  <w:vAlign w:val="center"/>
                </w:tcPr>
                <w:p w14:paraId="17BC8E85">
                  <w:pPr>
                    <w:widowControl/>
                    <w:jc w:val="center"/>
                    <w:textAlignment w:val="center"/>
                    <w:rPr>
                      <w:b w:val="0"/>
                      <w:bCs w:val="0"/>
                      <w:sz w:val="21"/>
                      <w:szCs w:val="21"/>
                    </w:rPr>
                  </w:pPr>
                  <w:r>
                    <w:rPr>
                      <w:rFonts w:hint="eastAsia"/>
                      <w:b w:val="0"/>
                      <w:bCs w:val="0"/>
                      <w:sz w:val="21"/>
                      <w:szCs w:val="21"/>
                      <w:lang w:eastAsia="zh-CN"/>
                    </w:rPr>
                    <w:t>辅料仓库</w:t>
                  </w:r>
                </w:p>
              </w:tc>
              <w:tc>
                <w:tcPr>
                  <w:tcW w:w="565" w:type="pct"/>
                  <w:noWrap w:val="0"/>
                  <w:vAlign w:val="center"/>
                </w:tcPr>
                <w:p w14:paraId="74D1C17F">
                  <w:pPr>
                    <w:widowControl/>
                    <w:jc w:val="center"/>
                    <w:textAlignment w:val="center"/>
                    <w:rPr>
                      <w:rFonts w:hint="eastAsia" w:eastAsia="宋体"/>
                      <w:b w:val="0"/>
                      <w:bCs w:val="0"/>
                      <w:sz w:val="21"/>
                      <w:szCs w:val="21"/>
                      <w:lang w:eastAsia="zh-CN"/>
                    </w:rPr>
                  </w:pPr>
                  <w:r>
                    <w:rPr>
                      <w:b w:val="0"/>
                      <w:bCs w:val="0"/>
                      <w:sz w:val="21"/>
                      <w:szCs w:val="21"/>
                    </w:rPr>
                    <w:t>0.</w:t>
                  </w:r>
                  <w:r>
                    <w:rPr>
                      <w:rFonts w:hint="eastAsia"/>
                      <w:b w:val="0"/>
                      <w:bCs w:val="0"/>
                      <w:sz w:val="21"/>
                      <w:szCs w:val="21"/>
                      <w:lang w:val="en-US" w:eastAsia="zh-CN"/>
                    </w:rPr>
                    <w:t>3</w:t>
                  </w:r>
                </w:p>
              </w:tc>
              <w:tc>
                <w:tcPr>
                  <w:tcW w:w="838" w:type="pct"/>
                  <w:vMerge w:val="restart"/>
                  <w:noWrap w:val="0"/>
                  <w:vAlign w:val="center"/>
                </w:tcPr>
                <w:p w14:paraId="3BA5A67D">
                  <w:pPr>
                    <w:widowControl/>
                    <w:jc w:val="center"/>
                    <w:textAlignment w:val="center"/>
                    <w:rPr>
                      <w:rFonts w:hint="eastAsia" w:eastAsia="宋体"/>
                      <w:b w:val="0"/>
                      <w:bCs w:val="0"/>
                      <w:sz w:val="21"/>
                      <w:szCs w:val="21"/>
                      <w:lang w:eastAsia="zh-CN"/>
                    </w:rPr>
                  </w:pPr>
                  <w:r>
                    <w:rPr>
                      <w:rFonts w:hint="eastAsia"/>
                      <w:b w:val="0"/>
                      <w:bCs w:val="0"/>
                      <w:sz w:val="21"/>
                      <w:szCs w:val="21"/>
                      <w:lang w:eastAsia="zh-CN"/>
                    </w:rPr>
                    <w:t>矿物油</w:t>
                  </w:r>
                </w:p>
              </w:tc>
              <w:tc>
                <w:tcPr>
                  <w:tcW w:w="524" w:type="pct"/>
                  <w:noWrap w:val="0"/>
                  <w:vAlign w:val="center"/>
                </w:tcPr>
                <w:p w14:paraId="747586DA">
                  <w:pPr>
                    <w:adjustRightInd w:val="0"/>
                    <w:snapToGrid w:val="0"/>
                    <w:jc w:val="center"/>
                    <w:rPr>
                      <w:b w:val="0"/>
                      <w:bCs w:val="0"/>
                      <w:sz w:val="21"/>
                      <w:szCs w:val="21"/>
                    </w:rPr>
                  </w:pPr>
                  <w:r>
                    <w:rPr>
                      <w:b w:val="0"/>
                      <w:bCs w:val="0"/>
                      <w:sz w:val="21"/>
                      <w:szCs w:val="21"/>
                    </w:rPr>
                    <w:t>2500</w:t>
                  </w:r>
                </w:p>
              </w:tc>
              <w:tc>
                <w:tcPr>
                  <w:tcW w:w="669" w:type="pct"/>
                  <w:noWrap w:val="0"/>
                  <w:vAlign w:val="center"/>
                </w:tcPr>
                <w:p w14:paraId="3571F0AC">
                  <w:pPr>
                    <w:adjustRightInd w:val="0"/>
                    <w:snapToGrid w:val="0"/>
                    <w:jc w:val="center"/>
                    <w:rPr>
                      <w:rFonts w:hint="eastAsia"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0.00008</w:t>
                  </w:r>
                </w:p>
              </w:tc>
            </w:tr>
            <w:tr w14:paraId="3A3B274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57" w:type="dxa"/>
                  <w:bottom w:w="0" w:type="dxa"/>
                  <w:right w:w="57" w:type="dxa"/>
                </w:tblCellMar>
              </w:tblPrEx>
              <w:trPr>
                <w:trHeight w:val="340" w:hRule="atLeast"/>
                <w:jc w:val="center"/>
              </w:trPr>
              <w:tc>
                <w:tcPr>
                  <w:tcW w:w="260" w:type="pct"/>
                  <w:noWrap w:val="0"/>
                  <w:vAlign w:val="center"/>
                </w:tcPr>
                <w:p w14:paraId="4C7ADBD5">
                  <w:pPr>
                    <w:jc w:val="center"/>
                    <w:rPr>
                      <w:b w:val="0"/>
                      <w:bCs w:val="0"/>
                      <w:sz w:val="21"/>
                      <w:szCs w:val="21"/>
                    </w:rPr>
                  </w:pPr>
                  <w:r>
                    <w:rPr>
                      <w:b w:val="0"/>
                      <w:bCs w:val="0"/>
                      <w:sz w:val="21"/>
                      <w:szCs w:val="21"/>
                    </w:rPr>
                    <w:t>2</w:t>
                  </w:r>
                </w:p>
              </w:tc>
              <w:tc>
                <w:tcPr>
                  <w:tcW w:w="751" w:type="pct"/>
                  <w:noWrap w:val="0"/>
                  <w:vAlign w:val="center"/>
                </w:tcPr>
                <w:p w14:paraId="1107AB7B">
                  <w:pPr>
                    <w:widowControl/>
                    <w:jc w:val="center"/>
                    <w:textAlignment w:val="center"/>
                    <w:rPr>
                      <w:rFonts w:hint="default" w:eastAsia="宋体"/>
                      <w:b w:val="0"/>
                      <w:bCs w:val="0"/>
                      <w:sz w:val="21"/>
                      <w:szCs w:val="21"/>
                      <w:lang w:val="en-US" w:eastAsia="zh-CN"/>
                    </w:rPr>
                  </w:pPr>
                  <w:r>
                    <w:rPr>
                      <w:rFonts w:hint="eastAsia"/>
                      <w:b w:val="0"/>
                      <w:bCs w:val="0"/>
                      <w:sz w:val="21"/>
                      <w:szCs w:val="21"/>
                      <w:lang w:val="en-US" w:eastAsia="zh-CN"/>
                    </w:rPr>
                    <w:t>废矿物油</w:t>
                  </w:r>
                </w:p>
              </w:tc>
              <w:tc>
                <w:tcPr>
                  <w:tcW w:w="584" w:type="pct"/>
                  <w:noWrap w:val="0"/>
                  <w:vAlign w:val="center"/>
                </w:tcPr>
                <w:p w14:paraId="36AC28EC">
                  <w:pPr>
                    <w:widowControl/>
                    <w:jc w:val="center"/>
                    <w:textAlignment w:val="center"/>
                    <w:rPr>
                      <w:b w:val="0"/>
                      <w:bCs w:val="0"/>
                      <w:sz w:val="21"/>
                      <w:szCs w:val="21"/>
                    </w:rPr>
                  </w:pPr>
                  <w:r>
                    <w:rPr>
                      <w:b w:val="0"/>
                      <w:bCs w:val="0"/>
                      <w:sz w:val="21"/>
                      <w:szCs w:val="21"/>
                    </w:rPr>
                    <w:t>桶装</w:t>
                  </w:r>
                </w:p>
              </w:tc>
              <w:tc>
                <w:tcPr>
                  <w:tcW w:w="806" w:type="pct"/>
                  <w:noWrap w:val="0"/>
                  <w:vAlign w:val="center"/>
                </w:tcPr>
                <w:p w14:paraId="50295F72">
                  <w:pPr>
                    <w:widowControl/>
                    <w:jc w:val="center"/>
                    <w:textAlignment w:val="center"/>
                    <w:rPr>
                      <w:b w:val="0"/>
                      <w:bCs w:val="0"/>
                      <w:sz w:val="21"/>
                      <w:szCs w:val="21"/>
                    </w:rPr>
                  </w:pPr>
                  <w:r>
                    <w:rPr>
                      <w:rFonts w:hint="eastAsia"/>
                      <w:b w:val="0"/>
                      <w:bCs w:val="0"/>
                      <w:sz w:val="21"/>
                      <w:szCs w:val="21"/>
                      <w:lang w:eastAsia="zh-CN"/>
                    </w:rPr>
                    <w:t>辅料仓库</w:t>
                  </w:r>
                </w:p>
              </w:tc>
              <w:tc>
                <w:tcPr>
                  <w:tcW w:w="565" w:type="pct"/>
                  <w:noWrap w:val="0"/>
                  <w:vAlign w:val="center"/>
                </w:tcPr>
                <w:p w14:paraId="0208157D">
                  <w:pPr>
                    <w:widowControl/>
                    <w:jc w:val="center"/>
                    <w:textAlignment w:val="center"/>
                    <w:rPr>
                      <w:rFonts w:hint="default"/>
                      <w:b w:val="0"/>
                      <w:bCs w:val="0"/>
                      <w:sz w:val="21"/>
                      <w:szCs w:val="21"/>
                      <w:lang w:val="en-US"/>
                    </w:rPr>
                  </w:pPr>
                  <w:r>
                    <w:rPr>
                      <w:b w:val="0"/>
                      <w:bCs w:val="0"/>
                      <w:sz w:val="21"/>
                      <w:szCs w:val="21"/>
                    </w:rPr>
                    <w:t>0.</w:t>
                  </w:r>
                  <w:r>
                    <w:rPr>
                      <w:rFonts w:hint="eastAsia"/>
                      <w:b w:val="0"/>
                      <w:bCs w:val="0"/>
                      <w:sz w:val="21"/>
                      <w:szCs w:val="21"/>
                      <w:lang w:val="en-US" w:eastAsia="zh-CN"/>
                    </w:rPr>
                    <w:t>03</w:t>
                  </w:r>
                </w:p>
              </w:tc>
              <w:tc>
                <w:tcPr>
                  <w:tcW w:w="838" w:type="pct"/>
                  <w:vMerge w:val="continue"/>
                  <w:tcBorders>
                    <w:bottom w:val="single" w:color="auto" w:sz="4" w:space="0"/>
                  </w:tcBorders>
                  <w:noWrap w:val="0"/>
                  <w:vAlign w:val="center"/>
                </w:tcPr>
                <w:p w14:paraId="0D5BD4AB">
                  <w:pPr>
                    <w:widowControl/>
                    <w:jc w:val="center"/>
                    <w:textAlignment w:val="center"/>
                    <w:rPr>
                      <w:b w:val="0"/>
                      <w:bCs w:val="0"/>
                      <w:sz w:val="21"/>
                      <w:szCs w:val="21"/>
                    </w:rPr>
                  </w:pPr>
                </w:p>
              </w:tc>
              <w:tc>
                <w:tcPr>
                  <w:tcW w:w="524" w:type="pct"/>
                  <w:noWrap w:val="0"/>
                  <w:vAlign w:val="center"/>
                </w:tcPr>
                <w:p w14:paraId="4DCA51F9">
                  <w:pPr>
                    <w:adjustRightInd w:val="0"/>
                    <w:snapToGrid w:val="0"/>
                    <w:jc w:val="center"/>
                    <w:rPr>
                      <w:b w:val="0"/>
                      <w:bCs w:val="0"/>
                      <w:sz w:val="21"/>
                      <w:szCs w:val="21"/>
                    </w:rPr>
                  </w:pPr>
                  <w:r>
                    <w:rPr>
                      <w:b w:val="0"/>
                      <w:bCs w:val="0"/>
                      <w:sz w:val="21"/>
                      <w:szCs w:val="21"/>
                    </w:rPr>
                    <w:t>2500</w:t>
                  </w:r>
                </w:p>
              </w:tc>
              <w:tc>
                <w:tcPr>
                  <w:tcW w:w="669" w:type="pct"/>
                  <w:noWrap w:val="0"/>
                  <w:vAlign w:val="center"/>
                </w:tcPr>
                <w:p w14:paraId="5F7C3D43">
                  <w:pPr>
                    <w:adjustRightInd w:val="0"/>
                    <w:snapToGrid w:val="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0.0000</w:t>
                  </w:r>
                  <w:r>
                    <w:rPr>
                      <w:rFonts w:hint="eastAsia" w:cs="Times New Roman"/>
                      <w:b w:val="0"/>
                      <w:bCs w:val="0"/>
                      <w:sz w:val="21"/>
                      <w:szCs w:val="21"/>
                      <w:lang w:val="en-US" w:eastAsia="zh-CN"/>
                    </w:rPr>
                    <w:t>0</w:t>
                  </w:r>
                  <w:r>
                    <w:rPr>
                      <w:rFonts w:hint="default" w:ascii="Times New Roman" w:hAnsi="Times New Roman" w:eastAsia="宋体" w:cs="Times New Roman"/>
                      <w:b w:val="0"/>
                      <w:bCs w:val="0"/>
                      <w:sz w:val="21"/>
                      <w:szCs w:val="21"/>
                      <w:lang w:val="en-US" w:eastAsia="zh-CN"/>
                    </w:rPr>
                    <w:t>8</w:t>
                  </w:r>
                </w:p>
              </w:tc>
            </w:tr>
            <w:tr w14:paraId="31DB407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57" w:type="dxa"/>
                  <w:bottom w:w="0" w:type="dxa"/>
                  <w:right w:w="57" w:type="dxa"/>
                </w:tblCellMar>
              </w:tblPrEx>
              <w:trPr>
                <w:trHeight w:val="340" w:hRule="atLeast"/>
                <w:jc w:val="center"/>
              </w:trPr>
              <w:tc>
                <w:tcPr>
                  <w:tcW w:w="3806" w:type="pct"/>
                  <w:gridSpan w:val="6"/>
                  <w:noWrap w:val="0"/>
                  <w:vAlign w:val="center"/>
                </w:tcPr>
                <w:p w14:paraId="30520F3B">
                  <w:pPr>
                    <w:adjustRightInd w:val="0"/>
                    <w:snapToGrid w:val="0"/>
                    <w:jc w:val="center"/>
                    <w:rPr>
                      <w:b w:val="0"/>
                      <w:bCs w:val="0"/>
                      <w:sz w:val="21"/>
                      <w:szCs w:val="21"/>
                    </w:rPr>
                  </w:pPr>
                  <w:r>
                    <w:rPr>
                      <w:b w:val="0"/>
                      <w:bCs w:val="0"/>
                      <w:sz w:val="21"/>
                      <w:szCs w:val="21"/>
                    </w:rPr>
                    <w:t>合计</w:t>
                  </w:r>
                </w:p>
              </w:tc>
              <w:tc>
                <w:tcPr>
                  <w:tcW w:w="524" w:type="pct"/>
                  <w:noWrap w:val="0"/>
                  <w:vAlign w:val="center"/>
                </w:tcPr>
                <w:p w14:paraId="74453C28">
                  <w:pPr>
                    <w:adjustRightInd w:val="0"/>
                    <w:snapToGrid w:val="0"/>
                    <w:jc w:val="center"/>
                    <w:rPr>
                      <w:rFonts w:hint="eastAsia" w:eastAsia="宋体"/>
                      <w:b w:val="0"/>
                      <w:bCs w:val="0"/>
                      <w:sz w:val="21"/>
                      <w:szCs w:val="21"/>
                      <w:lang w:val="en-US" w:eastAsia="zh-CN"/>
                    </w:rPr>
                  </w:pPr>
                  <w:r>
                    <w:rPr>
                      <w:rFonts w:hint="eastAsia"/>
                      <w:b w:val="0"/>
                      <w:bCs w:val="0"/>
                      <w:sz w:val="21"/>
                      <w:szCs w:val="21"/>
                      <w:lang w:val="en-US" w:eastAsia="zh-CN"/>
                    </w:rPr>
                    <w:t>/</w:t>
                  </w:r>
                </w:p>
              </w:tc>
              <w:tc>
                <w:tcPr>
                  <w:tcW w:w="669" w:type="pct"/>
                  <w:noWrap w:val="0"/>
                  <w:vAlign w:val="center"/>
                </w:tcPr>
                <w:p w14:paraId="17181BDC">
                  <w:pPr>
                    <w:adjustRightInd w:val="0"/>
                    <w:snapToGrid w:val="0"/>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0.</w:t>
                  </w:r>
                  <w:r>
                    <w:rPr>
                      <w:rFonts w:hint="eastAsia" w:cs="Times New Roman"/>
                      <w:b w:val="0"/>
                      <w:bCs w:val="0"/>
                      <w:sz w:val="21"/>
                      <w:szCs w:val="21"/>
                      <w:lang w:val="en-US" w:eastAsia="zh-CN"/>
                    </w:rPr>
                    <w:t>000088</w:t>
                  </w:r>
                </w:p>
              </w:tc>
            </w:tr>
          </w:tbl>
          <w:p w14:paraId="7570F075">
            <w:pPr>
              <w:spacing w:line="360" w:lineRule="auto"/>
              <w:ind w:firstLine="480" w:firstLineChars="200"/>
              <w:jc w:val="both"/>
              <w:rPr>
                <w:sz w:val="24"/>
                <w:szCs w:val="24"/>
              </w:rPr>
            </w:pPr>
            <w:r>
              <w:rPr>
                <w:sz w:val="24"/>
                <w:szCs w:val="24"/>
              </w:rPr>
              <w:t>根据计算，本项目Q＜1。根据《建设项目环境风险评价技术导则》(HJ169-2018)附录C中要求，确定本项目风险潜势为Ⅰ，项目风险评价等级为简单分析。</w:t>
            </w:r>
          </w:p>
          <w:p w14:paraId="0E07763A">
            <w:pPr>
              <w:spacing w:line="360" w:lineRule="auto"/>
              <w:ind w:firstLine="480" w:firstLineChars="200"/>
              <w:jc w:val="both"/>
              <w:rPr>
                <w:sz w:val="24"/>
                <w:szCs w:val="24"/>
              </w:rPr>
            </w:pPr>
            <w:r>
              <w:rPr>
                <w:rFonts w:hint="eastAsia"/>
                <w:sz w:val="24"/>
                <w:szCs w:val="24"/>
                <w:lang w:eastAsia="zh-CN"/>
              </w:rPr>
              <w:t>（</w:t>
            </w:r>
            <w:r>
              <w:rPr>
                <w:rFonts w:hint="eastAsia"/>
                <w:sz w:val="24"/>
                <w:szCs w:val="24"/>
                <w:lang w:val="en-US" w:eastAsia="zh-CN"/>
              </w:rPr>
              <w:t>2</w:t>
            </w:r>
            <w:r>
              <w:rPr>
                <w:rFonts w:hint="eastAsia"/>
                <w:sz w:val="24"/>
                <w:szCs w:val="24"/>
                <w:lang w:eastAsia="zh-CN"/>
              </w:rPr>
              <w:t>）</w:t>
            </w:r>
            <w:r>
              <w:rPr>
                <w:sz w:val="24"/>
                <w:szCs w:val="24"/>
              </w:rPr>
              <w:t>影响途径</w:t>
            </w:r>
          </w:p>
          <w:p w14:paraId="059DE8BE">
            <w:pPr>
              <w:spacing w:line="360" w:lineRule="auto"/>
              <w:ind w:firstLine="480" w:firstLineChars="200"/>
              <w:jc w:val="both"/>
              <w:rPr>
                <w:sz w:val="24"/>
                <w:szCs w:val="24"/>
              </w:rPr>
            </w:pPr>
            <w:r>
              <w:rPr>
                <w:rFonts w:hint="eastAsia"/>
                <w:sz w:val="24"/>
                <w:szCs w:val="24"/>
                <w:lang w:val="en-US" w:eastAsia="zh-CN"/>
              </w:rPr>
              <w:t>①</w:t>
            </w:r>
            <w:r>
              <w:rPr>
                <w:sz w:val="24"/>
                <w:szCs w:val="24"/>
              </w:rPr>
              <w:t>地表水风险分析</w:t>
            </w:r>
          </w:p>
          <w:p w14:paraId="3EB672D8">
            <w:pPr>
              <w:spacing w:line="360" w:lineRule="auto"/>
              <w:ind w:firstLine="480" w:firstLineChars="200"/>
              <w:jc w:val="both"/>
              <w:rPr>
                <w:sz w:val="24"/>
                <w:szCs w:val="24"/>
              </w:rPr>
            </w:pPr>
            <w:r>
              <w:rPr>
                <w:sz w:val="24"/>
                <w:szCs w:val="24"/>
              </w:rPr>
              <w:t>项目所使用的润滑油、废矿物油等发生泄漏，若进入地表水体，将严重污染地表水水质。</w:t>
            </w:r>
          </w:p>
          <w:p w14:paraId="4D096324">
            <w:pPr>
              <w:spacing w:line="360" w:lineRule="auto"/>
              <w:ind w:firstLine="480" w:firstLineChars="200"/>
              <w:jc w:val="both"/>
              <w:rPr>
                <w:sz w:val="24"/>
                <w:szCs w:val="24"/>
              </w:rPr>
            </w:pPr>
            <w:r>
              <w:rPr>
                <w:rFonts w:hint="eastAsia"/>
                <w:sz w:val="24"/>
                <w:szCs w:val="24"/>
                <w:lang w:val="en-US" w:eastAsia="zh-CN"/>
              </w:rPr>
              <w:t>②</w:t>
            </w:r>
            <w:r>
              <w:rPr>
                <w:sz w:val="24"/>
                <w:szCs w:val="24"/>
              </w:rPr>
              <w:t>地下水环境风险分析</w:t>
            </w:r>
          </w:p>
          <w:p w14:paraId="25340240">
            <w:pPr>
              <w:spacing w:line="360" w:lineRule="auto"/>
              <w:ind w:firstLine="480" w:firstLineChars="200"/>
              <w:jc w:val="both"/>
              <w:rPr>
                <w:sz w:val="24"/>
                <w:szCs w:val="24"/>
              </w:rPr>
            </w:pPr>
            <w:r>
              <w:rPr>
                <w:sz w:val="24"/>
                <w:szCs w:val="24"/>
              </w:rPr>
              <w:t>项目所使用的润滑油、废矿物油等发生泄漏，若渗漏进入土壤，污染物进入地层包气带，随着大气降水下渗进入地下含水层，形成一个污团从上向下扩散，对区域地下水环境造成污染。</w:t>
            </w:r>
          </w:p>
          <w:p w14:paraId="37EFA26E">
            <w:pPr>
              <w:spacing w:line="360" w:lineRule="auto"/>
              <w:ind w:firstLine="480" w:firstLineChars="200"/>
              <w:jc w:val="both"/>
              <w:rPr>
                <w:sz w:val="24"/>
                <w:szCs w:val="24"/>
              </w:rPr>
            </w:pPr>
            <w:r>
              <w:rPr>
                <w:rFonts w:hint="eastAsia"/>
                <w:sz w:val="24"/>
                <w:szCs w:val="24"/>
                <w:lang w:val="en-US" w:eastAsia="zh-CN"/>
              </w:rPr>
              <w:t>③</w:t>
            </w:r>
            <w:r>
              <w:rPr>
                <w:sz w:val="24"/>
                <w:szCs w:val="24"/>
              </w:rPr>
              <w:t>矿物油、危险废物贮存和转运过程中产生的环境风险</w:t>
            </w:r>
          </w:p>
          <w:p w14:paraId="5E06A9E5">
            <w:pPr>
              <w:spacing w:line="360" w:lineRule="auto"/>
              <w:ind w:firstLine="480" w:firstLineChars="200"/>
              <w:jc w:val="both"/>
              <w:rPr>
                <w:sz w:val="24"/>
                <w:szCs w:val="24"/>
              </w:rPr>
            </w:pPr>
            <w:r>
              <w:rPr>
                <w:sz w:val="24"/>
                <w:szCs w:val="24"/>
              </w:rPr>
              <w:t>项目使用的矿物油及危险固废含有部分有毒有害物质，如不加强管理、随意丢弃，或者转运过程中出现泄漏，流散到人们生活环境中，就会污染水源、土地，严重危害人们的身体健康。所以应加强本项目矿物油及危废的暂存与转运的管理。</w:t>
            </w:r>
          </w:p>
          <w:p w14:paraId="3D33F42A">
            <w:pPr>
              <w:spacing w:line="360" w:lineRule="auto"/>
              <w:ind w:firstLine="480" w:firstLineChars="200"/>
              <w:jc w:val="both"/>
              <w:rPr>
                <w:sz w:val="24"/>
                <w:szCs w:val="24"/>
              </w:rPr>
            </w:pPr>
            <w:r>
              <w:rPr>
                <w:rFonts w:hint="eastAsia"/>
                <w:sz w:val="24"/>
                <w:szCs w:val="24"/>
                <w:lang w:eastAsia="zh-CN"/>
              </w:rPr>
              <w:t>（</w:t>
            </w:r>
            <w:r>
              <w:rPr>
                <w:rFonts w:hint="eastAsia"/>
                <w:sz w:val="24"/>
                <w:szCs w:val="24"/>
                <w:lang w:val="en-US" w:eastAsia="zh-CN"/>
              </w:rPr>
              <w:t>3</w:t>
            </w:r>
            <w:r>
              <w:rPr>
                <w:rFonts w:hint="eastAsia"/>
                <w:sz w:val="24"/>
                <w:szCs w:val="24"/>
                <w:lang w:eastAsia="zh-CN"/>
              </w:rPr>
              <w:t>）</w:t>
            </w:r>
            <w:r>
              <w:rPr>
                <w:sz w:val="24"/>
                <w:szCs w:val="24"/>
              </w:rPr>
              <w:t>环境风险防范措施</w:t>
            </w:r>
          </w:p>
          <w:p w14:paraId="63DD3CB9">
            <w:pPr>
              <w:widowControl/>
              <w:spacing w:line="360" w:lineRule="auto"/>
              <w:ind w:firstLine="480" w:firstLineChars="200"/>
              <w:jc w:val="left"/>
              <w:rPr>
                <w:kern w:val="0"/>
                <w:sz w:val="24"/>
                <w:szCs w:val="24"/>
              </w:rPr>
            </w:pPr>
            <w:r>
              <w:rPr>
                <w:rFonts w:hint="eastAsia"/>
                <w:kern w:val="0"/>
                <w:sz w:val="24"/>
                <w:szCs w:val="24"/>
                <w:lang w:val="en-US" w:eastAsia="zh-CN"/>
              </w:rPr>
              <w:t>1）</w:t>
            </w:r>
            <w:r>
              <w:rPr>
                <w:kern w:val="0"/>
                <w:sz w:val="24"/>
                <w:szCs w:val="24"/>
              </w:rPr>
              <w:t>贮运安全防范措施</w:t>
            </w:r>
          </w:p>
          <w:p w14:paraId="4854D195">
            <w:pPr>
              <w:adjustRightInd w:val="0"/>
              <w:spacing w:line="360" w:lineRule="auto"/>
              <w:ind w:firstLine="480" w:firstLineChars="200"/>
              <w:jc w:val="both"/>
              <w:textAlignment w:val="baseline"/>
              <w:rPr>
                <w:sz w:val="24"/>
                <w:szCs w:val="24"/>
              </w:rPr>
            </w:pPr>
            <w:r>
              <w:rPr>
                <w:rFonts w:hint="eastAsia"/>
                <w:sz w:val="24"/>
                <w:szCs w:val="24"/>
                <w:lang w:val="en-US" w:eastAsia="zh-CN"/>
              </w:rPr>
              <w:t>①</w:t>
            </w:r>
            <w:r>
              <w:rPr>
                <w:sz w:val="24"/>
                <w:szCs w:val="24"/>
              </w:rPr>
              <w:t>矿物油转运要求</w:t>
            </w:r>
          </w:p>
          <w:p w14:paraId="619C7DA9">
            <w:pPr>
              <w:adjustRightInd w:val="0"/>
              <w:spacing w:line="360" w:lineRule="auto"/>
              <w:ind w:firstLine="480" w:firstLineChars="200"/>
              <w:jc w:val="both"/>
              <w:textAlignment w:val="baseline"/>
              <w:rPr>
                <w:sz w:val="24"/>
                <w:szCs w:val="24"/>
              </w:rPr>
            </w:pPr>
            <w:r>
              <w:rPr>
                <w:rFonts w:hint="eastAsia"/>
                <w:sz w:val="24"/>
                <w:szCs w:val="24"/>
                <w:lang w:val="en-US" w:eastAsia="zh-CN"/>
              </w:rPr>
              <w:t>a</w:t>
            </w:r>
            <w:r>
              <w:rPr>
                <w:rFonts w:hint="eastAsia"/>
                <w:sz w:val="24"/>
                <w:szCs w:val="24"/>
                <w:lang w:eastAsia="zh-CN"/>
              </w:rPr>
              <w:t>、</w:t>
            </w:r>
            <w:r>
              <w:rPr>
                <w:sz w:val="24"/>
                <w:szCs w:val="24"/>
              </w:rPr>
              <w:t>转移时必须轻拿轻放，防止碰撞、拖拉和倾倒。装卸和搬运的员工应经常进行安全教育培训，并且要有一定业务知识和固定的人员来担任。</w:t>
            </w:r>
          </w:p>
          <w:p w14:paraId="2C99A74B">
            <w:pPr>
              <w:widowControl/>
              <w:spacing w:line="360" w:lineRule="auto"/>
              <w:ind w:firstLine="480" w:firstLineChars="200"/>
              <w:jc w:val="left"/>
              <w:rPr>
                <w:kern w:val="0"/>
                <w:sz w:val="24"/>
                <w:szCs w:val="24"/>
              </w:rPr>
            </w:pPr>
            <w:r>
              <w:rPr>
                <w:rFonts w:hint="eastAsia"/>
                <w:sz w:val="24"/>
                <w:szCs w:val="24"/>
                <w:lang w:val="en-US" w:eastAsia="zh-CN"/>
              </w:rPr>
              <w:t>b</w:t>
            </w:r>
            <w:r>
              <w:rPr>
                <w:rFonts w:hint="eastAsia"/>
                <w:sz w:val="24"/>
                <w:szCs w:val="24"/>
                <w:lang w:eastAsia="zh-CN"/>
              </w:rPr>
              <w:t>、</w:t>
            </w:r>
            <w:r>
              <w:rPr>
                <w:sz w:val="24"/>
                <w:szCs w:val="24"/>
              </w:rPr>
              <w:t>遇湿容易引起燃烧、爆炸或产生有毒气体的原料，不宜在阴雨天运输，若必须运输时，除具有良好的装卸条件外，还应有防潮遮雨措施。</w:t>
            </w:r>
          </w:p>
          <w:p w14:paraId="7B39090E">
            <w:pPr>
              <w:widowControl/>
              <w:spacing w:line="360" w:lineRule="auto"/>
              <w:ind w:firstLine="480" w:firstLineChars="200"/>
              <w:jc w:val="left"/>
              <w:rPr>
                <w:kern w:val="0"/>
                <w:sz w:val="24"/>
                <w:szCs w:val="24"/>
              </w:rPr>
            </w:pPr>
            <w:r>
              <w:rPr>
                <w:rFonts w:hint="eastAsia"/>
                <w:kern w:val="0"/>
                <w:sz w:val="24"/>
                <w:szCs w:val="24"/>
                <w:lang w:val="en-US" w:eastAsia="zh-CN"/>
              </w:rPr>
              <w:t>2</w:t>
            </w:r>
            <w:r>
              <w:rPr>
                <w:kern w:val="0"/>
                <w:sz w:val="24"/>
                <w:szCs w:val="24"/>
              </w:rPr>
              <w:t>）泄漏风险防范措施</w:t>
            </w:r>
          </w:p>
          <w:p w14:paraId="761F8DA6">
            <w:pPr>
              <w:widowControl/>
              <w:spacing w:line="360" w:lineRule="auto"/>
              <w:ind w:firstLine="480" w:firstLineChars="200"/>
              <w:jc w:val="left"/>
              <w:rPr>
                <w:kern w:val="0"/>
                <w:sz w:val="24"/>
                <w:szCs w:val="24"/>
              </w:rPr>
            </w:pPr>
            <w:r>
              <w:rPr>
                <w:kern w:val="0"/>
                <w:sz w:val="24"/>
                <w:szCs w:val="24"/>
              </w:rPr>
              <w:t>①做防渗处理，设置围堰且围堰容积不小于储存物料的储存体积。</w:t>
            </w:r>
          </w:p>
          <w:p w14:paraId="4696F99B">
            <w:pPr>
              <w:widowControl/>
              <w:spacing w:line="360" w:lineRule="auto"/>
              <w:ind w:firstLine="480" w:firstLineChars="200"/>
              <w:jc w:val="left"/>
              <w:rPr>
                <w:kern w:val="0"/>
                <w:sz w:val="24"/>
                <w:szCs w:val="24"/>
              </w:rPr>
            </w:pPr>
            <w:r>
              <w:rPr>
                <w:kern w:val="0"/>
                <w:sz w:val="24"/>
                <w:szCs w:val="24"/>
              </w:rPr>
              <w:t>②建立严格的取用制度，取用专人负责，禁止无关人员接触。</w:t>
            </w:r>
          </w:p>
          <w:p w14:paraId="4CCB346F">
            <w:pPr>
              <w:widowControl/>
              <w:spacing w:line="360" w:lineRule="auto"/>
              <w:ind w:firstLine="480" w:firstLineChars="200"/>
              <w:jc w:val="left"/>
              <w:rPr>
                <w:kern w:val="0"/>
                <w:sz w:val="24"/>
                <w:szCs w:val="24"/>
              </w:rPr>
            </w:pPr>
            <w:r>
              <w:rPr>
                <w:kern w:val="0"/>
                <w:sz w:val="24"/>
                <w:szCs w:val="24"/>
              </w:rPr>
              <w:t>③储存于阴凉、通风仓库内。远离火种、热源。</w:t>
            </w:r>
          </w:p>
          <w:p w14:paraId="0363D9B2">
            <w:pPr>
              <w:widowControl/>
              <w:spacing w:line="360" w:lineRule="auto"/>
              <w:ind w:firstLine="480" w:firstLineChars="200"/>
              <w:jc w:val="left"/>
              <w:rPr>
                <w:kern w:val="0"/>
                <w:sz w:val="24"/>
                <w:szCs w:val="24"/>
              </w:rPr>
            </w:pPr>
            <w:r>
              <w:rPr>
                <w:kern w:val="0"/>
                <w:sz w:val="24"/>
                <w:szCs w:val="24"/>
              </w:rPr>
              <w:t>④应与易燃或可燃物等分开存放。</w:t>
            </w:r>
          </w:p>
          <w:p w14:paraId="7680D385">
            <w:pPr>
              <w:widowControl/>
              <w:spacing w:line="360" w:lineRule="auto"/>
              <w:ind w:firstLine="480" w:firstLineChars="200"/>
              <w:jc w:val="left"/>
              <w:rPr>
                <w:kern w:val="0"/>
                <w:sz w:val="24"/>
                <w:szCs w:val="24"/>
              </w:rPr>
            </w:pPr>
            <w:r>
              <w:rPr>
                <w:kern w:val="0"/>
                <w:sz w:val="24"/>
                <w:szCs w:val="24"/>
              </w:rPr>
              <w:t>⑤使用或运输过程中发生</w:t>
            </w:r>
            <w:r>
              <w:rPr>
                <w:rFonts w:hint="eastAsia"/>
                <w:kern w:val="0"/>
                <w:sz w:val="24"/>
                <w:szCs w:val="24"/>
                <w:lang w:eastAsia="zh-CN"/>
              </w:rPr>
              <w:t>泄漏</w:t>
            </w:r>
            <w:r>
              <w:rPr>
                <w:kern w:val="0"/>
                <w:sz w:val="24"/>
                <w:szCs w:val="24"/>
              </w:rPr>
              <w:t>，建议应急处理人员</w:t>
            </w:r>
            <w:r>
              <w:rPr>
                <w:rFonts w:hint="eastAsia"/>
                <w:kern w:val="0"/>
                <w:sz w:val="24"/>
                <w:szCs w:val="24"/>
                <w:lang w:eastAsia="zh-CN"/>
              </w:rPr>
              <w:t>穿戴</w:t>
            </w:r>
            <w:r>
              <w:rPr>
                <w:kern w:val="0"/>
                <w:sz w:val="24"/>
                <w:szCs w:val="24"/>
              </w:rPr>
              <w:t>防护服、防护面具等设备对其进行清理，严禁直接接触泄漏物品。</w:t>
            </w:r>
          </w:p>
          <w:p w14:paraId="360AA06A">
            <w:pPr>
              <w:widowControl/>
              <w:spacing w:line="360" w:lineRule="auto"/>
              <w:ind w:firstLine="480" w:firstLineChars="200"/>
              <w:jc w:val="left"/>
              <w:rPr>
                <w:kern w:val="0"/>
                <w:sz w:val="24"/>
                <w:szCs w:val="24"/>
              </w:rPr>
            </w:pPr>
            <w:r>
              <w:rPr>
                <w:rFonts w:hint="eastAsia"/>
                <w:kern w:val="0"/>
                <w:sz w:val="24"/>
                <w:szCs w:val="24"/>
                <w:lang w:val="en-US" w:eastAsia="zh-CN"/>
              </w:rPr>
              <w:t>3</w:t>
            </w:r>
            <w:r>
              <w:rPr>
                <w:kern w:val="0"/>
                <w:sz w:val="24"/>
                <w:szCs w:val="24"/>
              </w:rPr>
              <w:t>）加强</w:t>
            </w:r>
            <w:r>
              <w:rPr>
                <w:rFonts w:hint="eastAsia"/>
                <w:kern w:val="0"/>
                <w:sz w:val="24"/>
                <w:szCs w:val="24"/>
                <w:lang w:eastAsia="zh-CN"/>
              </w:rPr>
              <w:t>矿物油</w:t>
            </w:r>
            <w:r>
              <w:rPr>
                <w:kern w:val="0"/>
                <w:sz w:val="24"/>
                <w:szCs w:val="24"/>
              </w:rPr>
              <w:t>的管理</w:t>
            </w:r>
          </w:p>
          <w:p w14:paraId="0DF05F81">
            <w:pPr>
              <w:widowControl/>
              <w:spacing w:line="360" w:lineRule="auto"/>
              <w:ind w:firstLine="480" w:firstLineChars="200"/>
              <w:jc w:val="left"/>
              <w:rPr>
                <w:kern w:val="0"/>
                <w:sz w:val="24"/>
                <w:szCs w:val="24"/>
              </w:rPr>
            </w:pPr>
            <w:r>
              <w:rPr>
                <w:kern w:val="0"/>
                <w:sz w:val="24"/>
                <w:szCs w:val="24"/>
              </w:rPr>
              <w:t>应加强管理，由专人负责。加强防火，达到消防、安全等有关部门的要求。加强对职工的安全教育，制定严格的工作守则和个人卫生措施，所有操作人员必须了解所有化学品的有害作用及对患者的急救措施，以保证生产的正常运行和员工的身体健康。</w:t>
            </w:r>
          </w:p>
          <w:p w14:paraId="06F5CCF7">
            <w:pPr>
              <w:widowControl/>
              <w:spacing w:line="360" w:lineRule="auto"/>
              <w:ind w:firstLine="480" w:firstLineChars="200"/>
              <w:jc w:val="left"/>
              <w:rPr>
                <w:kern w:val="0"/>
                <w:sz w:val="24"/>
                <w:szCs w:val="24"/>
              </w:rPr>
            </w:pPr>
            <w:r>
              <w:rPr>
                <w:kern w:val="0"/>
                <w:sz w:val="24"/>
                <w:szCs w:val="24"/>
              </w:rPr>
              <w:t>（2）危废暂存库风险防范措施</w:t>
            </w:r>
          </w:p>
          <w:p w14:paraId="6317F631">
            <w:pPr>
              <w:spacing w:line="360" w:lineRule="auto"/>
              <w:ind w:firstLine="480" w:firstLineChars="200"/>
              <w:jc w:val="left"/>
              <w:rPr>
                <w:kern w:val="0"/>
                <w:sz w:val="24"/>
                <w:szCs w:val="24"/>
              </w:rPr>
            </w:pPr>
            <w:r>
              <w:rPr>
                <w:kern w:val="0"/>
                <w:sz w:val="24"/>
                <w:szCs w:val="24"/>
              </w:rPr>
              <w:t>危废库设置要求</w:t>
            </w:r>
            <w:r>
              <w:rPr>
                <w:rFonts w:hint="eastAsia"/>
                <w:kern w:val="0"/>
                <w:sz w:val="24"/>
                <w:szCs w:val="24"/>
              </w:rPr>
              <w:t>：</w:t>
            </w:r>
          </w:p>
          <w:p w14:paraId="0F51056A">
            <w:pPr>
              <w:spacing w:line="360" w:lineRule="auto"/>
              <w:ind w:firstLine="480" w:firstLineChars="200"/>
              <w:jc w:val="left"/>
              <w:rPr>
                <w:kern w:val="0"/>
                <w:sz w:val="24"/>
                <w:szCs w:val="24"/>
              </w:rPr>
            </w:pPr>
            <w:r>
              <w:rPr>
                <w:kern w:val="0"/>
                <w:sz w:val="24"/>
                <w:szCs w:val="24"/>
              </w:rPr>
              <w:t>危废暂存间按照《危险废物贮存污染控制标准》（GB18597-2023）要求建设，按照《危险废物识别标志设施技术规范》（HJ1276-2022）、《环境保护图形标志》（GB15562-1995）的规定设置警示标志。</w:t>
            </w:r>
          </w:p>
          <w:p w14:paraId="66BB234E">
            <w:pPr>
              <w:spacing w:line="360" w:lineRule="auto"/>
              <w:ind w:firstLine="480" w:firstLineChars="200"/>
              <w:jc w:val="left"/>
              <w:rPr>
                <w:kern w:val="0"/>
                <w:sz w:val="24"/>
                <w:szCs w:val="24"/>
              </w:rPr>
            </w:pPr>
            <w:r>
              <w:rPr>
                <w:kern w:val="0"/>
                <w:sz w:val="24"/>
                <w:szCs w:val="24"/>
              </w:rPr>
              <w:t>①危废暂存库应采取必要的防风、防晒、防雨、防漏、防渗、防腐以及其他环境污染防治措施，各危险废物分类分区贮存。</w:t>
            </w:r>
          </w:p>
          <w:p w14:paraId="3D0EC4A2">
            <w:pPr>
              <w:spacing w:line="360" w:lineRule="auto"/>
              <w:ind w:firstLine="480" w:firstLineChars="200"/>
              <w:jc w:val="left"/>
              <w:rPr>
                <w:kern w:val="0"/>
                <w:sz w:val="24"/>
                <w:szCs w:val="24"/>
              </w:rPr>
            </w:pPr>
            <w:r>
              <w:rPr>
                <w:kern w:val="0"/>
                <w:sz w:val="24"/>
                <w:szCs w:val="24"/>
              </w:rPr>
              <w:t>②用于盛放液态危险废物场所须有泄漏液体的收集装置；危废暂存房入口处设置围堰，围堰大小可满足液态危险废物泄漏时的收集需要。</w:t>
            </w:r>
          </w:p>
          <w:p w14:paraId="75E51B84">
            <w:pPr>
              <w:spacing w:line="360" w:lineRule="auto"/>
              <w:ind w:firstLine="480" w:firstLineChars="200"/>
              <w:jc w:val="left"/>
              <w:rPr>
                <w:kern w:val="0"/>
                <w:sz w:val="24"/>
                <w:szCs w:val="24"/>
              </w:rPr>
            </w:pPr>
            <w:r>
              <w:rPr>
                <w:kern w:val="0"/>
                <w:sz w:val="24"/>
                <w:szCs w:val="24"/>
              </w:rPr>
              <w:t>③用于存放液体、半固体危险废物的地方，需用环氧树脂做防渗处理，地面无裂隙，防渗系数≤10</w:t>
            </w:r>
            <w:r>
              <w:rPr>
                <w:kern w:val="0"/>
                <w:sz w:val="24"/>
                <w:szCs w:val="24"/>
                <w:vertAlign w:val="superscript"/>
              </w:rPr>
              <w:t>-7</w:t>
            </w:r>
            <w:r>
              <w:rPr>
                <w:kern w:val="0"/>
                <w:sz w:val="24"/>
                <w:szCs w:val="24"/>
              </w:rPr>
              <w:t>cm/s；</w:t>
            </w:r>
          </w:p>
          <w:p w14:paraId="1BCEA9F7">
            <w:pPr>
              <w:spacing w:line="360" w:lineRule="auto"/>
              <w:ind w:firstLine="480" w:firstLineChars="200"/>
              <w:jc w:val="left"/>
              <w:rPr>
                <w:kern w:val="0"/>
                <w:sz w:val="24"/>
                <w:szCs w:val="24"/>
              </w:rPr>
            </w:pPr>
            <w:r>
              <w:rPr>
                <w:kern w:val="0"/>
                <w:sz w:val="24"/>
                <w:szCs w:val="24"/>
              </w:rPr>
              <w:t>④不相容的危险废物堆放区必须有隔离间隔断；</w:t>
            </w:r>
          </w:p>
          <w:p w14:paraId="20525DEB">
            <w:pPr>
              <w:spacing w:line="360" w:lineRule="auto"/>
              <w:ind w:firstLine="480" w:firstLineChars="200"/>
              <w:jc w:val="left"/>
              <w:rPr>
                <w:kern w:val="0"/>
                <w:sz w:val="24"/>
                <w:szCs w:val="24"/>
              </w:rPr>
            </w:pPr>
            <w:r>
              <w:rPr>
                <w:kern w:val="0"/>
                <w:sz w:val="24"/>
                <w:szCs w:val="24"/>
              </w:rPr>
              <w:t>⑤贮存易燃易爆的危险废物的场所应配备消防设备；</w:t>
            </w:r>
          </w:p>
          <w:p w14:paraId="5E5F9232">
            <w:pPr>
              <w:spacing w:line="360" w:lineRule="auto"/>
              <w:ind w:firstLine="480" w:firstLineChars="200"/>
              <w:jc w:val="left"/>
              <w:rPr>
                <w:kern w:val="0"/>
                <w:sz w:val="24"/>
                <w:szCs w:val="24"/>
              </w:rPr>
            </w:pPr>
            <w:r>
              <w:rPr>
                <w:kern w:val="0"/>
                <w:sz w:val="24"/>
                <w:szCs w:val="24"/>
              </w:rPr>
              <w:t>⑥危险废物贮存设施周围应设置围墙或其它防护栅栏，危险废物贮存设施内清理出来的泄漏物，一律按危险废物处理；</w:t>
            </w:r>
          </w:p>
          <w:p w14:paraId="59717178">
            <w:pPr>
              <w:spacing w:line="360" w:lineRule="auto"/>
              <w:ind w:firstLine="480" w:firstLineChars="200"/>
              <w:jc w:val="left"/>
              <w:rPr>
                <w:kern w:val="0"/>
                <w:sz w:val="24"/>
                <w:szCs w:val="24"/>
              </w:rPr>
            </w:pPr>
            <w:r>
              <w:rPr>
                <w:kern w:val="0"/>
                <w:sz w:val="24"/>
                <w:szCs w:val="24"/>
              </w:rPr>
              <w:t>⑦危废应当使用防渗漏运送工具，将危险废物收集、运送至暂时贮存地点。</w:t>
            </w:r>
          </w:p>
          <w:p w14:paraId="65E1C2DD">
            <w:pPr>
              <w:widowControl/>
              <w:spacing w:line="360" w:lineRule="auto"/>
              <w:ind w:firstLine="480" w:firstLineChars="200"/>
              <w:jc w:val="left"/>
              <w:rPr>
                <w:kern w:val="0"/>
                <w:sz w:val="24"/>
                <w:szCs w:val="24"/>
              </w:rPr>
            </w:pPr>
            <w:r>
              <w:rPr>
                <w:kern w:val="0"/>
                <w:sz w:val="24"/>
                <w:szCs w:val="24"/>
              </w:rPr>
              <w:t>（3）危废库围堰设置</w:t>
            </w:r>
          </w:p>
          <w:p w14:paraId="509C9C6D">
            <w:pPr>
              <w:widowControl/>
              <w:spacing w:line="360" w:lineRule="auto"/>
              <w:ind w:firstLine="480" w:firstLineChars="200"/>
              <w:jc w:val="left"/>
              <w:rPr>
                <w:kern w:val="0"/>
                <w:sz w:val="24"/>
                <w:szCs w:val="24"/>
              </w:rPr>
            </w:pPr>
            <w:r>
              <w:rPr>
                <w:kern w:val="0"/>
                <w:sz w:val="24"/>
                <w:szCs w:val="24"/>
              </w:rPr>
              <w:t>项目需要在危废暂存房入口处设置围堰。项目危废暂存房内主要存放项目产生的危险废物，其中液态物质可能会造成溢流，厂区危废暂存房建筑面积为</w:t>
            </w:r>
            <w:r>
              <w:rPr>
                <w:rFonts w:hint="eastAsia"/>
                <w:kern w:val="0"/>
                <w:sz w:val="24"/>
                <w:szCs w:val="24"/>
                <w:lang w:val="en-US" w:eastAsia="zh-CN"/>
              </w:rPr>
              <w:t>5</w:t>
            </w:r>
            <w:r>
              <w:rPr>
                <w:kern w:val="0"/>
                <w:sz w:val="24"/>
                <w:szCs w:val="24"/>
              </w:rPr>
              <w:t>m</w:t>
            </w:r>
            <w:r>
              <w:rPr>
                <w:kern w:val="0"/>
                <w:sz w:val="24"/>
                <w:szCs w:val="24"/>
                <w:vertAlign w:val="superscript"/>
              </w:rPr>
              <w:t>2</w:t>
            </w:r>
            <w:r>
              <w:rPr>
                <w:kern w:val="0"/>
                <w:sz w:val="24"/>
                <w:szCs w:val="24"/>
              </w:rPr>
              <w:t>，入口处设置20cm高的围堰，可以满足截流需求。</w:t>
            </w:r>
          </w:p>
          <w:p w14:paraId="49067B3A">
            <w:pPr>
              <w:wordWrap w:val="0"/>
              <w:topLinePunct/>
              <w:spacing w:line="360" w:lineRule="auto"/>
              <w:ind w:firstLine="480" w:firstLineChars="200"/>
              <w:contextualSpacing/>
              <w:jc w:val="both"/>
              <w:textAlignment w:val="center"/>
              <w:rPr>
                <w:color w:val="auto"/>
                <w:sz w:val="24"/>
                <w:szCs w:val="24"/>
              </w:rPr>
            </w:pPr>
            <w:r>
              <w:rPr>
                <w:sz w:val="24"/>
                <w:szCs w:val="24"/>
              </w:rPr>
              <w:t>综上所述，项目不存在重大危险源，风险事故对外环境影响较小，项</w:t>
            </w:r>
            <w:r>
              <w:rPr>
                <w:rFonts w:hint="eastAsia"/>
                <w:sz w:val="24"/>
                <w:szCs w:val="24"/>
                <w:lang w:eastAsia="zh-CN"/>
              </w:rPr>
              <w:t>目在</w:t>
            </w:r>
            <w:r>
              <w:rPr>
                <w:sz w:val="24"/>
                <w:szCs w:val="24"/>
              </w:rPr>
              <w:t>落实环境风险防范措施和应急</w:t>
            </w:r>
            <w:r>
              <w:rPr>
                <w:rFonts w:hint="eastAsia"/>
                <w:sz w:val="24"/>
                <w:szCs w:val="24"/>
                <w:lang w:eastAsia="zh-CN"/>
              </w:rPr>
              <w:t>预案</w:t>
            </w:r>
            <w:r>
              <w:rPr>
                <w:sz w:val="24"/>
                <w:szCs w:val="24"/>
              </w:rPr>
              <w:t>基础上，其环境风险是可接受的。</w:t>
            </w:r>
          </w:p>
          <w:p w14:paraId="70543E99">
            <w:pPr>
              <w:spacing w:line="360" w:lineRule="auto"/>
              <w:ind w:firstLine="482" w:firstLineChars="200"/>
              <w:jc w:val="both"/>
              <w:rPr>
                <w:rFonts w:hint="eastAsia"/>
                <w:b/>
                <w:bCs/>
                <w:sz w:val="24"/>
                <w:szCs w:val="24"/>
              </w:rPr>
            </w:pPr>
            <w:r>
              <w:rPr>
                <w:rFonts w:hint="eastAsia"/>
                <w:b/>
                <w:kern w:val="0"/>
                <w:sz w:val="24"/>
                <w:szCs w:val="24"/>
                <w:lang w:val="en-US" w:eastAsia="zh-CN"/>
              </w:rPr>
              <w:t>7</w:t>
            </w:r>
            <w:r>
              <w:rPr>
                <w:rFonts w:hint="eastAsia"/>
                <w:b/>
                <w:kern w:val="0"/>
                <w:sz w:val="24"/>
                <w:szCs w:val="24"/>
              </w:rPr>
              <w:t>、生态</w:t>
            </w:r>
          </w:p>
          <w:p w14:paraId="578264FE">
            <w:pPr>
              <w:autoSpaceDE w:val="0"/>
              <w:spacing w:line="440" w:lineRule="exact"/>
              <w:ind w:firstLine="480" w:firstLineChars="200"/>
              <w:jc w:val="both"/>
              <w:rPr>
                <w:rFonts w:hint="eastAsia"/>
                <w:sz w:val="24"/>
                <w:szCs w:val="24"/>
              </w:rPr>
            </w:pPr>
            <w:r>
              <w:rPr>
                <w:sz w:val="24"/>
                <w:szCs w:val="24"/>
              </w:rPr>
              <w:t>本项目</w:t>
            </w:r>
            <w:r>
              <w:rPr>
                <w:rFonts w:hint="eastAsia"/>
                <w:sz w:val="24"/>
                <w:szCs w:val="24"/>
                <w:lang w:val="en-US" w:eastAsia="zh-CN"/>
              </w:rPr>
              <w:t>位于</w:t>
            </w:r>
            <w:r>
              <w:rPr>
                <w:rFonts w:hint="eastAsia" w:cs="Times New Roman"/>
                <w:bCs/>
                <w:color w:val="auto"/>
                <w:sz w:val="24"/>
                <w:lang w:val="en-US" w:eastAsia="zh-CN"/>
              </w:rPr>
              <w:t>霍山县诸佛庵镇狮山村穆家畈组</w:t>
            </w:r>
            <w:r>
              <w:rPr>
                <w:sz w:val="24"/>
                <w:szCs w:val="24"/>
              </w:rPr>
              <w:t>，</w:t>
            </w:r>
            <w:r>
              <w:rPr>
                <w:rFonts w:hint="eastAsia"/>
                <w:sz w:val="24"/>
                <w:szCs w:val="24"/>
                <w:lang w:val="en-US" w:eastAsia="zh-CN"/>
              </w:rPr>
              <w:t>新建生产</w:t>
            </w:r>
            <w:r>
              <w:rPr>
                <w:rFonts w:hint="eastAsia"/>
                <w:sz w:val="24"/>
                <w:szCs w:val="24"/>
                <w:lang w:eastAsia="zh-CN"/>
              </w:rPr>
              <w:t>厂房</w:t>
            </w:r>
            <w:r>
              <w:rPr>
                <w:rFonts w:hint="eastAsia"/>
                <w:sz w:val="24"/>
                <w:szCs w:val="24"/>
                <w:lang w:val="en-US" w:eastAsia="zh-CN"/>
              </w:rPr>
              <w:t>及配套设施</w:t>
            </w:r>
            <w:r>
              <w:rPr>
                <w:rFonts w:hint="eastAsia"/>
                <w:sz w:val="24"/>
                <w:szCs w:val="24"/>
                <w:lang w:eastAsia="zh-CN"/>
              </w:rPr>
              <w:t>，</w:t>
            </w:r>
            <w:r>
              <w:rPr>
                <w:sz w:val="24"/>
                <w:szCs w:val="24"/>
              </w:rPr>
              <w:t>不涉及国家公园、自然保护区、世界自然遗产、重要生境、自然公园、生态保护红线，无需进行生态环境影响分析</w:t>
            </w:r>
            <w:r>
              <w:rPr>
                <w:rFonts w:hint="eastAsia"/>
                <w:sz w:val="24"/>
                <w:szCs w:val="24"/>
              </w:rPr>
              <w:t>。</w:t>
            </w:r>
          </w:p>
          <w:p w14:paraId="637C9B69">
            <w:pPr>
              <w:autoSpaceDE w:val="0"/>
              <w:spacing w:line="440" w:lineRule="exact"/>
              <w:ind w:firstLine="482" w:firstLineChars="200"/>
              <w:jc w:val="both"/>
              <w:rPr>
                <w:b/>
                <w:bCs/>
                <w:color w:val="auto"/>
                <w:sz w:val="24"/>
              </w:rPr>
            </w:pPr>
            <w:r>
              <w:rPr>
                <w:rFonts w:hint="eastAsia"/>
                <w:b/>
                <w:bCs/>
                <w:color w:val="auto"/>
                <w:sz w:val="24"/>
                <w:lang w:val="en-US" w:eastAsia="zh-CN"/>
              </w:rPr>
              <w:t>8</w:t>
            </w:r>
            <w:r>
              <w:rPr>
                <w:b/>
                <w:bCs/>
                <w:color w:val="auto"/>
                <w:sz w:val="24"/>
              </w:rPr>
              <w:t>、电磁辐射环境影响分析</w:t>
            </w:r>
          </w:p>
          <w:p w14:paraId="2B85066A">
            <w:pPr>
              <w:spacing w:line="440" w:lineRule="exact"/>
              <w:ind w:firstLine="480" w:firstLineChars="200"/>
              <w:jc w:val="both"/>
              <w:rPr>
                <w:b w:val="0"/>
                <w:sz w:val="24"/>
              </w:rPr>
            </w:pPr>
            <w:r>
              <w:rPr>
                <w:rFonts w:hint="eastAsia"/>
                <w:b w:val="0"/>
                <w:sz w:val="24"/>
              </w:rPr>
              <w:t>本项目属于</w:t>
            </w:r>
            <w:r>
              <w:rPr>
                <w:rFonts w:hint="eastAsia"/>
                <w:b w:val="0"/>
                <w:sz w:val="24"/>
                <w:lang w:eastAsia="zh-CN"/>
              </w:rPr>
              <w:t>塑料制品制造</w:t>
            </w:r>
            <w:r>
              <w:rPr>
                <w:rFonts w:hint="eastAsia"/>
                <w:b w:val="0"/>
                <w:sz w:val="24"/>
              </w:rPr>
              <w:t>，</w:t>
            </w:r>
            <w:r>
              <w:rPr>
                <w:b w:val="0"/>
                <w:sz w:val="24"/>
              </w:rPr>
              <w:t>不属于新建或改建、扩建广播电台、差转台、电视塔台、卫星地球上行站、雷达等电磁辐射类项目，无需开展电磁辐射影响评价。</w:t>
            </w:r>
          </w:p>
          <w:p w14:paraId="1250FE0D">
            <w:pPr>
              <w:autoSpaceDE w:val="0"/>
              <w:spacing w:line="440" w:lineRule="exact"/>
              <w:ind w:firstLine="482" w:firstLineChars="200"/>
              <w:jc w:val="both"/>
              <w:rPr>
                <w:b/>
                <w:bCs/>
                <w:color w:val="auto"/>
                <w:sz w:val="24"/>
              </w:rPr>
            </w:pPr>
            <w:r>
              <w:rPr>
                <w:rFonts w:hint="eastAsia"/>
                <w:b/>
                <w:bCs/>
                <w:color w:val="auto"/>
                <w:sz w:val="24"/>
                <w:lang w:val="en-US" w:eastAsia="zh-CN"/>
              </w:rPr>
              <w:t>9、</w:t>
            </w:r>
            <w:r>
              <w:rPr>
                <w:b/>
                <w:bCs/>
                <w:color w:val="auto"/>
                <w:sz w:val="24"/>
              </w:rPr>
              <w:t>项目</w:t>
            </w:r>
            <w:r>
              <w:rPr>
                <w:rFonts w:hint="eastAsia"/>
                <w:b/>
                <w:bCs/>
                <w:color w:val="auto"/>
                <w:sz w:val="24"/>
              </w:rPr>
              <w:t>环保投资</w:t>
            </w:r>
          </w:p>
          <w:p w14:paraId="07DBC4A5">
            <w:pPr>
              <w:spacing w:line="440" w:lineRule="exact"/>
              <w:ind w:firstLine="480" w:firstLineChars="200"/>
              <w:jc w:val="both"/>
              <w:rPr>
                <w:rFonts w:hint="eastAsia"/>
                <w:color w:val="auto"/>
                <w:sz w:val="24"/>
              </w:rPr>
            </w:pPr>
            <w:r>
              <w:rPr>
                <w:rFonts w:hint="eastAsia"/>
                <w:color w:val="auto"/>
                <w:sz w:val="24"/>
              </w:rPr>
              <w:t>本项目环保投资见下表。</w:t>
            </w:r>
          </w:p>
          <w:p w14:paraId="616A3E97">
            <w:pPr>
              <w:pStyle w:val="32"/>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1560" w:leftChars="0" w:firstLine="0" w:firstLineChars="0"/>
              <w:jc w:val="center"/>
              <w:textAlignment w:val="auto"/>
              <w:rPr>
                <w:rFonts w:ascii="Times New Roman" w:cs="Times New Roman"/>
                <w:b/>
                <w:color w:val="auto"/>
                <w:sz w:val="24"/>
                <w:szCs w:val="24"/>
              </w:rPr>
            </w:pPr>
            <w:r>
              <w:rPr>
                <w:rFonts w:ascii="Times New Roman" w:cs="Times New Roman"/>
                <w:b/>
                <w:color w:val="auto"/>
                <w:sz w:val="24"/>
                <w:szCs w:val="24"/>
                <w:lang w:val="zh-CN"/>
              </w:rPr>
              <w:t>表</w:t>
            </w:r>
            <w:r>
              <w:rPr>
                <w:rFonts w:hint="eastAsia" w:ascii="Times New Roman" w:cs="Times New Roman"/>
                <w:b/>
                <w:color w:val="auto"/>
                <w:sz w:val="24"/>
                <w:szCs w:val="24"/>
                <w:lang w:val="en-US" w:eastAsia="zh-CN"/>
              </w:rPr>
              <w:t>4</w:t>
            </w:r>
            <w:r>
              <w:rPr>
                <w:rFonts w:ascii="Times New Roman" w:cs="Times New Roman"/>
                <w:b/>
                <w:color w:val="auto"/>
                <w:sz w:val="24"/>
                <w:szCs w:val="24"/>
              </w:rPr>
              <w:t>-</w:t>
            </w:r>
            <w:r>
              <w:rPr>
                <w:rFonts w:hint="eastAsia" w:ascii="Times New Roman" w:cs="Times New Roman"/>
                <w:b/>
                <w:color w:val="auto"/>
                <w:sz w:val="24"/>
                <w:szCs w:val="24"/>
                <w:lang w:val="en-US" w:eastAsia="zh-CN"/>
              </w:rPr>
              <w:t>22</w:t>
            </w:r>
            <w:r>
              <w:rPr>
                <w:rFonts w:ascii="Times New Roman" w:cs="Times New Roman"/>
                <w:b/>
                <w:color w:val="auto"/>
                <w:sz w:val="24"/>
                <w:szCs w:val="24"/>
                <w:lang w:val="zh-CN"/>
              </w:rPr>
              <w:t xml:space="preserve"> </w:t>
            </w:r>
            <w:r>
              <w:rPr>
                <w:rFonts w:hint="eastAsia" w:ascii="Times New Roman" w:cs="Times New Roman"/>
                <w:b/>
                <w:color w:val="auto"/>
                <w:sz w:val="24"/>
                <w:szCs w:val="24"/>
              </w:rPr>
              <w:t xml:space="preserve"> </w:t>
            </w:r>
            <w:r>
              <w:rPr>
                <w:rFonts w:hint="eastAsia"/>
                <w:b/>
                <w:color w:val="auto"/>
                <w:sz w:val="24"/>
                <w:szCs w:val="24"/>
              </w:rPr>
              <w:t>本项目环保投资</w:t>
            </w:r>
            <w:r>
              <w:rPr>
                <w:rFonts w:ascii="Times New Roman" w:cs="Times New Roman"/>
                <w:b/>
                <w:color w:val="auto"/>
                <w:sz w:val="24"/>
                <w:szCs w:val="24"/>
              </w:rPr>
              <w:t>一览表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0"/>
              <w:gridCol w:w="712"/>
              <w:gridCol w:w="1423"/>
              <w:gridCol w:w="4549"/>
              <w:gridCol w:w="1133"/>
            </w:tblGrid>
            <w:tr w14:paraId="312B0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7" w:type="pct"/>
                  <w:noWrap w:val="0"/>
                  <w:vAlign w:val="center"/>
                </w:tcPr>
                <w:p w14:paraId="102C5C6B">
                  <w:pPr>
                    <w:autoSpaceDE w:val="0"/>
                    <w:autoSpaceDN w:val="0"/>
                    <w:adjustRightInd w:val="0"/>
                    <w:spacing w:line="360" w:lineRule="exact"/>
                    <w:jc w:val="center"/>
                    <w:rPr>
                      <w:rFonts w:ascii="Times New Roman" w:hAnsi="Times New Roman"/>
                      <w:b w:val="0"/>
                      <w:bCs w:val="0"/>
                      <w:color w:val="auto"/>
                      <w:sz w:val="21"/>
                      <w:szCs w:val="21"/>
                    </w:rPr>
                  </w:pPr>
                  <w:r>
                    <w:rPr>
                      <w:rFonts w:ascii="Times New Roman" w:hAnsi="Times New Roman"/>
                      <w:b w:val="0"/>
                      <w:bCs w:val="0"/>
                      <w:color w:val="auto"/>
                      <w:sz w:val="21"/>
                      <w:szCs w:val="21"/>
                    </w:rPr>
                    <w:t>序号</w:t>
                  </w:r>
                </w:p>
              </w:tc>
              <w:tc>
                <w:tcPr>
                  <w:tcW w:w="421" w:type="pct"/>
                  <w:noWrap w:val="0"/>
                  <w:vAlign w:val="center"/>
                </w:tcPr>
                <w:p w14:paraId="06512B6D">
                  <w:pPr>
                    <w:autoSpaceDE w:val="0"/>
                    <w:autoSpaceDN w:val="0"/>
                    <w:adjustRightInd w:val="0"/>
                    <w:spacing w:line="240" w:lineRule="auto"/>
                    <w:jc w:val="center"/>
                    <w:rPr>
                      <w:rFonts w:ascii="Times New Roman" w:hAnsi="Times New Roman"/>
                      <w:b w:val="0"/>
                      <w:bCs w:val="0"/>
                      <w:color w:val="auto"/>
                      <w:sz w:val="21"/>
                      <w:szCs w:val="21"/>
                    </w:rPr>
                  </w:pPr>
                  <w:r>
                    <w:rPr>
                      <w:rFonts w:ascii="Times New Roman" w:hAnsi="Times New Roman"/>
                      <w:b w:val="0"/>
                      <w:bCs w:val="0"/>
                      <w:color w:val="auto"/>
                      <w:sz w:val="21"/>
                      <w:szCs w:val="21"/>
                    </w:rPr>
                    <w:t>项目名称</w:t>
                  </w:r>
                </w:p>
              </w:tc>
              <w:tc>
                <w:tcPr>
                  <w:tcW w:w="3539" w:type="pct"/>
                  <w:gridSpan w:val="2"/>
                  <w:noWrap w:val="0"/>
                  <w:vAlign w:val="center"/>
                </w:tcPr>
                <w:p w14:paraId="41410FD4">
                  <w:pPr>
                    <w:autoSpaceDE w:val="0"/>
                    <w:autoSpaceDN w:val="0"/>
                    <w:adjustRightInd w:val="0"/>
                    <w:spacing w:line="240" w:lineRule="auto"/>
                    <w:jc w:val="center"/>
                    <w:rPr>
                      <w:rFonts w:ascii="Times New Roman" w:hAnsi="Times New Roman"/>
                      <w:b w:val="0"/>
                      <w:bCs w:val="0"/>
                      <w:color w:val="auto"/>
                      <w:sz w:val="21"/>
                      <w:szCs w:val="21"/>
                    </w:rPr>
                  </w:pPr>
                  <w:r>
                    <w:rPr>
                      <w:rFonts w:ascii="Times New Roman" w:hAnsi="Times New Roman"/>
                      <w:b w:val="0"/>
                      <w:bCs w:val="0"/>
                      <w:color w:val="auto"/>
                      <w:sz w:val="21"/>
                      <w:szCs w:val="21"/>
                    </w:rPr>
                    <w:t>建设内容</w:t>
                  </w:r>
                </w:p>
              </w:tc>
              <w:tc>
                <w:tcPr>
                  <w:tcW w:w="671" w:type="pct"/>
                  <w:noWrap w:val="0"/>
                  <w:vAlign w:val="center"/>
                </w:tcPr>
                <w:p w14:paraId="7D8909BE">
                  <w:pPr>
                    <w:spacing w:line="240" w:lineRule="auto"/>
                    <w:jc w:val="center"/>
                    <w:rPr>
                      <w:rFonts w:ascii="Times New Roman" w:hAnsi="Times New Roman"/>
                      <w:b w:val="0"/>
                      <w:bCs w:val="0"/>
                      <w:color w:val="auto"/>
                      <w:sz w:val="21"/>
                      <w:szCs w:val="21"/>
                    </w:rPr>
                  </w:pPr>
                  <w:r>
                    <w:rPr>
                      <w:rFonts w:hint="eastAsia" w:ascii="Times New Roman" w:hAnsi="Times New Roman" w:cs="Times New Roman"/>
                      <w:b w:val="0"/>
                      <w:bCs w:val="0"/>
                      <w:color w:val="auto"/>
                      <w:sz w:val="21"/>
                      <w:szCs w:val="21"/>
                    </w:rPr>
                    <w:t>环保投资（万元）</w:t>
                  </w:r>
                </w:p>
              </w:tc>
            </w:tr>
            <w:tr w14:paraId="342D0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367" w:type="pct"/>
                  <w:vMerge w:val="restart"/>
                  <w:noWrap w:val="0"/>
                  <w:vAlign w:val="center"/>
                </w:tcPr>
                <w:p w14:paraId="0A8DBFFA">
                  <w:pPr>
                    <w:spacing w:line="360" w:lineRule="exact"/>
                    <w:ind w:left="-108" w:right="-108"/>
                    <w:jc w:val="center"/>
                    <w:rPr>
                      <w:rFonts w:ascii="Times New Roman" w:hAnsi="Times New Roman"/>
                      <w:b w:val="0"/>
                      <w:bCs w:val="0"/>
                      <w:color w:val="auto"/>
                      <w:sz w:val="21"/>
                      <w:szCs w:val="21"/>
                    </w:rPr>
                  </w:pPr>
                  <w:r>
                    <w:rPr>
                      <w:rFonts w:ascii="Times New Roman" w:hAnsi="Times New Roman"/>
                      <w:b w:val="0"/>
                      <w:bCs w:val="0"/>
                      <w:color w:val="auto"/>
                      <w:sz w:val="21"/>
                      <w:szCs w:val="21"/>
                    </w:rPr>
                    <w:t>1</w:t>
                  </w:r>
                </w:p>
              </w:tc>
              <w:tc>
                <w:tcPr>
                  <w:tcW w:w="421" w:type="pct"/>
                  <w:vMerge w:val="restart"/>
                  <w:noWrap w:val="0"/>
                  <w:vAlign w:val="center"/>
                </w:tcPr>
                <w:p w14:paraId="61CF6F9D">
                  <w:pPr>
                    <w:spacing w:line="360" w:lineRule="exact"/>
                    <w:ind w:left="-108" w:right="-108"/>
                    <w:jc w:val="center"/>
                    <w:rPr>
                      <w:rFonts w:ascii="Times New Roman" w:hAnsi="Times New Roman"/>
                      <w:b w:val="0"/>
                      <w:bCs w:val="0"/>
                      <w:color w:val="auto"/>
                      <w:sz w:val="21"/>
                      <w:szCs w:val="21"/>
                    </w:rPr>
                  </w:pPr>
                  <w:r>
                    <w:rPr>
                      <w:rFonts w:ascii="Times New Roman" w:hAnsi="Times New Roman"/>
                      <w:b w:val="0"/>
                      <w:bCs w:val="0"/>
                      <w:color w:val="auto"/>
                      <w:sz w:val="21"/>
                      <w:szCs w:val="21"/>
                    </w:rPr>
                    <w:t>废气</w:t>
                  </w:r>
                </w:p>
                <w:p w14:paraId="1D2EB756">
                  <w:pPr>
                    <w:spacing w:line="360" w:lineRule="exact"/>
                    <w:ind w:left="-108" w:right="-108"/>
                    <w:jc w:val="center"/>
                    <w:rPr>
                      <w:rFonts w:ascii="Times New Roman" w:hAnsi="Times New Roman"/>
                      <w:b w:val="0"/>
                      <w:bCs w:val="0"/>
                      <w:color w:val="auto"/>
                      <w:sz w:val="21"/>
                      <w:szCs w:val="21"/>
                    </w:rPr>
                  </w:pPr>
                  <w:r>
                    <w:rPr>
                      <w:rFonts w:ascii="Times New Roman" w:hAnsi="Times New Roman"/>
                      <w:b w:val="0"/>
                      <w:bCs w:val="0"/>
                      <w:color w:val="auto"/>
                      <w:sz w:val="21"/>
                      <w:szCs w:val="21"/>
                    </w:rPr>
                    <w:t>治理</w:t>
                  </w:r>
                </w:p>
              </w:tc>
              <w:tc>
                <w:tcPr>
                  <w:tcW w:w="843" w:type="pct"/>
                  <w:noWrap w:val="0"/>
                  <w:vAlign w:val="center"/>
                </w:tcPr>
                <w:p w14:paraId="2BB96A0A">
                  <w:pPr>
                    <w:autoSpaceDE w:val="0"/>
                    <w:autoSpaceDN w:val="0"/>
                    <w:adjustRightInd w:val="0"/>
                    <w:jc w:val="center"/>
                    <w:rPr>
                      <w:rFonts w:hint="default"/>
                      <w:b w:val="0"/>
                      <w:bCs w:val="0"/>
                      <w:color w:val="auto"/>
                      <w:kern w:val="0"/>
                      <w:sz w:val="21"/>
                      <w:szCs w:val="21"/>
                      <w:lang w:val="en-US" w:eastAsia="zh-CN" w:bidi="ar"/>
                    </w:rPr>
                  </w:pPr>
                  <w:r>
                    <w:rPr>
                      <w:rFonts w:hint="eastAsia"/>
                      <w:b w:val="0"/>
                      <w:bCs w:val="0"/>
                      <w:color w:val="auto"/>
                      <w:kern w:val="0"/>
                      <w:sz w:val="21"/>
                      <w:szCs w:val="21"/>
                      <w:lang w:val="en-US" w:eastAsia="zh-CN" w:bidi="ar"/>
                    </w:rPr>
                    <w:t>挤塑、注塑、热熔焊接</w:t>
                  </w:r>
                </w:p>
              </w:tc>
              <w:tc>
                <w:tcPr>
                  <w:tcW w:w="2695" w:type="pct"/>
                  <w:noWrap w:val="0"/>
                  <w:vAlign w:val="center"/>
                </w:tcPr>
                <w:p w14:paraId="28BDBDF6">
                  <w:pPr>
                    <w:adjustRightInd w:val="0"/>
                    <w:snapToGrid w:val="0"/>
                    <w:jc w:val="center"/>
                    <w:rPr>
                      <w:rFonts w:hint="eastAsia"/>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lang w:val="en-US" w:eastAsia="zh-CN"/>
                    </w:rPr>
                    <w:t>经</w:t>
                  </w:r>
                  <w:r>
                    <w:rPr>
                      <w:rFonts w:hint="eastAsia" w:cs="Times New Roman"/>
                      <w:b w:val="0"/>
                      <w:bCs w:val="0"/>
                      <w:color w:val="auto"/>
                      <w:sz w:val="21"/>
                      <w:szCs w:val="21"/>
                      <w:lang w:val="en-US" w:eastAsia="zh-CN"/>
                    </w:rPr>
                    <w:t>一套</w:t>
                  </w:r>
                  <w:r>
                    <w:rPr>
                      <w:rFonts w:hint="eastAsia" w:ascii="Times New Roman" w:hAnsi="Times New Roman" w:eastAsia="宋体" w:cs="Times New Roman"/>
                      <w:b w:val="0"/>
                      <w:bCs w:val="0"/>
                      <w:color w:val="auto"/>
                      <w:sz w:val="21"/>
                      <w:szCs w:val="21"/>
                      <w:lang w:val="en-US" w:eastAsia="zh-CN"/>
                    </w:rPr>
                    <w:t>“</w:t>
                  </w:r>
                  <w:r>
                    <w:rPr>
                      <w:rFonts w:hint="eastAsia" w:cs="Times New Roman"/>
                      <w:b w:val="0"/>
                      <w:bCs w:val="0"/>
                      <w:color w:val="auto"/>
                      <w:sz w:val="21"/>
                      <w:szCs w:val="21"/>
                      <w:lang w:val="en-US" w:eastAsia="zh-CN"/>
                    </w:rPr>
                    <w:t>集气罩</w:t>
                  </w:r>
                  <w:r>
                    <w:rPr>
                      <w:rFonts w:hint="eastAsia" w:ascii="Times New Roman" w:hAnsi="Times New Roman" w:eastAsia="宋体" w:cs="Times New Roman"/>
                      <w:b w:val="0"/>
                      <w:bCs w:val="0"/>
                      <w:color w:val="auto"/>
                      <w:sz w:val="21"/>
                      <w:szCs w:val="21"/>
                      <w:lang w:val="en-US" w:eastAsia="zh-CN"/>
                    </w:rPr>
                    <w:t>+</w:t>
                  </w:r>
                  <w:r>
                    <w:rPr>
                      <w:rFonts w:hint="eastAsia" w:cs="Times New Roman"/>
                      <w:b w:val="0"/>
                      <w:bCs w:val="0"/>
                      <w:color w:val="auto"/>
                      <w:sz w:val="21"/>
                      <w:szCs w:val="21"/>
                      <w:lang w:val="en-US" w:eastAsia="zh-CN"/>
                    </w:rPr>
                    <w:t>二级</w:t>
                  </w:r>
                  <w:r>
                    <w:rPr>
                      <w:rFonts w:hint="eastAsia" w:ascii="Times New Roman" w:hAnsi="Times New Roman" w:eastAsia="宋体" w:cs="Times New Roman"/>
                      <w:b w:val="0"/>
                      <w:bCs w:val="0"/>
                      <w:color w:val="auto"/>
                      <w:sz w:val="21"/>
                      <w:szCs w:val="21"/>
                      <w:lang w:val="en-US" w:eastAsia="zh-CN"/>
                    </w:rPr>
                    <w:t>活性炭吸附”装</w:t>
                  </w:r>
                  <w:r>
                    <w:rPr>
                      <w:rFonts w:hint="eastAsia"/>
                      <w:b w:val="0"/>
                      <w:bCs w:val="0"/>
                      <w:color w:val="auto"/>
                      <w:sz w:val="21"/>
                      <w:szCs w:val="21"/>
                      <w:lang w:val="en-US" w:eastAsia="zh-CN"/>
                    </w:rPr>
                    <w:t>置处理后，由15m高排气筒</w:t>
                  </w:r>
                  <w:r>
                    <w:rPr>
                      <w:b w:val="0"/>
                      <w:bCs w:val="0"/>
                      <w:color w:val="auto"/>
                      <w:sz w:val="21"/>
                      <w:szCs w:val="21"/>
                    </w:rPr>
                    <w:t>DA001</w:t>
                  </w:r>
                  <w:r>
                    <w:rPr>
                      <w:rFonts w:hint="eastAsia"/>
                      <w:b w:val="0"/>
                      <w:bCs w:val="0"/>
                      <w:color w:val="auto"/>
                      <w:sz w:val="21"/>
                      <w:szCs w:val="21"/>
                      <w:lang w:val="en-US" w:eastAsia="zh-CN"/>
                    </w:rPr>
                    <w:t>排放。</w:t>
                  </w:r>
                </w:p>
              </w:tc>
              <w:tc>
                <w:tcPr>
                  <w:tcW w:w="671" w:type="pct"/>
                  <w:noWrap w:val="0"/>
                  <w:vAlign w:val="center"/>
                </w:tcPr>
                <w:p w14:paraId="2BFA2D29">
                  <w:pPr>
                    <w:spacing w:line="360" w:lineRule="exact"/>
                    <w:jc w:val="center"/>
                    <w:rPr>
                      <w:rFonts w:hint="default" w:ascii="Times New Roman" w:hAnsi="Times New Roman" w:eastAsia="宋体"/>
                      <w:b w:val="0"/>
                      <w:bCs w:val="0"/>
                      <w:color w:val="auto"/>
                      <w:sz w:val="21"/>
                      <w:szCs w:val="21"/>
                      <w:lang w:val="en-US" w:eastAsia="zh-CN"/>
                    </w:rPr>
                  </w:pPr>
                  <w:r>
                    <w:rPr>
                      <w:rFonts w:hint="eastAsia"/>
                      <w:b w:val="0"/>
                      <w:bCs w:val="0"/>
                      <w:color w:val="auto"/>
                      <w:sz w:val="21"/>
                      <w:szCs w:val="21"/>
                      <w:lang w:val="en-US" w:eastAsia="zh-CN"/>
                    </w:rPr>
                    <w:t>25</w:t>
                  </w:r>
                </w:p>
              </w:tc>
            </w:tr>
            <w:tr w14:paraId="3B50F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367" w:type="pct"/>
                  <w:vMerge w:val="continue"/>
                  <w:noWrap w:val="0"/>
                  <w:vAlign w:val="center"/>
                </w:tcPr>
                <w:p w14:paraId="33ACC718">
                  <w:pPr>
                    <w:adjustRightInd w:val="0"/>
                    <w:snapToGrid w:val="0"/>
                    <w:jc w:val="center"/>
                  </w:pPr>
                </w:p>
              </w:tc>
              <w:tc>
                <w:tcPr>
                  <w:tcW w:w="421" w:type="pct"/>
                  <w:vMerge w:val="continue"/>
                  <w:noWrap w:val="0"/>
                  <w:vAlign w:val="center"/>
                </w:tcPr>
                <w:p w14:paraId="465CF4D2">
                  <w:pPr>
                    <w:adjustRightInd w:val="0"/>
                    <w:snapToGrid w:val="0"/>
                    <w:jc w:val="center"/>
                  </w:pPr>
                </w:p>
              </w:tc>
              <w:tc>
                <w:tcPr>
                  <w:tcW w:w="843" w:type="pct"/>
                  <w:noWrap w:val="0"/>
                  <w:vAlign w:val="center"/>
                </w:tcPr>
                <w:p w14:paraId="2A84E9F8">
                  <w:pPr>
                    <w:adjustRightInd w:val="0"/>
                    <w:snapToGrid w:val="0"/>
                    <w:jc w:val="center"/>
                    <w:rPr>
                      <w:rFonts w:hint="default"/>
                      <w:b w:val="0"/>
                      <w:bCs w:val="0"/>
                      <w:color w:val="auto"/>
                      <w:kern w:val="0"/>
                      <w:sz w:val="21"/>
                      <w:szCs w:val="21"/>
                      <w:lang w:val="en-US" w:eastAsia="zh-CN" w:bidi="ar"/>
                    </w:rPr>
                  </w:pPr>
                  <w:r>
                    <w:rPr>
                      <w:rFonts w:hint="eastAsia"/>
                      <w:b w:val="0"/>
                      <w:bCs w:val="0"/>
                      <w:color w:val="auto"/>
                      <w:kern w:val="0"/>
                      <w:sz w:val="21"/>
                      <w:szCs w:val="21"/>
                      <w:lang w:val="en-US" w:eastAsia="zh-CN" w:bidi="ar"/>
                    </w:rPr>
                    <w:t>食堂油烟</w:t>
                  </w:r>
                </w:p>
              </w:tc>
              <w:tc>
                <w:tcPr>
                  <w:tcW w:w="2695" w:type="pct"/>
                  <w:noWrap w:val="0"/>
                  <w:vAlign w:val="center"/>
                </w:tcPr>
                <w:p w14:paraId="2EB6F4D6">
                  <w:pPr>
                    <w:adjustRightInd w:val="0"/>
                    <w:snapToGrid w:val="0"/>
                    <w:jc w:val="center"/>
                    <w:rPr>
                      <w:rFonts w:hint="eastAsia"/>
                      <w:b w:val="0"/>
                      <w:bCs w:val="0"/>
                      <w:color w:val="auto"/>
                      <w:kern w:val="0"/>
                      <w:sz w:val="21"/>
                      <w:szCs w:val="21"/>
                      <w:lang w:val="en-US" w:eastAsia="zh-CN" w:bidi="ar"/>
                    </w:rPr>
                  </w:pPr>
                  <w:r>
                    <w:rPr>
                      <w:rFonts w:hint="eastAsia"/>
                      <w:b w:val="0"/>
                      <w:bCs w:val="0"/>
                      <w:color w:val="auto"/>
                      <w:kern w:val="0"/>
                      <w:sz w:val="21"/>
                      <w:szCs w:val="21"/>
                      <w:lang w:val="en-US" w:eastAsia="zh-CN" w:bidi="ar"/>
                    </w:rPr>
                    <w:t>经油烟净化器处理后引至屋顶排放。</w:t>
                  </w:r>
                </w:p>
              </w:tc>
              <w:tc>
                <w:tcPr>
                  <w:tcW w:w="671" w:type="pct"/>
                  <w:noWrap w:val="0"/>
                  <w:vAlign w:val="center"/>
                </w:tcPr>
                <w:p w14:paraId="5AD1B435">
                  <w:pPr>
                    <w:adjustRightInd w:val="0"/>
                    <w:snapToGrid w:val="0"/>
                    <w:jc w:val="center"/>
                    <w:rPr>
                      <w:rFonts w:hint="default"/>
                      <w:b w:val="0"/>
                      <w:bCs w:val="0"/>
                      <w:color w:val="auto"/>
                      <w:kern w:val="0"/>
                      <w:sz w:val="21"/>
                      <w:szCs w:val="21"/>
                      <w:lang w:val="en-US" w:eastAsia="zh-CN" w:bidi="ar"/>
                    </w:rPr>
                  </w:pPr>
                  <w:r>
                    <w:rPr>
                      <w:rFonts w:hint="eastAsia"/>
                      <w:b w:val="0"/>
                      <w:bCs w:val="0"/>
                      <w:color w:val="auto"/>
                      <w:kern w:val="0"/>
                      <w:sz w:val="21"/>
                      <w:szCs w:val="21"/>
                      <w:lang w:val="en-US" w:eastAsia="zh-CN" w:bidi="ar"/>
                    </w:rPr>
                    <w:t>1</w:t>
                  </w:r>
                </w:p>
              </w:tc>
            </w:tr>
            <w:tr w14:paraId="4856D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367" w:type="pct"/>
                  <w:vMerge w:val="continue"/>
                  <w:noWrap w:val="0"/>
                  <w:vAlign w:val="center"/>
                </w:tcPr>
                <w:p w14:paraId="17B46337">
                  <w:pPr>
                    <w:adjustRightInd w:val="0"/>
                    <w:snapToGrid w:val="0"/>
                    <w:jc w:val="center"/>
                    <w:rPr>
                      <w:rFonts w:hint="eastAsia"/>
                      <w:b w:val="0"/>
                      <w:bCs w:val="0"/>
                      <w:color w:val="auto"/>
                      <w:kern w:val="0"/>
                      <w:sz w:val="21"/>
                      <w:szCs w:val="21"/>
                      <w:lang w:val="en-US" w:eastAsia="zh-CN" w:bidi="ar"/>
                    </w:rPr>
                  </w:pPr>
                </w:p>
              </w:tc>
              <w:tc>
                <w:tcPr>
                  <w:tcW w:w="421" w:type="pct"/>
                  <w:vMerge w:val="continue"/>
                  <w:noWrap w:val="0"/>
                  <w:vAlign w:val="center"/>
                </w:tcPr>
                <w:p w14:paraId="48F05307">
                  <w:pPr>
                    <w:adjustRightInd w:val="0"/>
                    <w:snapToGrid w:val="0"/>
                    <w:jc w:val="center"/>
                    <w:rPr>
                      <w:rFonts w:hint="eastAsia"/>
                      <w:b w:val="0"/>
                      <w:bCs w:val="0"/>
                      <w:color w:val="auto"/>
                      <w:kern w:val="0"/>
                      <w:sz w:val="21"/>
                      <w:szCs w:val="21"/>
                      <w:lang w:val="en-US" w:eastAsia="zh-CN" w:bidi="ar"/>
                    </w:rPr>
                  </w:pPr>
                </w:p>
              </w:tc>
              <w:tc>
                <w:tcPr>
                  <w:tcW w:w="843" w:type="pct"/>
                  <w:shd w:val="clear" w:color="auto" w:fill="auto"/>
                  <w:noWrap w:val="0"/>
                  <w:vAlign w:val="center"/>
                </w:tcPr>
                <w:p w14:paraId="644111C4">
                  <w:pPr>
                    <w:adjustRightInd w:val="0"/>
                    <w:snapToGrid w:val="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颗粒物</w:t>
                  </w:r>
                </w:p>
              </w:tc>
              <w:tc>
                <w:tcPr>
                  <w:tcW w:w="2695" w:type="pct"/>
                  <w:shd w:val="clear" w:color="auto" w:fill="auto"/>
                  <w:noWrap w:val="0"/>
                  <w:vAlign w:val="center"/>
                </w:tcPr>
                <w:p w14:paraId="7B22648C">
                  <w:pPr>
                    <w:adjustRightInd w:val="0"/>
                    <w:snapToGrid w:val="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集气罩+布袋收尘器</w:t>
                  </w:r>
                </w:p>
              </w:tc>
              <w:tc>
                <w:tcPr>
                  <w:tcW w:w="671" w:type="pct"/>
                  <w:noWrap w:val="0"/>
                  <w:vAlign w:val="center"/>
                </w:tcPr>
                <w:p w14:paraId="319B7964">
                  <w:pPr>
                    <w:adjustRightInd w:val="0"/>
                    <w:snapToGrid w:val="0"/>
                    <w:jc w:val="center"/>
                    <w:rPr>
                      <w:rFonts w:hint="default"/>
                      <w:b w:val="0"/>
                      <w:bCs w:val="0"/>
                      <w:color w:val="auto"/>
                      <w:kern w:val="0"/>
                      <w:sz w:val="21"/>
                      <w:szCs w:val="21"/>
                      <w:lang w:val="en-US" w:eastAsia="zh-CN" w:bidi="ar"/>
                    </w:rPr>
                  </w:pPr>
                  <w:r>
                    <w:rPr>
                      <w:rFonts w:hint="eastAsia"/>
                      <w:b w:val="0"/>
                      <w:bCs w:val="0"/>
                      <w:color w:val="auto"/>
                      <w:kern w:val="0"/>
                      <w:sz w:val="21"/>
                      <w:szCs w:val="21"/>
                      <w:lang w:val="en-US" w:eastAsia="zh-CN" w:bidi="ar"/>
                    </w:rPr>
                    <w:t>4</w:t>
                  </w:r>
                </w:p>
              </w:tc>
            </w:tr>
            <w:tr w14:paraId="1E408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367" w:type="pct"/>
                  <w:noWrap w:val="0"/>
                  <w:vAlign w:val="center"/>
                </w:tcPr>
                <w:p w14:paraId="45435AB7">
                  <w:pPr>
                    <w:spacing w:line="360" w:lineRule="exact"/>
                    <w:ind w:left="-108" w:right="-108"/>
                    <w:jc w:val="center"/>
                    <w:rPr>
                      <w:rFonts w:ascii="Times New Roman" w:hAnsi="Times New Roman"/>
                      <w:b w:val="0"/>
                      <w:bCs w:val="0"/>
                      <w:color w:val="auto"/>
                      <w:sz w:val="21"/>
                      <w:szCs w:val="21"/>
                    </w:rPr>
                  </w:pPr>
                  <w:r>
                    <w:rPr>
                      <w:rFonts w:ascii="Times New Roman" w:hAnsi="Times New Roman"/>
                      <w:b w:val="0"/>
                      <w:bCs w:val="0"/>
                      <w:color w:val="auto"/>
                      <w:sz w:val="21"/>
                      <w:szCs w:val="21"/>
                    </w:rPr>
                    <w:t>2</w:t>
                  </w:r>
                </w:p>
              </w:tc>
              <w:tc>
                <w:tcPr>
                  <w:tcW w:w="421" w:type="pct"/>
                  <w:noWrap w:val="0"/>
                  <w:vAlign w:val="center"/>
                </w:tcPr>
                <w:p w14:paraId="29A08D1E">
                  <w:pPr>
                    <w:spacing w:line="360" w:lineRule="exact"/>
                    <w:ind w:left="-108" w:right="-108"/>
                    <w:jc w:val="center"/>
                    <w:rPr>
                      <w:rFonts w:ascii="Times New Roman" w:hAnsi="Times New Roman"/>
                      <w:b w:val="0"/>
                      <w:bCs w:val="0"/>
                      <w:color w:val="auto"/>
                      <w:sz w:val="21"/>
                      <w:szCs w:val="21"/>
                    </w:rPr>
                  </w:pPr>
                  <w:r>
                    <w:rPr>
                      <w:rFonts w:ascii="Times New Roman" w:hAnsi="Times New Roman"/>
                      <w:b w:val="0"/>
                      <w:bCs w:val="0"/>
                      <w:color w:val="auto"/>
                      <w:sz w:val="21"/>
                      <w:szCs w:val="21"/>
                    </w:rPr>
                    <w:t>废水</w:t>
                  </w:r>
                </w:p>
                <w:p w14:paraId="46FAFB0C">
                  <w:pPr>
                    <w:spacing w:line="360" w:lineRule="exact"/>
                    <w:ind w:left="-108" w:right="-108"/>
                    <w:jc w:val="center"/>
                    <w:rPr>
                      <w:rFonts w:ascii="Times New Roman" w:hAnsi="Times New Roman"/>
                      <w:b w:val="0"/>
                      <w:bCs w:val="0"/>
                      <w:color w:val="auto"/>
                      <w:sz w:val="21"/>
                      <w:szCs w:val="21"/>
                    </w:rPr>
                  </w:pPr>
                  <w:r>
                    <w:rPr>
                      <w:rFonts w:ascii="Times New Roman" w:hAnsi="Times New Roman"/>
                      <w:b w:val="0"/>
                      <w:bCs w:val="0"/>
                      <w:color w:val="auto"/>
                      <w:sz w:val="21"/>
                      <w:szCs w:val="21"/>
                    </w:rPr>
                    <w:t>治理</w:t>
                  </w:r>
                </w:p>
              </w:tc>
              <w:tc>
                <w:tcPr>
                  <w:tcW w:w="3539" w:type="pct"/>
                  <w:gridSpan w:val="2"/>
                  <w:noWrap w:val="0"/>
                  <w:vAlign w:val="center"/>
                </w:tcPr>
                <w:p w14:paraId="1611B530">
                  <w:pPr>
                    <w:spacing w:line="240" w:lineRule="auto"/>
                    <w:jc w:val="left"/>
                    <w:rPr>
                      <w:rFonts w:hint="default" w:ascii="Times New Roman" w:hAnsi="Times New Roman"/>
                      <w:b w:val="0"/>
                      <w:bCs w:val="0"/>
                      <w:color w:val="auto"/>
                      <w:sz w:val="21"/>
                      <w:szCs w:val="21"/>
                      <w:lang w:val="en-US"/>
                    </w:rPr>
                  </w:pPr>
                  <w:r>
                    <w:rPr>
                      <w:b w:val="0"/>
                      <w:bCs w:val="0"/>
                      <w:color w:val="auto"/>
                      <w:sz w:val="21"/>
                      <w:szCs w:val="21"/>
                    </w:rPr>
                    <w:t>雨污分流</w:t>
                  </w:r>
                  <w:r>
                    <w:rPr>
                      <w:rFonts w:hint="eastAsia"/>
                      <w:b w:val="0"/>
                      <w:bCs w:val="0"/>
                      <w:color w:val="auto"/>
                      <w:sz w:val="21"/>
                      <w:szCs w:val="21"/>
                      <w:lang w:eastAsia="zh-CN"/>
                    </w:rPr>
                    <w:t>，</w:t>
                  </w:r>
                  <w:r>
                    <w:rPr>
                      <w:b w:val="0"/>
                      <w:bCs w:val="0"/>
                      <w:color w:val="auto"/>
                      <w:sz w:val="21"/>
                      <w:szCs w:val="21"/>
                    </w:rPr>
                    <w:t>雨水接入市政雨水管网；</w:t>
                  </w:r>
                  <w:r>
                    <w:rPr>
                      <w:rFonts w:hint="default"/>
                      <w:b w:val="0"/>
                      <w:bCs w:val="0"/>
                      <w:color w:val="auto"/>
                      <w:sz w:val="21"/>
                      <w:szCs w:val="21"/>
                    </w:rPr>
                    <w:t>生产冷却水循环使用</w:t>
                  </w:r>
                  <w:r>
                    <w:rPr>
                      <w:rFonts w:hint="eastAsia"/>
                      <w:b w:val="0"/>
                      <w:bCs w:val="0"/>
                      <w:color w:val="auto"/>
                      <w:sz w:val="21"/>
                      <w:szCs w:val="21"/>
                      <w:lang w:eastAsia="zh-CN"/>
                    </w:rPr>
                    <w:t>，</w:t>
                  </w:r>
                  <w:r>
                    <w:rPr>
                      <w:rFonts w:hint="eastAsia"/>
                      <w:b w:val="0"/>
                      <w:bCs w:val="0"/>
                      <w:color w:val="auto"/>
                      <w:sz w:val="21"/>
                      <w:szCs w:val="21"/>
                      <w:lang w:val="en-US" w:eastAsia="zh-CN"/>
                    </w:rPr>
                    <w:t>不外排</w:t>
                  </w:r>
                  <w:r>
                    <w:rPr>
                      <w:rFonts w:hint="eastAsia"/>
                      <w:b w:val="0"/>
                      <w:bCs w:val="0"/>
                      <w:color w:val="auto"/>
                      <w:sz w:val="21"/>
                      <w:szCs w:val="21"/>
                      <w:lang w:eastAsia="zh-CN"/>
                    </w:rPr>
                    <w:t>。</w:t>
                  </w:r>
                  <w:r>
                    <w:rPr>
                      <w:rFonts w:hint="eastAsia"/>
                      <w:b w:val="0"/>
                      <w:bCs w:val="0"/>
                      <w:color w:val="auto"/>
                      <w:sz w:val="21"/>
                      <w:szCs w:val="21"/>
                      <w:lang w:val="en-US" w:eastAsia="zh-CN"/>
                    </w:rPr>
                    <w:t>生活污水经隔油池、化粪池处理后定期清掏肥田，不外排。</w:t>
                  </w:r>
                </w:p>
              </w:tc>
              <w:tc>
                <w:tcPr>
                  <w:tcW w:w="671" w:type="pct"/>
                  <w:noWrap w:val="0"/>
                  <w:vAlign w:val="center"/>
                </w:tcPr>
                <w:p w14:paraId="727CAAB2">
                  <w:pPr>
                    <w:spacing w:line="360" w:lineRule="exact"/>
                    <w:jc w:val="center"/>
                    <w:rPr>
                      <w:rFonts w:hint="default" w:ascii="Times New Roman" w:hAnsi="Times New Roman" w:eastAsia="宋体"/>
                      <w:b w:val="0"/>
                      <w:bCs w:val="0"/>
                      <w:color w:val="auto"/>
                      <w:sz w:val="21"/>
                      <w:szCs w:val="21"/>
                      <w:lang w:val="en-US" w:eastAsia="zh-CN"/>
                    </w:rPr>
                  </w:pPr>
                  <w:r>
                    <w:rPr>
                      <w:rFonts w:hint="eastAsia"/>
                      <w:b w:val="0"/>
                      <w:bCs w:val="0"/>
                      <w:color w:val="auto"/>
                      <w:sz w:val="21"/>
                      <w:szCs w:val="21"/>
                      <w:lang w:val="en-US" w:eastAsia="zh-CN"/>
                    </w:rPr>
                    <w:t>4</w:t>
                  </w:r>
                </w:p>
              </w:tc>
            </w:tr>
            <w:tr w14:paraId="4116E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7" w:type="pct"/>
                  <w:noWrap w:val="0"/>
                  <w:vAlign w:val="center"/>
                </w:tcPr>
                <w:p w14:paraId="65534952">
                  <w:pPr>
                    <w:autoSpaceDE w:val="0"/>
                    <w:autoSpaceDN w:val="0"/>
                    <w:adjustRightInd w:val="0"/>
                    <w:snapToGrid w:val="0"/>
                    <w:spacing w:line="360" w:lineRule="exact"/>
                    <w:jc w:val="center"/>
                    <w:rPr>
                      <w:rFonts w:ascii="Times New Roman" w:hAnsi="Times New Roman"/>
                      <w:b w:val="0"/>
                      <w:bCs w:val="0"/>
                      <w:color w:val="auto"/>
                      <w:sz w:val="21"/>
                      <w:szCs w:val="21"/>
                    </w:rPr>
                  </w:pPr>
                  <w:r>
                    <w:rPr>
                      <w:rFonts w:ascii="Times New Roman" w:hAnsi="Times New Roman"/>
                      <w:b w:val="0"/>
                      <w:bCs w:val="0"/>
                      <w:color w:val="auto"/>
                      <w:sz w:val="21"/>
                      <w:szCs w:val="21"/>
                    </w:rPr>
                    <w:t>3</w:t>
                  </w:r>
                </w:p>
              </w:tc>
              <w:tc>
                <w:tcPr>
                  <w:tcW w:w="421" w:type="pct"/>
                  <w:noWrap w:val="0"/>
                  <w:vAlign w:val="center"/>
                </w:tcPr>
                <w:p w14:paraId="3F99C4CD">
                  <w:pPr>
                    <w:autoSpaceDE w:val="0"/>
                    <w:autoSpaceDN w:val="0"/>
                    <w:adjustRightInd w:val="0"/>
                    <w:snapToGrid w:val="0"/>
                    <w:spacing w:line="360" w:lineRule="exact"/>
                    <w:jc w:val="center"/>
                    <w:rPr>
                      <w:rFonts w:ascii="Times New Roman" w:hAnsi="Times New Roman"/>
                      <w:b w:val="0"/>
                      <w:bCs w:val="0"/>
                      <w:color w:val="auto"/>
                      <w:sz w:val="21"/>
                      <w:szCs w:val="21"/>
                      <w:lang w:val="zh-CN"/>
                    </w:rPr>
                  </w:pPr>
                  <w:r>
                    <w:rPr>
                      <w:rFonts w:ascii="Times New Roman" w:hAnsi="Times New Roman"/>
                      <w:b w:val="0"/>
                      <w:bCs w:val="0"/>
                      <w:color w:val="auto"/>
                      <w:sz w:val="21"/>
                      <w:szCs w:val="21"/>
                    </w:rPr>
                    <w:t>噪声防治</w:t>
                  </w:r>
                </w:p>
              </w:tc>
              <w:tc>
                <w:tcPr>
                  <w:tcW w:w="3539" w:type="pct"/>
                  <w:gridSpan w:val="2"/>
                  <w:noWrap w:val="0"/>
                  <w:vAlign w:val="center"/>
                </w:tcPr>
                <w:p w14:paraId="497E3656">
                  <w:pPr>
                    <w:autoSpaceDE w:val="0"/>
                    <w:autoSpaceDN w:val="0"/>
                    <w:adjustRightInd w:val="0"/>
                    <w:spacing w:line="240" w:lineRule="auto"/>
                    <w:jc w:val="left"/>
                    <w:rPr>
                      <w:rFonts w:ascii="Times New Roman" w:hAnsi="Times New Roman"/>
                      <w:b w:val="0"/>
                      <w:bCs w:val="0"/>
                      <w:color w:val="auto"/>
                      <w:sz w:val="21"/>
                      <w:szCs w:val="21"/>
                    </w:rPr>
                  </w:pPr>
                  <w:r>
                    <w:rPr>
                      <w:rFonts w:hint="eastAsia" w:ascii="Times New Roman" w:hAnsi="Times New Roman" w:eastAsia="宋体" w:cs="Times New Roman"/>
                      <w:b w:val="0"/>
                      <w:bCs w:val="0"/>
                      <w:color w:val="auto"/>
                      <w:sz w:val="21"/>
                      <w:szCs w:val="21"/>
                      <w:lang w:val="en-US" w:eastAsia="zh-CN" w:bidi="ar"/>
                    </w:rPr>
                    <w:t>选用低噪音设备，设备基础减振，隔声消声降噪；风机进、出风管加设消音器，基础下加设减振器</w:t>
                  </w:r>
                  <w:r>
                    <w:rPr>
                      <w:rFonts w:hint="eastAsia" w:ascii="Times New Roman" w:hAnsi="Times New Roman" w:eastAsia="宋体" w:cs="Times New Roman"/>
                      <w:b w:val="0"/>
                      <w:bCs w:val="0"/>
                      <w:color w:val="auto"/>
                      <w:sz w:val="21"/>
                      <w:szCs w:val="21"/>
                      <w:lang w:val="zh-CN"/>
                    </w:rPr>
                    <w:t>等。</w:t>
                  </w:r>
                </w:p>
              </w:tc>
              <w:tc>
                <w:tcPr>
                  <w:tcW w:w="671" w:type="pct"/>
                  <w:noWrap w:val="0"/>
                  <w:vAlign w:val="center"/>
                </w:tcPr>
                <w:p w14:paraId="56DF4048">
                  <w:pPr>
                    <w:spacing w:line="360" w:lineRule="exact"/>
                    <w:jc w:val="center"/>
                    <w:rPr>
                      <w:rFonts w:hint="default" w:ascii="Times New Roman" w:hAnsi="Times New Roman" w:eastAsia="宋体"/>
                      <w:b w:val="0"/>
                      <w:bCs w:val="0"/>
                      <w:color w:val="auto"/>
                      <w:sz w:val="21"/>
                      <w:szCs w:val="21"/>
                      <w:lang w:val="en-US" w:eastAsia="zh-CN"/>
                    </w:rPr>
                  </w:pPr>
                  <w:r>
                    <w:rPr>
                      <w:rFonts w:hint="eastAsia" w:ascii="Times New Roman" w:hAnsi="Times New Roman"/>
                      <w:b w:val="0"/>
                      <w:bCs w:val="0"/>
                      <w:color w:val="auto"/>
                      <w:sz w:val="21"/>
                      <w:szCs w:val="21"/>
                      <w:lang w:val="en-US" w:eastAsia="zh-CN"/>
                    </w:rPr>
                    <w:t>8</w:t>
                  </w:r>
                </w:p>
              </w:tc>
            </w:tr>
            <w:tr w14:paraId="27EA8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367" w:type="pct"/>
                  <w:vMerge w:val="restart"/>
                  <w:noWrap w:val="0"/>
                  <w:vAlign w:val="center"/>
                </w:tcPr>
                <w:p w14:paraId="2841F3A9">
                  <w:pPr>
                    <w:spacing w:line="360" w:lineRule="exact"/>
                    <w:jc w:val="center"/>
                    <w:rPr>
                      <w:rFonts w:ascii="Times New Roman" w:hAnsi="Times New Roman"/>
                      <w:b w:val="0"/>
                      <w:bCs w:val="0"/>
                      <w:color w:val="auto"/>
                      <w:sz w:val="21"/>
                      <w:szCs w:val="21"/>
                    </w:rPr>
                  </w:pPr>
                  <w:r>
                    <w:rPr>
                      <w:rFonts w:ascii="Times New Roman" w:hAnsi="Times New Roman"/>
                      <w:b w:val="0"/>
                      <w:bCs w:val="0"/>
                      <w:color w:val="auto"/>
                      <w:sz w:val="21"/>
                      <w:szCs w:val="21"/>
                    </w:rPr>
                    <w:t>4</w:t>
                  </w:r>
                </w:p>
              </w:tc>
              <w:tc>
                <w:tcPr>
                  <w:tcW w:w="421" w:type="pct"/>
                  <w:vMerge w:val="restart"/>
                  <w:noWrap w:val="0"/>
                  <w:vAlign w:val="center"/>
                </w:tcPr>
                <w:p w14:paraId="1C31790F">
                  <w:pPr>
                    <w:spacing w:line="360" w:lineRule="exact"/>
                    <w:jc w:val="center"/>
                    <w:rPr>
                      <w:rFonts w:ascii="Times New Roman" w:hAnsi="Times New Roman"/>
                      <w:b w:val="0"/>
                      <w:bCs w:val="0"/>
                      <w:color w:val="auto"/>
                      <w:sz w:val="21"/>
                      <w:szCs w:val="21"/>
                    </w:rPr>
                  </w:pPr>
                  <w:r>
                    <w:rPr>
                      <w:rFonts w:ascii="Times New Roman" w:hAnsi="Times New Roman"/>
                      <w:b w:val="0"/>
                      <w:bCs w:val="0"/>
                      <w:color w:val="auto"/>
                      <w:sz w:val="21"/>
                      <w:szCs w:val="21"/>
                    </w:rPr>
                    <w:t>固废处置</w:t>
                  </w:r>
                </w:p>
              </w:tc>
              <w:tc>
                <w:tcPr>
                  <w:tcW w:w="843" w:type="pct"/>
                  <w:noWrap w:val="0"/>
                  <w:vAlign w:val="center"/>
                </w:tcPr>
                <w:p w14:paraId="16A8B7D9">
                  <w:pPr>
                    <w:spacing w:line="240" w:lineRule="auto"/>
                    <w:jc w:val="center"/>
                    <w:rPr>
                      <w:rFonts w:hint="eastAsia" w:ascii="Times New Roman" w:hAnsi="Times New Roman" w:eastAsia="宋体"/>
                      <w:b w:val="0"/>
                      <w:bCs w:val="0"/>
                      <w:color w:val="auto"/>
                      <w:sz w:val="21"/>
                      <w:szCs w:val="21"/>
                      <w:lang w:eastAsia="zh-CN"/>
                    </w:rPr>
                  </w:pPr>
                  <w:r>
                    <w:rPr>
                      <w:rFonts w:hint="eastAsia" w:ascii="Times New Roman" w:hAnsi="Times New Roman"/>
                      <w:b w:val="0"/>
                      <w:bCs w:val="0"/>
                      <w:color w:val="auto"/>
                      <w:sz w:val="21"/>
                      <w:szCs w:val="21"/>
                      <w:lang w:eastAsia="zh-CN"/>
                    </w:rPr>
                    <w:t>生活垃圾</w:t>
                  </w:r>
                </w:p>
              </w:tc>
              <w:tc>
                <w:tcPr>
                  <w:tcW w:w="2695" w:type="pct"/>
                  <w:noWrap w:val="0"/>
                  <w:vAlign w:val="center"/>
                </w:tcPr>
                <w:p w14:paraId="14FB21DE">
                  <w:pPr>
                    <w:spacing w:line="240" w:lineRule="auto"/>
                    <w:rPr>
                      <w:rFonts w:ascii="Times New Roman" w:hAnsi="Times New Roman"/>
                      <w:b w:val="0"/>
                      <w:bCs w:val="0"/>
                      <w:color w:val="auto"/>
                      <w:kern w:val="2"/>
                      <w:sz w:val="21"/>
                      <w:szCs w:val="21"/>
                      <w:lang w:val="en-US" w:eastAsia="zh-CN" w:bidi="ar-SA"/>
                    </w:rPr>
                  </w:pPr>
                  <w:r>
                    <w:rPr>
                      <w:rFonts w:ascii="Times New Roman" w:hAnsi="Times New Roman"/>
                      <w:b w:val="0"/>
                      <w:bCs w:val="0"/>
                      <w:color w:val="auto"/>
                      <w:kern w:val="0"/>
                      <w:sz w:val="21"/>
                      <w:szCs w:val="21"/>
                    </w:rPr>
                    <w:t>人员生活垃圾</w:t>
                  </w:r>
                  <w:r>
                    <w:rPr>
                      <w:rFonts w:ascii="Times New Roman" w:hAnsi="Times New Roman" w:cs="Times New Roman"/>
                      <w:b w:val="0"/>
                      <w:bCs w:val="0"/>
                      <w:color w:val="auto"/>
                      <w:kern w:val="0"/>
                      <w:sz w:val="21"/>
                      <w:szCs w:val="21"/>
                    </w:rPr>
                    <w:t>集中收集后，委托市政环卫部门日常清运处置。</w:t>
                  </w:r>
                </w:p>
              </w:tc>
              <w:tc>
                <w:tcPr>
                  <w:tcW w:w="671" w:type="pct"/>
                  <w:noWrap w:val="0"/>
                  <w:vAlign w:val="center"/>
                </w:tcPr>
                <w:p w14:paraId="4166A7A4">
                  <w:pPr>
                    <w:widowControl/>
                    <w:spacing w:line="360" w:lineRule="exact"/>
                    <w:jc w:val="center"/>
                    <w:rPr>
                      <w:rFonts w:hint="eastAsia" w:ascii="Times New Roman" w:hAnsi="Times New Roman" w:eastAsia="宋体"/>
                      <w:b w:val="0"/>
                      <w:bCs w:val="0"/>
                      <w:color w:val="auto"/>
                      <w:sz w:val="21"/>
                      <w:szCs w:val="21"/>
                      <w:lang w:eastAsia="zh-CN"/>
                    </w:rPr>
                  </w:pPr>
                  <w:r>
                    <w:rPr>
                      <w:rFonts w:hint="eastAsia" w:ascii="Times New Roman" w:hAnsi="Times New Roman"/>
                      <w:b w:val="0"/>
                      <w:bCs w:val="0"/>
                      <w:color w:val="auto"/>
                      <w:sz w:val="21"/>
                      <w:szCs w:val="21"/>
                      <w:lang w:val="en-US" w:eastAsia="zh-CN"/>
                    </w:rPr>
                    <w:t>1</w:t>
                  </w:r>
                </w:p>
              </w:tc>
            </w:tr>
            <w:tr w14:paraId="2197C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5" w:hRule="atLeast"/>
                <w:jc w:val="center"/>
              </w:trPr>
              <w:tc>
                <w:tcPr>
                  <w:tcW w:w="367" w:type="pct"/>
                  <w:vMerge w:val="continue"/>
                  <w:noWrap w:val="0"/>
                  <w:vAlign w:val="center"/>
                </w:tcPr>
                <w:p w14:paraId="76DCF8AB">
                  <w:pPr>
                    <w:spacing w:line="360" w:lineRule="exact"/>
                    <w:jc w:val="center"/>
                    <w:rPr>
                      <w:rFonts w:ascii="Times New Roman" w:hAnsi="Times New Roman"/>
                      <w:b w:val="0"/>
                      <w:bCs w:val="0"/>
                      <w:color w:val="auto"/>
                      <w:sz w:val="21"/>
                      <w:szCs w:val="21"/>
                    </w:rPr>
                  </w:pPr>
                </w:p>
              </w:tc>
              <w:tc>
                <w:tcPr>
                  <w:tcW w:w="421" w:type="pct"/>
                  <w:vMerge w:val="continue"/>
                  <w:noWrap w:val="0"/>
                  <w:vAlign w:val="center"/>
                </w:tcPr>
                <w:p w14:paraId="61841A5C">
                  <w:pPr>
                    <w:spacing w:line="360" w:lineRule="exact"/>
                    <w:jc w:val="center"/>
                    <w:rPr>
                      <w:rFonts w:ascii="Times New Roman" w:hAnsi="Times New Roman"/>
                      <w:b w:val="0"/>
                      <w:bCs w:val="0"/>
                      <w:color w:val="auto"/>
                      <w:sz w:val="21"/>
                      <w:szCs w:val="21"/>
                    </w:rPr>
                  </w:pPr>
                </w:p>
              </w:tc>
              <w:tc>
                <w:tcPr>
                  <w:tcW w:w="843" w:type="pct"/>
                  <w:noWrap w:val="0"/>
                  <w:vAlign w:val="center"/>
                </w:tcPr>
                <w:p w14:paraId="22A46D98">
                  <w:pPr>
                    <w:spacing w:line="240" w:lineRule="auto"/>
                    <w:jc w:val="center"/>
                    <w:rPr>
                      <w:rFonts w:hint="eastAsia" w:ascii="Times New Roman" w:hAnsi="Times New Roman" w:eastAsia="宋体"/>
                      <w:b w:val="0"/>
                      <w:bCs w:val="0"/>
                      <w:color w:val="auto"/>
                      <w:sz w:val="21"/>
                      <w:szCs w:val="21"/>
                      <w:lang w:eastAsia="zh-CN"/>
                    </w:rPr>
                  </w:pPr>
                  <w:r>
                    <w:rPr>
                      <w:rFonts w:hint="eastAsia" w:ascii="Times New Roman" w:hAnsi="Times New Roman"/>
                      <w:b w:val="0"/>
                      <w:bCs w:val="0"/>
                      <w:color w:val="auto"/>
                      <w:sz w:val="21"/>
                      <w:szCs w:val="21"/>
                      <w:lang w:eastAsia="zh-CN"/>
                    </w:rPr>
                    <w:t>一般固废暂存间</w:t>
                  </w:r>
                </w:p>
              </w:tc>
              <w:tc>
                <w:tcPr>
                  <w:tcW w:w="2695" w:type="pct"/>
                  <w:noWrap w:val="0"/>
                  <w:vAlign w:val="center"/>
                </w:tcPr>
                <w:p w14:paraId="1D90B203">
                  <w:pPr>
                    <w:spacing w:line="240" w:lineRule="auto"/>
                    <w:rPr>
                      <w:rFonts w:hint="eastAsia" w:ascii="Times New Roman" w:hAnsi="Times New Roman"/>
                      <w:b w:val="0"/>
                      <w:bCs w:val="0"/>
                      <w:color w:val="auto"/>
                      <w:kern w:val="2"/>
                      <w:sz w:val="21"/>
                      <w:szCs w:val="21"/>
                      <w:lang w:val="en-US" w:eastAsia="zh-CN" w:bidi="ar-SA"/>
                    </w:rPr>
                  </w:pPr>
                  <w:r>
                    <w:rPr>
                      <w:rFonts w:hint="eastAsia" w:ascii="Times New Roman" w:hAnsi="Times New Roman"/>
                      <w:b w:val="0"/>
                      <w:bCs w:val="0"/>
                      <w:color w:val="auto"/>
                      <w:kern w:val="0"/>
                      <w:sz w:val="21"/>
                      <w:szCs w:val="21"/>
                      <w:lang w:eastAsia="zh-CN"/>
                    </w:rPr>
                    <w:t>新建</w:t>
                  </w:r>
                  <w:r>
                    <w:rPr>
                      <w:rFonts w:hint="eastAsia" w:ascii="Times New Roman" w:hAnsi="Times New Roman"/>
                      <w:b w:val="0"/>
                      <w:bCs w:val="0"/>
                      <w:color w:val="auto"/>
                      <w:kern w:val="0"/>
                      <w:sz w:val="21"/>
                      <w:szCs w:val="21"/>
                    </w:rPr>
                    <w:t>一般固废暂存间（面积为</w:t>
                  </w:r>
                  <w:r>
                    <w:rPr>
                      <w:rFonts w:hint="eastAsia"/>
                      <w:b w:val="0"/>
                      <w:bCs w:val="0"/>
                      <w:color w:val="auto"/>
                      <w:kern w:val="0"/>
                      <w:sz w:val="21"/>
                      <w:szCs w:val="21"/>
                      <w:lang w:val="en-US" w:eastAsia="zh-CN"/>
                    </w:rPr>
                    <w:t>10</w:t>
                  </w:r>
                  <w:r>
                    <w:rPr>
                      <w:rFonts w:hint="eastAsia" w:ascii="Times New Roman" w:hAnsi="Times New Roman"/>
                      <w:b w:val="0"/>
                      <w:bCs w:val="0"/>
                      <w:color w:val="auto"/>
                      <w:kern w:val="0"/>
                      <w:sz w:val="21"/>
                      <w:szCs w:val="21"/>
                    </w:rPr>
                    <w:t>m</w:t>
                  </w:r>
                  <w:r>
                    <w:rPr>
                      <w:rFonts w:hint="eastAsia" w:ascii="Times New Roman" w:hAnsi="Times New Roman"/>
                      <w:b w:val="0"/>
                      <w:bCs w:val="0"/>
                      <w:color w:val="auto"/>
                      <w:kern w:val="0"/>
                      <w:sz w:val="21"/>
                      <w:szCs w:val="21"/>
                      <w:vertAlign w:val="superscript"/>
                    </w:rPr>
                    <w:t>2</w:t>
                  </w:r>
                  <w:r>
                    <w:rPr>
                      <w:rFonts w:hint="eastAsia" w:ascii="Times New Roman" w:hAnsi="Times New Roman"/>
                      <w:b w:val="0"/>
                      <w:bCs w:val="0"/>
                      <w:color w:val="auto"/>
                      <w:kern w:val="0"/>
                      <w:sz w:val="21"/>
                      <w:szCs w:val="21"/>
                    </w:rPr>
                    <w:t>），</w:t>
                  </w:r>
                  <w:r>
                    <w:rPr>
                      <w:rFonts w:hint="eastAsia" w:ascii="Times New Roman" w:hAnsi="Times New Roman"/>
                      <w:b w:val="0"/>
                      <w:bCs w:val="0"/>
                      <w:color w:val="auto"/>
                      <w:kern w:val="0"/>
                      <w:sz w:val="21"/>
                      <w:szCs w:val="21"/>
                      <w:lang w:eastAsia="zh-CN"/>
                    </w:rPr>
                    <w:t>产生的废包装材料收集后在一般固废暂存间暂存，定期外售综合利用</w:t>
                  </w:r>
                  <w:r>
                    <w:rPr>
                      <w:rFonts w:hint="eastAsia" w:ascii="Times New Roman" w:cs="Times New Roman"/>
                      <w:b w:val="0"/>
                      <w:bCs w:val="0"/>
                      <w:color w:val="auto"/>
                      <w:sz w:val="21"/>
                      <w:szCs w:val="21"/>
                      <w:lang w:eastAsia="zh-CN"/>
                    </w:rPr>
                    <w:t>。</w:t>
                  </w:r>
                </w:p>
              </w:tc>
              <w:tc>
                <w:tcPr>
                  <w:tcW w:w="671" w:type="pct"/>
                  <w:noWrap w:val="0"/>
                  <w:vAlign w:val="center"/>
                </w:tcPr>
                <w:p w14:paraId="0E0A508E">
                  <w:pPr>
                    <w:widowControl/>
                    <w:spacing w:line="360" w:lineRule="exact"/>
                    <w:jc w:val="center"/>
                    <w:rPr>
                      <w:rFonts w:hint="default" w:ascii="Times New Roman" w:hAnsi="Times New Roman" w:eastAsia="宋体"/>
                      <w:b w:val="0"/>
                      <w:bCs w:val="0"/>
                      <w:color w:val="auto"/>
                      <w:sz w:val="21"/>
                      <w:szCs w:val="21"/>
                      <w:lang w:val="en-US" w:eastAsia="zh-CN"/>
                    </w:rPr>
                  </w:pPr>
                  <w:r>
                    <w:rPr>
                      <w:rFonts w:hint="eastAsia"/>
                      <w:b w:val="0"/>
                      <w:bCs w:val="0"/>
                      <w:color w:val="auto"/>
                      <w:sz w:val="21"/>
                      <w:szCs w:val="21"/>
                      <w:lang w:val="en-US" w:eastAsia="zh-CN"/>
                    </w:rPr>
                    <w:t>1</w:t>
                  </w:r>
                </w:p>
              </w:tc>
            </w:tr>
            <w:tr w14:paraId="45491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367" w:type="pct"/>
                  <w:vMerge w:val="continue"/>
                  <w:noWrap w:val="0"/>
                  <w:vAlign w:val="center"/>
                </w:tcPr>
                <w:p w14:paraId="33719DED">
                  <w:pPr>
                    <w:spacing w:line="360" w:lineRule="exact"/>
                    <w:jc w:val="center"/>
                    <w:rPr>
                      <w:rFonts w:ascii="Times New Roman" w:hAnsi="Times New Roman"/>
                      <w:b w:val="0"/>
                      <w:bCs w:val="0"/>
                      <w:color w:val="auto"/>
                      <w:sz w:val="21"/>
                      <w:szCs w:val="21"/>
                    </w:rPr>
                  </w:pPr>
                </w:p>
              </w:tc>
              <w:tc>
                <w:tcPr>
                  <w:tcW w:w="421" w:type="pct"/>
                  <w:vMerge w:val="continue"/>
                  <w:noWrap w:val="0"/>
                  <w:vAlign w:val="center"/>
                </w:tcPr>
                <w:p w14:paraId="7F1568A9">
                  <w:pPr>
                    <w:spacing w:line="360" w:lineRule="exact"/>
                    <w:jc w:val="center"/>
                    <w:rPr>
                      <w:rFonts w:ascii="Times New Roman" w:hAnsi="Times New Roman"/>
                      <w:b w:val="0"/>
                      <w:bCs w:val="0"/>
                      <w:color w:val="auto"/>
                      <w:sz w:val="21"/>
                      <w:szCs w:val="21"/>
                    </w:rPr>
                  </w:pPr>
                </w:p>
              </w:tc>
              <w:tc>
                <w:tcPr>
                  <w:tcW w:w="843" w:type="pct"/>
                  <w:noWrap w:val="0"/>
                  <w:vAlign w:val="center"/>
                </w:tcPr>
                <w:p w14:paraId="166357A8">
                  <w:pPr>
                    <w:spacing w:line="240" w:lineRule="auto"/>
                    <w:jc w:val="center"/>
                    <w:rPr>
                      <w:rFonts w:hint="eastAsia" w:ascii="Times New Roman" w:hAnsi="Times New Roman" w:eastAsia="宋体"/>
                      <w:b w:val="0"/>
                      <w:bCs w:val="0"/>
                      <w:color w:val="auto"/>
                      <w:kern w:val="0"/>
                      <w:sz w:val="21"/>
                      <w:szCs w:val="21"/>
                      <w:lang w:eastAsia="zh-CN"/>
                    </w:rPr>
                  </w:pPr>
                  <w:r>
                    <w:rPr>
                      <w:rFonts w:hint="eastAsia" w:ascii="Times New Roman" w:hAnsi="Times New Roman"/>
                      <w:b w:val="0"/>
                      <w:bCs w:val="0"/>
                      <w:color w:val="auto"/>
                      <w:kern w:val="0"/>
                      <w:sz w:val="21"/>
                      <w:szCs w:val="21"/>
                      <w:lang w:eastAsia="zh-CN"/>
                    </w:rPr>
                    <w:t>危险废物暂存间</w:t>
                  </w:r>
                </w:p>
              </w:tc>
              <w:tc>
                <w:tcPr>
                  <w:tcW w:w="2695" w:type="pct"/>
                  <w:noWrap w:val="0"/>
                  <w:vAlign w:val="center"/>
                </w:tcPr>
                <w:p w14:paraId="0045F4E7">
                  <w:pPr>
                    <w:spacing w:line="240" w:lineRule="auto"/>
                    <w:jc w:val="left"/>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lang w:val="en-US" w:eastAsia="zh-CN"/>
                    </w:rPr>
                    <w:t>新建危废暂存间</w:t>
                  </w:r>
                  <w:r>
                    <w:rPr>
                      <w:rFonts w:hint="eastAsia" w:ascii="Times New Roman" w:hAnsi="Times New Roman"/>
                      <w:b w:val="0"/>
                      <w:bCs w:val="0"/>
                      <w:color w:val="auto"/>
                      <w:kern w:val="0"/>
                      <w:sz w:val="21"/>
                      <w:szCs w:val="21"/>
                    </w:rPr>
                    <w:t>（面积为</w:t>
                  </w:r>
                  <w:r>
                    <w:rPr>
                      <w:rFonts w:hint="eastAsia"/>
                      <w:b w:val="0"/>
                      <w:bCs w:val="0"/>
                      <w:color w:val="auto"/>
                      <w:kern w:val="0"/>
                      <w:sz w:val="21"/>
                      <w:szCs w:val="21"/>
                      <w:lang w:val="en-US" w:eastAsia="zh-CN"/>
                    </w:rPr>
                    <w:t>5</w:t>
                  </w:r>
                  <w:r>
                    <w:rPr>
                      <w:rFonts w:hint="eastAsia" w:ascii="Times New Roman" w:hAnsi="Times New Roman"/>
                      <w:b w:val="0"/>
                      <w:bCs w:val="0"/>
                      <w:color w:val="auto"/>
                      <w:kern w:val="0"/>
                      <w:sz w:val="21"/>
                      <w:szCs w:val="21"/>
                    </w:rPr>
                    <w:t>m</w:t>
                  </w:r>
                  <w:r>
                    <w:rPr>
                      <w:rFonts w:hint="eastAsia" w:ascii="Times New Roman" w:hAnsi="Times New Roman"/>
                      <w:b w:val="0"/>
                      <w:bCs w:val="0"/>
                      <w:color w:val="auto"/>
                      <w:kern w:val="0"/>
                      <w:sz w:val="21"/>
                      <w:szCs w:val="21"/>
                      <w:vertAlign w:val="superscript"/>
                    </w:rPr>
                    <w:t>2</w:t>
                  </w:r>
                  <w:r>
                    <w:rPr>
                      <w:rFonts w:hint="eastAsia" w:ascii="Times New Roman" w:hAnsi="Times New Roman"/>
                      <w:b w:val="0"/>
                      <w:bCs w:val="0"/>
                      <w:color w:val="auto"/>
                      <w:kern w:val="0"/>
                      <w:sz w:val="21"/>
                      <w:szCs w:val="21"/>
                    </w:rPr>
                    <w:t>）</w:t>
                  </w:r>
                  <w:r>
                    <w:rPr>
                      <w:rFonts w:hint="eastAsia" w:ascii="Times New Roman" w:hAnsi="Times New Roman" w:eastAsia="宋体" w:cs="Times New Roman"/>
                      <w:b w:val="0"/>
                      <w:bCs w:val="0"/>
                      <w:color w:val="auto"/>
                      <w:sz w:val="21"/>
                      <w:szCs w:val="21"/>
                      <w:lang w:val="en-US" w:eastAsia="zh-CN"/>
                    </w:rPr>
                    <w:t>，</w:t>
                  </w:r>
                  <w:r>
                    <w:rPr>
                      <w:rFonts w:hint="eastAsia" w:ascii="Times New Roman" w:hAnsi="Times New Roman"/>
                      <w:b w:val="0"/>
                      <w:bCs w:val="0"/>
                      <w:color w:val="auto"/>
                      <w:kern w:val="0"/>
                      <w:sz w:val="21"/>
                      <w:szCs w:val="21"/>
                      <w:lang w:eastAsia="zh-CN"/>
                    </w:rPr>
                    <w:t>废活性炭、废矿物油、废油桶经收集后暂存于危险废物暂存</w:t>
                  </w:r>
                  <w:r>
                    <w:rPr>
                      <w:rFonts w:hint="eastAsia" w:ascii="Times New Roman" w:hAnsi="Times New Roman"/>
                      <w:b w:val="0"/>
                      <w:bCs w:val="0"/>
                      <w:color w:val="auto"/>
                      <w:kern w:val="0"/>
                      <w:sz w:val="21"/>
                      <w:szCs w:val="21"/>
                      <w:lang w:val="en-US" w:eastAsia="zh-CN"/>
                    </w:rPr>
                    <w:t>间</w:t>
                  </w:r>
                  <w:r>
                    <w:rPr>
                      <w:rFonts w:hint="eastAsia" w:ascii="Times New Roman" w:hAnsi="Times New Roman"/>
                      <w:b w:val="0"/>
                      <w:bCs w:val="0"/>
                      <w:color w:val="auto"/>
                      <w:kern w:val="0"/>
                      <w:sz w:val="21"/>
                      <w:szCs w:val="21"/>
                      <w:lang w:eastAsia="zh-CN"/>
                    </w:rPr>
                    <w:t>，</w:t>
                  </w:r>
                  <w:r>
                    <w:rPr>
                      <w:rFonts w:hint="eastAsia" w:ascii="Times New Roman" w:hAnsi="Times New Roman"/>
                      <w:b w:val="0"/>
                      <w:bCs w:val="0"/>
                      <w:color w:val="auto"/>
                      <w:kern w:val="0"/>
                      <w:sz w:val="21"/>
                      <w:szCs w:val="21"/>
                      <w:lang w:val="en-US" w:eastAsia="zh-CN"/>
                    </w:rPr>
                    <w:t>定期</w:t>
                  </w:r>
                  <w:r>
                    <w:rPr>
                      <w:rFonts w:hint="eastAsia" w:ascii="Times New Roman" w:hAnsi="Times New Roman"/>
                      <w:b w:val="0"/>
                      <w:bCs w:val="0"/>
                      <w:color w:val="auto"/>
                      <w:kern w:val="0"/>
                      <w:sz w:val="21"/>
                      <w:szCs w:val="21"/>
                      <w:lang w:eastAsia="zh-CN"/>
                    </w:rPr>
                    <w:t>由有资质单位进行处理</w:t>
                  </w:r>
                  <w:r>
                    <w:rPr>
                      <w:rFonts w:hint="eastAsia" w:ascii="Times New Roman" w:hAnsi="Times New Roman" w:eastAsia="宋体" w:cs="Times New Roman"/>
                      <w:b w:val="0"/>
                      <w:bCs w:val="0"/>
                      <w:color w:val="auto"/>
                      <w:sz w:val="21"/>
                      <w:szCs w:val="21"/>
                      <w:lang w:val="en-US" w:eastAsia="zh-CN"/>
                    </w:rPr>
                    <w:t>。</w:t>
                  </w:r>
                </w:p>
              </w:tc>
              <w:tc>
                <w:tcPr>
                  <w:tcW w:w="671" w:type="pct"/>
                  <w:noWrap w:val="0"/>
                  <w:vAlign w:val="center"/>
                </w:tcPr>
                <w:p w14:paraId="57020C7D">
                  <w:pPr>
                    <w:widowControl/>
                    <w:spacing w:line="360" w:lineRule="exact"/>
                    <w:jc w:val="center"/>
                    <w:rPr>
                      <w:rFonts w:hint="default" w:ascii="Times New Roman" w:hAnsi="Times New Roman" w:eastAsia="宋体"/>
                      <w:b w:val="0"/>
                      <w:bCs w:val="0"/>
                      <w:color w:val="auto"/>
                      <w:sz w:val="21"/>
                      <w:szCs w:val="21"/>
                      <w:lang w:val="en-US" w:eastAsia="zh-CN"/>
                    </w:rPr>
                  </w:pPr>
                  <w:r>
                    <w:rPr>
                      <w:rFonts w:hint="eastAsia"/>
                      <w:b w:val="0"/>
                      <w:bCs w:val="0"/>
                      <w:color w:val="auto"/>
                      <w:sz w:val="21"/>
                      <w:szCs w:val="21"/>
                      <w:lang w:val="en-US" w:eastAsia="zh-CN"/>
                    </w:rPr>
                    <w:t>2</w:t>
                  </w:r>
                </w:p>
              </w:tc>
            </w:tr>
            <w:tr w14:paraId="559E1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4" w:hRule="atLeast"/>
                <w:jc w:val="center"/>
              </w:trPr>
              <w:tc>
                <w:tcPr>
                  <w:tcW w:w="367" w:type="pct"/>
                  <w:noWrap w:val="0"/>
                  <w:vAlign w:val="center"/>
                </w:tcPr>
                <w:p w14:paraId="67B13B6D">
                  <w:pPr>
                    <w:spacing w:line="360" w:lineRule="exact"/>
                    <w:jc w:val="center"/>
                    <w:rPr>
                      <w:rFonts w:hint="eastAsia" w:ascii="Times New Roman" w:hAnsi="Times New Roman"/>
                      <w:b w:val="0"/>
                      <w:bCs w:val="0"/>
                      <w:color w:val="auto"/>
                      <w:sz w:val="21"/>
                      <w:szCs w:val="21"/>
                    </w:rPr>
                  </w:pPr>
                  <w:r>
                    <w:rPr>
                      <w:rFonts w:hint="eastAsia" w:ascii="Times New Roman" w:hAnsi="Times New Roman"/>
                      <w:b w:val="0"/>
                      <w:bCs w:val="0"/>
                      <w:color w:val="auto"/>
                      <w:sz w:val="21"/>
                      <w:szCs w:val="21"/>
                    </w:rPr>
                    <w:t>5</w:t>
                  </w:r>
                </w:p>
              </w:tc>
              <w:tc>
                <w:tcPr>
                  <w:tcW w:w="421" w:type="pct"/>
                  <w:noWrap w:val="0"/>
                  <w:vAlign w:val="center"/>
                </w:tcPr>
                <w:p w14:paraId="4CCB29FD">
                  <w:pPr>
                    <w:spacing w:line="360" w:lineRule="exact"/>
                    <w:jc w:val="center"/>
                    <w:rPr>
                      <w:rFonts w:ascii="Times New Roman" w:hAnsi="Times New Roman"/>
                      <w:b w:val="0"/>
                      <w:bCs w:val="0"/>
                      <w:color w:val="auto"/>
                      <w:sz w:val="21"/>
                      <w:szCs w:val="21"/>
                    </w:rPr>
                  </w:pPr>
                  <w:r>
                    <w:rPr>
                      <w:rFonts w:ascii="Times New Roman" w:hAnsi="Times New Roman"/>
                      <w:b w:val="0"/>
                      <w:bCs w:val="0"/>
                      <w:color w:val="auto"/>
                      <w:sz w:val="21"/>
                      <w:szCs w:val="21"/>
                    </w:rPr>
                    <w:t>地下水防渗</w:t>
                  </w:r>
                </w:p>
              </w:tc>
              <w:tc>
                <w:tcPr>
                  <w:tcW w:w="3539" w:type="pct"/>
                  <w:gridSpan w:val="2"/>
                  <w:noWrap w:val="0"/>
                  <w:vAlign w:val="center"/>
                </w:tcPr>
                <w:p w14:paraId="4BB80216">
                  <w:pPr>
                    <w:adjustRightInd w:val="0"/>
                    <w:snapToGrid w:val="0"/>
                    <w:jc w:val="left"/>
                    <w:rPr>
                      <w:rFonts w:hint="eastAsia" w:ascii="Times New Roman" w:hAnsi="Times New Roman" w:eastAsia="宋体" w:cs="Times New Roman"/>
                      <w:b w:val="0"/>
                      <w:bCs w:val="0"/>
                      <w:i w:val="0"/>
                      <w:iCs w:val="0"/>
                      <w:color w:val="auto"/>
                      <w:kern w:val="2"/>
                      <w:sz w:val="21"/>
                      <w:szCs w:val="21"/>
                      <w:u w:val="none"/>
                      <w:lang w:val="en-US" w:eastAsia="zh-CN" w:bidi="ar-SA"/>
                    </w:rPr>
                  </w:pPr>
                  <w:r>
                    <w:rPr>
                      <w:rFonts w:hint="eastAsia"/>
                      <w:b w:val="0"/>
                      <w:bCs w:val="0"/>
                      <w:color w:val="auto"/>
                      <w:sz w:val="21"/>
                      <w:szCs w:val="21"/>
                    </w:rPr>
                    <w:t>危废暂存间</w:t>
                  </w:r>
                  <w:r>
                    <w:rPr>
                      <w:rFonts w:hint="eastAsia"/>
                      <w:b w:val="0"/>
                      <w:bCs w:val="0"/>
                      <w:color w:val="auto"/>
                      <w:sz w:val="21"/>
                      <w:szCs w:val="21"/>
                      <w:lang w:val="en-US" w:eastAsia="zh-CN"/>
                    </w:rPr>
                    <w:t>为</w:t>
                  </w:r>
                  <w:r>
                    <w:rPr>
                      <w:rFonts w:hint="eastAsia"/>
                      <w:b w:val="0"/>
                      <w:bCs w:val="0"/>
                      <w:color w:val="auto"/>
                      <w:sz w:val="21"/>
                      <w:szCs w:val="21"/>
                    </w:rPr>
                    <w:t>重点防渗区域，基础底部夯实，上面铺装防渗层，等效黏土防渗层厚度≥6m，渗透系数≤10</w:t>
                  </w:r>
                  <w:r>
                    <w:rPr>
                      <w:rFonts w:hint="eastAsia"/>
                      <w:b w:val="0"/>
                      <w:bCs w:val="0"/>
                      <w:color w:val="auto"/>
                      <w:sz w:val="21"/>
                      <w:szCs w:val="21"/>
                      <w:vertAlign w:val="superscript"/>
                    </w:rPr>
                    <w:t>-7</w:t>
                  </w:r>
                  <w:r>
                    <w:rPr>
                      <w:rFonts w:hint="eastAsia"/>
                      <w:b w:val="0"/>
                      <w:bCs w:val="0"/>
                      <w:color w:val="auto"/>
                      <w:sz w:val="21"/>
                      <w:szCs w:val="21"/>
                    </w:rPr>
                    <w:t>cm/s</w:t>
                  </w:r>
                  <w:r>
                    <w:rPr>
                      <w:rFonts w:hint="eastAsia"/>
                      <w:b w:val="0"/>
                      <w:bCs w:val="0"/>
                      <w:color w:val="auto"/>
                      <w:sz w:val="21"/>
                      <w:szCs w:val="21"/>
                      <w:lang w:eastAsia="zh-CN"/>
                    </w:rPr>
                    <w:t>；</w:t>
                  </w:r>
                  <w:r>
                    <w:rPr>
                      <w:rFonts w:hint="eastAsia"/>
                      <w:b w:val="0"/>
                      <w:bCs w:val="0"/>
                      <w:color w:val="auto"/>
                      <w:sz w:val="21"/>
                      <w:szCs w:val="21"/>
                    </w:rPr>
                    <w:t>对</w:t>
                  </w:r>
                  <w:r>
                    <w:rPr>
                      <w:rFonts w:hint="eastAsia"/>
                      <w:b w:val="0"/>
                      <w:bCs w:val="0"/>
                      <w:color w:val="auto"/>
                      <w:sz w:val="21"/>
                      <w:szCs w:val="21"/>
                      <w:lang w:eastAsia="zh-CN"/>
                    </w:rPr>
                    <w:t>生产车间、</w:t>
                  </w:r>
                  <w:r>
                    <w:rPr>
                      <w:rFonts w:hint="eastAsia"/>
                      <w:b w:val="0"/>
                      <w:bCs w:val="0"/>
                      <w:color w:val="auto"/>
                      <w:sz w:val="21"/>
                      <w:szCs w:val="21"/>
                      <w:lang w:val="en-US" w:eastAsia="zh-CN"/>
                    </w:rPr>
                    <w:t>循环水池、化粪池</w:t>
                  </w:r>
                  <w:r>
                    <w:rPr>
                      <w:rFonts w:hint="eastAsia"/>
                      <w:b w:val="0"/>
                      <w:bCs w:val="0"/>
                      <w:color w:val="auto"/>
                      <w:sz w:val="21"/>
                      <w:szCs w:val="21"/>
                    </w:rPr>
                    <w:t>等一般防渗区采取基底夯实、基础防渗及表层硬化措施，等效黏土防渗层厚度≥1.5m，渗透系数≤10</w:t>
                  </w:r>
                  <w:r>
                    <w:rPr>
                      <w:rFonts w:hint="eastAsia"/>
                      <w:b w:val="0"/>
                      <w:bCs w:val="0"/>
                      <w:color w:val="auto"/>
                      <w:sz w:val="21"/>
                      <w:szCs w:val="21"/>
                      <w:vertAlign w:val="superscript"/>
                    </w:rPr>
                    <w:t>-7</w:t>
                  </w:r>
                  <w:r>
                    <w:rPr>
                      <w:rFonts w:hint="eastAsia"/>
                      <w:b w:val="0"/>
                      <w:bCs w:val="0"/>
                      <w:color w:val="auto"/>
                      <w:sz w:val="21"/>
                      <w:szCs w:val="21"/>
                    </w:rPr>
                    <w:t>cm/s。简单防渗区主要为</w:t>
                  </w:r>
                  <w:r>
                    <w:rPr>
                      <w:rFonts w:hint="eastAsia"/>
                      <w:b w:val="0"/>
                      <w:bCs w:val="0"/>
                      <w:color w:val="auto"/>
                      <w:sz w:val="21"/>
                      <w:szCs w:val="21"/>
                      <w:lang w:val="en-US" w:eastAsia="zh-CN"/>
                    </w:rPr>
                    <w:t>成品仓库</w:t>
                  </w:r>
                  <w:r>
                    <w:rPr>
                      <w:rFonts w:hint="eastAsia"/>
                      <w:b w:val="0"/>
                      <w:bCs w:val="0"/>
                      <w:color w:val="auto"/>
                      <w:sz w:val="21"/>
                      <w:szCs w:val="21"/>
                    </w:rPr>
                    <w:t>、办公生活区等，进行地面硬化处理。</w:t>
                  </w:r>
                </w:p>
              </w:tc>
              <w:tc>
                <w:tcPr>
                  <w:tcW w:w="671" w:type="pct"/>
                  <w:noWrap w:val="0"/>
                  <w:vAlign w:val="center"/>
                </w:tcPr>
                <w:p w14:paraId="4AB4D210">
                  <w:pPr>
                    <w:widowControl/>
                    <w:spacing w:line="360" w:lineRule="exact"/>
                    <w:jc w:val="center"/>
                    <w:rPr>
                      <w:rFonts w:hint="default" w:ascii="Times New Roman" w:hAnsi="Times New Roman"/>
                      <w:b w:val="0"/>
                      <w:bCs w:val="0"/>
                      <w:color w:val="auto"/>
                      <w:sz w:val="21"/>
                      <w:szCs w:val="21"/>
                      <w:lang w:val="en-US" w:eastAsia="zh-CN"/>
                    </w:rPr>
                  </w:pPr>
                  <w:r>
                    <w:rPr>
                      <w:rFonts w:hint="eastAsia" w:ascii="Times New Roman" w:hAnsi="Times New Roman"/>
                      <w:b w:val="0"/>
                      <w:bCs w:val="0"/>
                      <w:color w:val="auto"/>
                      <w:sz w:val="21"/>
                      <w:szCs w:val="21"/>
                      <w:lang w:val="en-US" w:eastAsia="zh-CN"/>
                    </w:rPr>
                    <w:t>5</w:t>
                  </w:r>
                </w:p>
              </w:tc>
            </w:tr>
            <w:tr w14:paraId="29398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367" w:type="pct"/>
                  <w:noWrap w:val="0"/>
                  <w:vAlign w:val="center"/>
                </w:tcPr>
                <w:p w14:paraId="17E1D173">
                  <w:pPr>
                    <w:spacing w:line="360" w:lineRule="exact"/>
                    <w:jc w:val="center"/>
                    <w:rPr>
                      <w:rFonts w:hint="eastAsia" w:ascii="Times New Roman" w:hAnsi="Times New Roman"/>
                      <w:b w:val="0"/>
                      <w:bCs w:val="0"/>
                      <w:color w:val="auto"/>
                      <w:sz w:val="21"/>
                      <w:szCs w:val="21"/>
                    </w:rPr>
                  </w:pPr>
                  <w:r>
                    <w:rPr>
                      <w:rFonts w:hint="eastAsia" w:ascii="Times New Roman" w:hAnsi="Times New Roman"/>
                      <w:b w:val="0"/>
                      <w:bCs w:val="0"/>
                      <w:color w:val="auto"/>
                      <w:sz w:val="21"/>
                      <w:szCs w:val="21"/>
                    </w:rPr>
                    <w:t>6</w:t>
                  </w:r>
                </w:p>
              </w:tc>
              <w:tc>
                <w:tcPr>
                  <w:tcW w:w="421" w:type="pct"/>
                  <w:noWrap w:val="0"/>
                  <w:vAlign w:val="center"/>
                </w:tcPr>
                <w:p w14:paraId="51209105">
                  <w:pPr>
                    <w:autoSpaceDE w:val="0"/>
                    <w:autoSpaceDN w:val="0"/>
                    <w:adjustRightInd w:val="0"/>
                    <w:spacing w:line="240" w:lineRule="auto"/>
                    <w:jc w:val="center"/>
                    <w:rPr>
                      <w:rFonts w:ascii="Times New Roman" w:hAnsi="Times New Roman"/>
                      <w:b w:val="0"/>
                      <w:bCs w:val="0"/>
                      <w:color w:val="auto"/>
                      <w:sz w:val="21"/>
                      <w:szCs w:val="21"/>
                    </w:rPr>
                  </w:pPr>
                  <w:r>
                    <w:rPr>
                      <w:rFonts w:hint="eastAsia" w:ascii="Times New Roman"/>
                      <w:b w:val="0"/>
                      <w:bCs w:val="0"/>
                      <w:color w:val="auto"/>
                      <w:sz w:val="21"/>
                      <w:szCs w:val="21"/>
                      <w:lang w:val="zh-CN"/>
                    </w:rPr>
                    <w:t>风险防范措施</w:t>
                  </w:r>
                </w:p>
              </w:tc>
              <w:tc>
                <w:tcPr>
                  <w:tcW w:w="3539" w:type="pct"/>
                  <w:gridSpan w:val="2"/>
                  <w:noWrap w:val="0"/>
                  <w:vAlign w:val="center"/>
                </w:tcPr>
                <w:p w14:paraId="2052D0D1">
                  <w:pPr>
                    <w:spacing w:line="240" w:lineRule="auto"/>
                    <w:jc w:val="left"/>
                    <w:rPr>
                      <w:rFonts w:hint="eastAsia" w:ascii="Times New Roman" w:hAnsi="Times New Roman" w:cs="Times New Roman"/>
                      <w:b w:val="0"/>
                      <w:bCs w:val="0"/>
                      <w:color w:val="auto"/>
                      <w:kern w:val="0"/>
                      <w:sz w:val="21"/>
                      <w:szCs w:val="21"/>
                    </w:rPr>
                  </w:pPr>
                  <w:r>
                    <w:rPr>
                      <w:rFonts w:hint="eastAsia" w:ascii="Times New Roman" w:hAnsi="Times New Roman" w:cs="Times New Roman"/>
                      <w:b w:val="0"/>
                      <w:bCs w:val="0"/>
                      <w:color w:val="auto"/>
                      <w:sz w:val="21"/>
                      <w:szCs w:val="21"/>
                      <w:lang w:val="zh-CN"/>
                    </w:rPr>
                    <w:t>加强环境风险管理，严格遵守有关防爆、防火规章制度，加强岗位责任制，避免失误操作，进一步完善事故风险防范措施，并备有应急响应所需的物资；加强废气污染处理设施的运行和管理，保证其正常运行，杜绝事故性排放。</w:t>
                  </w:r>
                  <w:r>
                    <w:rPr>
                      <w:rFonts w:hint="eastAsia" w:ascii="Times New Roman" w:hAnsi="Times New Roman" w:cs="Times New Roman"/>
                      <w:b w:val="0"/>
                      <w:bCs w:val="0"/>
                      <w:color w:val="auto"/>
                      <w:sz w:val="21"/>
                      <w:szCs w:val="21"/>
                      <w:lang w:val="zh-CN" w:eastAsia="zh-CN"/>
                    </w:rPr>
                    <w:t>辅料仓库、危废暂存间设置围堰、导流沟及收集池，油品存放配备防泄漏托盘</w:t>
                  </w:r>
                  <w:r>
                    <w:rPr>
                      <w:rFonts w:ascii="Times New Roman" w:hAnsi="Times New Roman" w:cs="Times New Roman"/>
                      <w:b w:val="0"/>
                      <w:bCs w:val="0"/>
                      <w:color w:val="auto"/>
                      <w:sz w:val="21"/>
                      <w:szCs w:val="21"/>
                      <w:lang w:val="zh-CN"/>
                    </w:rPr>
                    <w:t>。</w:t>
                  </w:r>
                </w:p>
              </w:tc>
              <w:tc>
                <w:tcPr>
                  <w:tcW w:w="671" w:type="pct"/>
                  <w:noWrap w:val="0"/>
                  <w:vAlign w:val="center"/>
                </w:tcPr>
                <w:p w14:paraId="613B0A81">
                  <w:pPr>
                    <w:widowControl/>
                    <w:spacing w:line="360" w:lineRule="exact"/>
                    <w:jc w:val="center"/>
                    <w:rPr>
                      <w:rFonts w:hint="default" w:ascii="Times New Roman" w:hAnsi="Times New Roman" w:eastAsia="宋体"/>
                      <w:b w:val="0"/>
                      <w:bCs w:val="0"/>
                      <w:color w:val="auto"/>
                      <w:sz w:val="21"/>
                      <w:szCs w:val="21"/>
                      <w:lang w:val="en-US" w:eastAsia="zh-CN"/>
                    </w:rPr>
                  </w:pPr>
                  <w:r>
                    <w:rPr>
                      <w:rFonts w:hint="eastAsia" w:ascii="Times New Roman" w:hAnsi="Times New Roman"/>
                      <w:b w:val="0"/>
                      <w:bCs w:val="0"/>
                      <w:color w:val="auto"/>
                      <w:sz w:val="21"/>
                      <w:szCs w:val="21"/>
                      <w:lang w:val="en-US" w:eastAsia="zh-CN"/>
                    </w:rPr>
                    <w:t>3</w:t>
                  </w:r>
                </w:p>
              </w:tc>
            </w:tr>
            <w:tr w14:paraId="6FD46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4328" w:type="pct"/>
                  <w:gridSpan w:val="4"/>
                  <w:noWrap w:val="0"/>
                  <w:vAlign w:val="center"/>
                </w:tcPr>
                <w:p w14:paraId="579068B7">
                  <w:pPr>
                    <w:spacing w:line="360" w:lineRule="exact"/>
                    <w:jc w:val="center"/>
                    <w:rPr>
                      <w:rFonts w:ascii="Times New Roman" w:hAnsi="Times New Roman" w:cs="Times New Roman"/>
                      <w:b w:val="0"/>
                      <w:bCs w:val="0"/>
                      <w:color w:val="auto"/>
                      <w:sz w:val="21"/>
                      <w:szCs w:val="21"/>
                    </w:rPr>
                  </w:pPr>
                  <w:r>
                    <w:rPr>
                      <w:rFonts w:hint="eastAsia" w:ascii="Times New Roman" w:hAnsi="Times New Roman" w:cs="Times New Roman"/>
                      <w:b w:val="0"/>
                      <w:bCs w:val="0"/>
                      <w:color w:val="auto"/>
                      <w:sz w:val="21"/>
                      <w:szCs w:val="21"/>
                    </w:rPr>
                    <w:t>合计</w:t>
                  </w:r>
                </w:p>
              </w:tc>
              <w:tc>
                <w:tcPr>
                  <w:tcW w:w="671" w:type="pct"/>
                  <w:noWrap w:val="0"/>
                  <w:vAlign w:val="center"/>
                </w:tcPr>
                <w:p w14:paraId="341AA7C2">
                  <w:pPr>
                    <w:widowControl/>
                    <w:spacing w:line="360" w:lineRule="exact"/>
                    <w:jc w:val="center"/>
                    <w:rPr>
                      <w:rFonts w:hint="default" w:ascii="Times New Roman" w:hAnsi="Times New Roman" w:eastAsia="宋体"/>
                      <w:b w:val="0"/>
                      <w:bCs w:val="0"/>
                      <w:color w:val="auto"/>
                      <w:sz w:val="21"/>
                      <w:szCs w:val="21"/>
                      <w:lang w:val="en-US" w:eastAsia="zh-CN"/>
                    </w:rPr>
                  </w:pPr>
                  <w:r>
                    <w:rPr>
                      <w:rFonts w:hint="eastAsia"/>
                      <w:b w:val="0"/>
                      <w:bCs w:val="0"/>
                      <w:color w:val="auto"/>
                      <w:sz w:val="21"/>
                      <w:szCs w:val="21"/>
                      <w:lang w:val="en-US" w:eastAsia="zh-CN"/>
                    </w:rPr>
                    <w:t>54</w:t>
                  </w:r>
                </w:p>
              </w:tc>
            </w:tr>
          </w:tbl>
          <w:p w14:paraId="0DB6D6A9">
            <w:pPr>
              <w:bidi w:val="0"/>
              <w:jc w:val="both"/>
              <w:rPr>
                <w:rFonts w:hint="default" w:ascii="Times New Roman" w:hAnsi="Times New Roman" w:cs="Times New Roman"/>
                <w:color w:val="0000FF"/>
                <w:vertAlign w:val="baseline"/>
              </w:rPr>
            </w:pPr>
          </w:p>
          <w:p w14:paraId="783ABECF">
            <w:pPr>
              <w:pStyle w:val="11"/>
              <w:jc w:val="both"/>
              <w:rPr>
                <w:rFonts w:hint="default" w:ascii="Times New Roman" w:hAnsi="Times New Roman" w:cs="Times New Roman"/>
                <w:color w:val="0000FF"/>
                <w:vertAlign w:val="baseline"/>
              </w:rPr>
            </w:pPr>
          </w:p>
          <w:p w14:paraId="32BEA2AF">
            <w:pPr>
              <w:jc w:val="both"/>
              <w:rPr>
                <w:rFonts w:hint="default" w:ascii="Times New Roman" w:hAnsi="Times New Roman" w:cs="Times New Roman"/>
                <w:color w:val="0000FF"/>
                <w:vertAlign w:val="baseline"/>
              </w:rPr>
            </w:pPr>
          </w:p>
          <w:p w14:paraId="38DF5DBE">
            <w:pPr>
              <w:pStyle w:val="11"/>
              <w:jc w:val="both"/>
              <w:rPr>
                <w:rFonts w:hint="default"/>
              </w:rPr>
            </w:pPr>
          </w:p>
          <w:p w14:paraId="3FA7D4B1">
            <w:pPr>
              <w:bidi w:val="0"/>
              <w:jc w:val="both"/>
              <w:rPr>
                <w:rFonts w:hint="default" w:ascii="Times New Roman" w:hAnsi="Times New Roman" w:cs="Times New Roman"/>
                <w:color w:val="0000FF"/>
                <w:vertAlign w:val="baseline"/>
              </w:rPr>
            </w:pPr>
          </w:p>
        </w:tc>
      </w:tr>
    </w:tbl>
    <w:p w14:paraId="4E358B87">
      <w:pPr>
        <w:rPr>
          <w:rFonts w:hint="eastAsia" w:ascii="宋体" w:hAnsi="宋体" w:eastAsia="宋体" w:cs="宋体"/>
          <w:sz w:val="32"/>
          <w:szCs w:val="32"/>
        </w:rPr>
      </w:pPr>
      <w:bookmarkStart w:id="18" w:name="_Toc11174"/>
      <w:r>
        <w:rPr>
          <w:rFonts w:hint="eastAsia" w:ascii="宋体" w:hAnsi="宋体" w:eastAsia="宋体" w:cs="宋体"/>
          <w:sz w:val="32"/>
          <w:szCs w:val="32"/>
        </w:rPr>
        <w:br w:type="page"/>
      </w:r>
    </w:p>
    <w:p w14:paraId="46A3233D">
      <w:pPr>
        <w:pStyle w:val="2"/>
        <w:bidi w:val="0"/>
        <w:rPr>
          <w:rFonts w:hint="eastAsia" w:ascii="宋体" w:hAnsi="宋体" w:eastAsia="宋体" w:cs="宋体"/>
          <w:sz w:val="32"/>
          <w:szCs w:val="32"/>
        </w:rPr>
      </w:pPr>
      <w:r>
        <w:rPr>
          <w:rFonts w:hint="eastAsia" w:ascii="宋体" w:hAnsi="宋体" w:eastAsia="宋体" w:cs="宋体"/>
          <w:sz w:val="32"/>
          <w:szCs w:val="32"/>
        </w:rPr>
        <w:t>五、环境保护措施监督检查清单</w:t>
      </w:r>
      <w:bookmarkEnd w:id="18"/>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87"/>
        <w:gridCol w:w="1329"/>
        <w:gridCol w:w="1477"/>
        <w:gridCol w:w="2243"/>
        <w:gridCol w:w="2764"/>
      </w:tblGrid>
      <w:tr w14:paraId="7FE16D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87" w:type="dxa"/>
            <w:tcBorders>
              <w:tl2br w:val="single" w:color="auto" w:sz="4" w:space="0"/>
            </w:tcBorders>
            <w:noWrap w:val="0"/>
            <w:vAlign w:val="top"/>
          </w:tcPr>
          <w:p w14:paraId="58625394">
            <w:pPr>
              <w:adjustRightInd w:val="0"/>
              <w:snapToGrid w:val="0"/>
              <w:jc w:val="right"/>
              <w:rPr>
                <w:b w:val="0"/>
                <w:bCs w:val="0"/>
                <w:color w:val="auto"/>
                <w:sz w:val="24"/>
                <w:szCs w:val="24"/>
              </w:rPr>
            </w:pPr>
            <w:r>
              <w:rPr>
                <w:b w:val="0"/>
                <w:bCs w:val="0"/>
                <w:color w:val="auto"/>
                <w:sz w:val="24"/>
                <w:szCs w:val="24"/>
              </w:rPr>
              <w:t>内容</w:t>
            </w:r>
          </w:p>
          <w:p w14:paraId="55A05DAC">
            <w:pPr>
              <w:adjustRightInd w:val="0"/>
              <w:snapToGrid w:val="0"/>
              <w:rPr>
                <w:b w:val="0"/>
                <w:bCs w:val="0"/>
                <w:color w:val="auto"/>
                <w:sz w:val="24"/>
                <w:szCs w:val="24"/>
              </w:rPr>
            </w:pPr>
          </w:p>
          <w:p w14:paraId="78DB024D">
            <w:pPr>
              <w:adjustRightInd w:val="0"/>
              <w:snapToGrid w:val="0"/>
              <w:rPr>
                <w:b w:val="0"/>
                <w:bCs w:val="0"/>
                <w:color w:val="auto"/>
                <w:sz w:val="24"/>
                <w:szCs w:val="24"/>
              </w:rPr>
            </w:pPr>
          </w:p>
          <w:p w14:paraId="1FB66C5A">
            <w:pPr>
              <w:adjustRightInd w:val="0"/>
              <w:snapToGrid w:val="0"/>
              <w:rPr>
                <w:b w:val="0"/>
                <w:bCs w:val="0"/>
                <w:color w:val="auto"/>
                <w:sz w:val="24"/>
                <w:szCs w:val="24"/>
              </w:rPr>
            </w:pPr>
            <w:r>
              <w:rPr>
                <w:b w:val="0"/>
                <w:bCs w:val="0"/>
                <w:color w:val="auto"/>
                <w:sz w:val="24"/>
                <w:szCs w:val="24"/>
              </w:rPr>
              <w:t>要素</w:t>
            </w:r>
          </w:p>
        </w:tc>
        <w:tc>
          <w:tcPr>
            <w:tcW w:w="1329" w:type="dxa"/>
            <w:noWrap w:val="0"/>
            <w:vAlign w:val="center"/>
          </w:tcPr>
          <w:p w14:paraId="3D3191F9">
            <w:pPr>
              <w:adjustRightInd w:val="0"/>
              <w:snapToGrid w:val="0"/>
              <w:jc w:val="center"/>
              <w:rPr>
                <w:b w:val="0"/>
                <w:bCs w:val="0"/>
                <w:color w:val="auto"/>
                <w:sz w:val="24"/>
                <w:szCs w:val="24"/>
              </w:rPr>
            </w:pPr>
            <w:r>
              <w:rPr>
                <w:b w:val="0"/>
                <w:bCs w:val="0"/>
                <w:color w:val="auto"/>
                <w:sz w:val="24"/>
                <w:szCs w:val="24"/>
              </w:rPr>
              <w:t>排放口(编号、名称)/污染源</w:t>
            </w:r>
          </w:p>
        </w:tc>
        <w:tc>
          <w:tcPr>
            <w:tcW w:w="1477" w:type="dxa"/>
            <w:noWrap w:val="0"/>
            <w:vAlign w:val="center"/>
          </w:tcPr>
          <w:p w14:paraId="66DB7D9B">
            <w:pPr>
              <w:adjustRightInd w:val="0"/>
              <w:snapToGrid w:val="0"/>
              <w:jc w:val="center"/>
              <w:rPr>
                <w:b w:val="0"/>
                <w:bCs w:val="0"/>
                <w:color w:val="auto"/>
                <w:sz w:val="24"/>
                <w:szCs w:val="24"/>
              </w:rPr>
            </w:pPr>
            <w:r>
              <w:rPr>
                <w:b w:val="0"/>
                <w:bCs w:val="0"/>
                <w:color w:val="auto"/>
                <w:sz w:val="24"/>
                <w:szCs w:val="24"/>
              </w:rPr>
              <w:t>污染物项目</w:t>
            </w:r>
          </w:p>
        </w:tc>
        <w:tc>
          <w:tcPr>
            <w:tcW w:w="2243" w:type="dxa"/>
            <w:noWrap w:val="0"/>
            <w:vAlign w:val="center"/>
          </w:tcPr>
          <w:p w14:paraId="19242ABD">
            <w:pPr>
              <w:adjustRightInd w:val="0"/>
              <w:snapToGrid w:val="0"/>
              <w:jc w:val="center"/>
              <w:rPr>
                <w:b w:val="0"/>
                <w:bCs w:val="0"/>
                <w:color w:val="auto"/>
                <w:sz w:val="24"/>
                <w:szCs w:val="24"/>
              </w:rPr>
            </w:pPr>
            <w:r>
              <w:rPr>
                <w:b w:val="0"/>
                <w:bCs w:val="0"/>
                <w:color w:val="auto"/>
                <w:sz w:val="24"/>
                <w:szCs w:val="24"/>
              </w:rPr>
              <w:t>环境保护措施</w:t>
            </w:r>
          </w:p>
        </w:tc>
        <w:tc>
          <w:tcPr>
            <w:tcW w:w="2764" w:type="dxa"/>
            <w:noWrap w:val="0"/>
            <w:vAlign w:val="center"/>
          </w:tcPr>
          <w:p w14:paraId="252B0902">
            <w:pPr>
              <w:adjustRightInd w:val="0"/>
              <w:snapToGrid w:val="0"/>
              <w:jc w:val="center"/>
              <w:rPr>
                <w:b w:val="0"/>
                <w:bCs w:val="0"/>
                <w:color w:val="auto"/>
                <w:sz w:val="24"/>
                <w:szCs w:val="24"/>
              </w:rPr>
            </w:pPr>
            <w:r>
              <w:rPr>
                <w:b w:val="0"/>
                <w:bCs w:val="0"/>
                <w:color w:val="auto"/>
                <w:sz w:val="24"/>
                <w:szCs w:val="24"/>
              </w:rPr>
              <w:t>执行标准</w:t>
            </w:r>
          </w:p>
        </w:tc>
      </w:tr>
      <w:tr w14:paraId="30B88E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6" w:hRule="atLeast"/>
          <w:jc w:val="center"/>
        </w:trPr>
        <w:tc>
          <w:tcPr>
            <w:tcW w:w="987" w:type="dxa"/>
            <w:vMerge w:val="restart"/>
            <w:noWrap w:val="0"/>
            <w:vAlign w:val="center"/>
          </w:tcPr>
          <w:p w14:paraId="54892EFA">
            <w:pPr>
              <w:adjustRightInd w:val="0"/>
              <w:snapToGrid w:val="0"/>
              <w:jc w:val="center"/>
              <w:rPr>
                <w:b w:val="0"/>
                <w:bCs w:val="0"/>
                <w:color w:val="auto"/>
                <w:sz w:val="24"/>
                <w:szCs w:val="24"/>
              </w:rPr>
            </w:pPr>
            <w:r>
              <w:rPr>
                <w:b w:val="0"/>
                <w:bCs w:val="0"/>
                <w:color w:val="auto"/>
                <w:sz w:val="24"/>
                <w:szCs w:val="24"/>
              </w:rPr>
              <w:t>大气环境</w:t>
            </w:r>
          </w:p>
        </w:tc>
        <w:tc>
          <w:tcPr>
            <w:tcW w:w="1329" w:type="dxa"/>
            <w:noWrap w:val="0"/>
            <w:vAlign w:val="center"/>
          </w:tcPr>
          <w:p w14:paraId="36672212">
            <w:pPr>
              <w:pStyle w:val="1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eastAsia="宋体"/>
                <w:b w:val="0"/>
                <w:bCs w:val="0"/>
                <w:color w:val="auto"/>
                <w:sz w:val="24"/>
                <w:szCs w:val="24"/>
                <w:lang w:eastAsia="zh-CN"/>
              </w:rPr>
            </w:pPr>
            <w:r>
              <w:rPr>
                <w:rFonts w:hint="eastAsia"/>
                <w:b w:val="0"/>
                <w:bCs w:val="0"/>
                <w:color w:val="auto"/>
                <w:kern w:val="2"/>
                <w:sz w:val="24"/>
                <w:szCs w:val="24"/>
                <w:lang w:val="en-US" w:eastAsia="zh-CN"/>
              </w:rPr>
              <w:t>挤塑、注塑、热熔焊接等有机废气</w:t>
            </w:r>
            <w:r>
              <w:rPr>
                <w:rFonts w:hint="eastAsia"/>
                <w:b w:val="0"/>
                <w:bCs w:val="0"/>
                <w:color w:val="auto"/>
                <w:sz w:val="24"/>
                <w:szCs w:val="24"/>
                <w:lang w:val="en-US" w:eastAsia="zh-CN"/>
              </w:rPr>
              <w:t>（</w:t>
            </w:r>
            <w:r>
              <w:rPr>
                <w:b w:val="0"/>
                <w:bCs w:val="0"/>
                <w:color w:val="auto"/>
                <w:sz w:val="24"/>
                <w:szCs w:val="24"/>
              </w:rPr>
              <w:t>DA001</w:t>
            </w:r>
            <w:r>
              <w:rPr>
                <w:rFonts w:hint="eastAsia"/>
                <w:b w:val="0"/>
                <w:bCs w:val="0"/>
                <w:color w:val="auto"/>
                <w:sz w:val="24"/>
                <w:szCs w:val="24"/>
                <w:lang w:val="en-US" w:eastAsia="zh-CN"/>
              </w:rPr>
              <w:t>）</w:t>
            </w:r>
          </w:p>
        </w:tc>
        <w:tc>
          <w:tcPr>
            <w:tcW w:w="1477" w:type="dxa"/>
            <w:noWrap w:val="0"/>
            <w:vAlign w:val="center"/>
          </w:tcPr>
          <w:p w14:paraId="35F04469">
            <w:pPr>
              <w:adjustRightInd w:val="0"/>
              <w:snapToGrid w:val="0"/>
              <w:jc w:val="center"/>
              <w:rPr>
                <w:rFonts w:hint="eastAsia" w:eastAsia="宋体"/>
                <w:b w:val="0"/>
                <w:bCs w:val="0"/>
                <w:color w:val="auto"/>
                <w:sz w:val="24"/>
                <w:szCs w:val="24"/>
                <w:lang w:eastAsia="zh-CN"/>
              </w:rPr>
            </w:pPr>
            <w:r>
              <w:rPr>
                <w:rFonts w:hint="eastAsia"/>
                <w:b w:val="0"/>
                <w:bCs w:val="0"/>
                <w:color w:val="auto"/>
                <w:sz w:val="24"/>
                <w:szCs w:val="24"/>
              </w:rPr>
              <w:t>非甲烷总烃</w:t>
            </w:r>
          </w:p>
        </w:tc>
        <w:tc>
          <w:tcPr>
            <w:tcW w:w="2243" w:type="dxa"/>
            <w:noWrap w:val="0"/>
            <w:vAlign w:val="center"/>
          </w:tcPr>
          <w:p w14:paraId="25A0A289">
            <w:pPr>
              <w:adjustRightInd w:val="0"/>
              <w:snapToGrid w:val="0"/>
              <w:jc w:val="center"/>
              <w:rPr>
                <w:rFonts w:hint="default"/>
                <w:b w:val="0"/>
                <w:bCs w:val="0"/>
                <w:color w:val="auto"/>
                <w:kern w:val="2"/>
                <w:sz w:val="24"/>
                <w:szCs w:val="24"/>
                <w:lang w:val="en-US" w:eastAsia="zh-CN" w:bidi="ar-SA"/>
              </w:rPr>
            </w:pPr>
            <w:r>
              <w:rPr>
                <w:rFonts w:hint="eastAsia" w:ascii="Times New Roman" w:hAnsi="Times New Roman" w:eastAsia="宋体" w:cs="Times New Roman"/>
                <w:b w:val="0"/>
                <w:bCs w:val="0"/>
                <w:color w:val="auto"/>
                <w:sz w:val="24"/>
                <w:szCs w:val="24"/>
                <w:lang w:val="en-US" w:eastAsia="zh-CN"/>
              </w:rPr>
              <w:t>“</w:t>
            </w:r>
            <w:r>
              <w:rPr>
                <w:rFonts w:hint="eastAsia" w:cs="Times New Roman"/>
                <w:b w:val="0"/>
                <w:bCs w:val="0"/>
                <w:color w:val="auto"/>
                <w:sz w:val="24"/>
                <w:szCs w:val="24"/>
                <w:lang w:val="en-US" w:eastAsia="zh-CN"/>
              </w:rPr>
              <w:t>集气罩+二级</w:t>
            </w:r>
            <w:r>
              <w:rPr>
                <w:rFonts w:hint="eastAsia" w:ascii="Times New Roman" w:hAnsi="Times New Roman" w:eastAsia="宋体" w:cs="Times New Roman"/>
                <w:b w:val="0"/>
                <w:bCs w:val="0"/>
                <w:color w:val="auto"/>
                <w:sz w:val="24"/>
                <w:szCs w:val="24"/>
                <w:lang w:val="en-US" w:eastAsia="zh-CN"/>
              </w:rPr>
              <w:t>活性炭吸附”装置处理后，由15m高排气筒DA001排放。</w:t>
            </w:r>
          </w:p>
        </w:tc>
        <w:tc>
          <w:tcPr>
            <w:tcW w:w="2764" w:type="dxa"/>
            <w:vMerge w:val="restart"/>
            <w:noWrap w:val="0"/>
            <w:vAlign w:val="center"/>
          </w:tcPr>
          <w:p w14:paraId="72A1B816">
            <w:pPr>
              <w:adjustRightInd w:val="0"/>
              <w:snapToGrid w:val="0"/>
              <w:jc w:val="center"/>
              <w:rPr>
                <w:rFonts w:hint="eastAsia" w:eastAsia="宋体"/>
                <w:b w:val="0"/>
                <w:bCs w:val="0"/>
                <w:color w:val="auto"/>
                <w:sz w:val="24"/>
                <w:szCs w:val="24"/>
                <w:lang w:eastAsia="zh-CN"/>
              </w:rPr>
            </w:pPr>
            <w:r>
              <w:rPr>
                <w:rFonts w:hint="eastAsia"/>
                <w:b w:val="0"/>
                <w:bCs w:val="0"/>
                <w:color w:val="auto"/>
                <w:sz w:val="24"/>
                <w:szCs w:val="24"/>
                <w:lang w:val="en-US" w:eastAsia="zh-CN"/>
              </w:rPr>
              <w:t>满足《固定源挥发性有机物综合排放标准第6部分：其他行业》（DB34/4812.6-2024）和《合成树脂工业污染物排放标准》（GB31572-2015）及其修改单（公告2024年第17号）中的较严值</w:t>
            </w:r>
          </w:p>
        </w:tc>
      </w:tr>
      <w:tr w14:paraId="4A1242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987" w:type="dxa"/>
            <w:vMerge w:val="continue"/>
            <w:noWrap w:val="0"/>
            <w:vAlign w:val="center"/>
          </w:tcPr>
          <w:p w14:paraId="02EF2F3D">
            <w:pPr>
              <w:adjustRightInd w:val="0"/>
              <w:snapToGrid w:val="0"/>
              <w:jc w:val="center"/>
              <w:rPr>
                <w:b w:val="0"/>
                <w:bCs w:val="0"/>
                <w:color w:val="auto"/>
                <w:sz w:val="24"/>
                <w:szCs w:val="24"/>
              </w:rPr>
            </w:pPr>
          </w:p>
        </w:tc>
        <w:tc>
          <w:tcPr>
            <w:tcW w:w="1329" w:type="dxa"/>
            <w:shd w:val="clear" w:color="auto" w:fill="auto"/>
            <w:noWrap w:val="0"/>
            <w:vAlign w:val="center"/>
          </w:tcPr>
          <w:p w14:paraId="6F023368">
            <w:pPr>
              <w:pStyle w:val="16"/>
              <w:spacing w:line="240" w:lineRule="auto"/>
              <w:ind w:left="0" w:leftChars="0" w:firstLine="0" w:firstLineChars="0"/>
              <w:jc w:val="center"/>
              <w:rPr>
                <w:rFonts w:hint="eastAsia" w:ascii="宋体" w:hAnsi="宋体" w:eastAsia="宋体" w:cs="Times New Roman"/>
                <w:b w:val="0"/>
                <w:bCs w:val="0"/>
                <w:color w:val="auto"/>
                <w:kern w:val="2"/>
                <w:sz w:val="24"/>
                <w:szCs w:val="24"/>
                <w:lang w:val="en-US" w:eastAsia="zh-CN" w:bidi="ar-SA"/>
              </w:rPr>
            </w:pPr>
            <w:r>
              <w:rPr>
                <w:rFonts w:hint="eastAsia"/>
                <w:b w:val="0"/>
                <w:bCs w:val="0"/>
                <w:color w:val="auto"/>
                <w:kern w:val="2"/>
                <w:sz w:val="24"/>
                <w:szCs w:val="24"/>
                <w:lang w:eastAsia="zh-CN"/>
              </w:rPr>
              <w:t>无组织废气</w:t>
            </w:r>
          </w:p>
        </w:tc>
        <w:tc>
          <w:tcPr>
            <w:tcW w:w="1477" w:type="dxa"/>
            <w:shd w:val="clear" w:color="auto" w:fill="auto"/>
            <w:noWrap w:val="0"/>
            <w:vAlign w:val="center"/>
          </w:tcPr>
          <w:p w14:paraId="088971DF">
            <w:pPr>
              <w:adjustRightInd w:val="0"/>
              <w:snapToGrid w:val="0"/>
              <w:jc w:val="center"/>
              <w:rPr>
                <w:rFonts w:hint="eastAsia" w:ascii="Times New Roman" w:hAnsi="Times New Roman" w:eastAsia="宋体" w:cs="Times New Roman"/>
                <w:b w:val="0"/>
                <w:bCs w:val="0"/>
                <w:color w:val="auto"/>
                <w:sz w:val="24"/>
                <w:szCs w:val="24"/>
                <w:lang w:val="en-US" w:eastAsia="zh-CN" w:bidi="ar-SA"/>
              </w:rPr>
            </w:pPr>
            <w:r>
              <w:rPr>
                <w:rFonts w:hint="eastAsia"/>
                <w:b w:val="0"/>
                <w:bCs w:val="0"/>
                <w:color w:val="auto"/>
                <w:sz w:val="24"/>
                <w:szCs w:val="24"/>
              </w:rPr>
              <w:t>非甲烷总烃</w:t>
            </w:r>
          </w:p>
        </w:tc>
        <w:tc>
          <w:tcPr>
            <w:tcW w:w="2243" w:type="dxa"/>
            <w:shd w:val="clear" w:color="auto" w:fill="auto"/>
            <w:noWrap w:val="0"/>
            <w:vAlign w:val="center"/>
          </w:tcPr>
          <w:p w14:paraId="16DE79D3">
            <w:pPr>
              <w:adjustRightInd w:val="0"/>
              <w:snapToGrid w:val="0"/>
              <w:jc w:val="center"/>
              <w:rPr>
                <w:rFonts w:hint="eastAsia" w:ascii="Times New Roman" w:hAnsi="Times New Roman" w:eastAsia="宋体" w:cs="Times New Roman"/>
                <w:b w:val="0"/>
                <w:bCs w:val="0"/>
                <w:color w:val="auto"/>
                <w:sz w:val="24"/>
                <w:szCs w:val="24"/>
                <w:lang w:val="en-US" w:eastAsia="zh-CN" w:bidi="ar-SA"/>
              </w:rPr>
            </w:pPr>
            <w:r>
              <w:rPr>
                <w:b w:val="0"/>
                <w:bCs w:val="0"/>
                <w:color w:val="000000"/>
                <w:sz w:val="24"/>
                <w:szCs w:val="24"/>
              </w:rPr>
              <w:t>加强</w:t>
            </w:r>
            <w:r>
              <w:rPr>
                <w:rFonts w:hint="eastAsia"/>
                <w:b w:val="0"/>
                <w:bCs w:val="0"/>
                <w:color w:val="000000"/>
                <w:sz w:val="24"/>
                <w:szCs w:val="24"/>
                <w:lang w:eastAsia="zh-CN"/>
              </w:rPr>
              <w:t>废气收集、完善</w:t>
            </w:r>
            <w:r>
              <w:rPr>
                <w:b w:val="0"/>
                <w:bCs w:val="0"/>
                <w:color w:val="000000"/>
                <w:sz w:val="24"/>
                <w:szCs w:val="24"/>
              </w:rPr>
              <w:t>车间抽排风系统</w:t>
            </w:r>
          </w:p>
        </w:tc>
        <w:tc>
          <w:tcPr>
            <w:tcW w:w="2764" w:type="dxa"/>
            <w:vMerge w:val="continue"/>
            <w:noWrap w:val="0"/>
            <w:vAlign w:val="center"/>
          </w:tcPr>
          <w:p w14:paraId="4270FE43">
            <w:pPr>
              <w:adjustRightInd w:val="0"/>
              <w:snapToGrid w:val="0"/>
              <w:jc w:val="center"/>
              <w:rPr>
                <w:rFonts w:hint="eastAsia"/>
                <w:b w:val="0"/>
                <w:bCs w:val="0"/>
                <w:color w:val="auto"/>
                <w:sz w:val="24"/>
                <w:szCs w:val="24"/>
                <w:lang w:val="en-US" w:eastAsia="zh-CN"/>
              </w:rPr>
            </w:pPr>
          </w:p>
        </w:tc>
      </w:tr>
      <w:tr w14:paraId="4881B1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987" w:type="dxa"/>
            <w:vMerge w:val="continue"/>
            <w:noWrap w:val="0"/>
            <w:vAlign w:val="center"/>
          </w:tcPr>
          <w:p w14:paraId="22DF2CBD">
            <w:pPr>
              <w:adjustRightInd w:val="0"/>
              <w:snapToGrid w:val="0"/>
              <w:jc w:val="center"/>
              <w:rPr>
                <w:b w:val="0"/>
                <w:bCs w:val="0"/>
                <w:color w:val="auto"/>
                <w:sz w:val="24"/>
                <w:szCs w:val="24"/>
              </w:rPr>
            </w:pPr>
          </w:p>
        </w:tc>
        <w:tc>
          <w:tcPr>
            <w:tcW w:w="1329" w:type="dxa"/>
            <w:shd w:val="clear" w:color="auto" w:fill="auto"/>
            <w:noWrap w:val="0"/>
            <w:vAlign w:val="center"/>
          </w:tcPr>
          <w:p w14:paraId="7C63E483">
            <w:pPr>
              <w:pStyle w:val="16"/>
              <w:spacing w:line="240" w:lineRule="auto"/>
              <w:ind w:left="0" w:leftChars="0" w:firstLine="0" w:firstLineChars="0"/>
              <w:jc w:val="center"/>
              <w:rPr>
                <w:rFonts w:hint="default"/>
                <w:b w:val="0"/>
                <w:bCs w:val="0"/>
                <w:color w:val="auto"/>
                <w:kern w:val="2"/>
                <w:sz w:val="24"/>
                <w:szCs w:val="24"/>
                <w:lang w:val="en-US" w:eastAsia="zh-CN"/>
              </w:rPr>
            </w:pPr>
            <w:r>
              <w:rPr>
                <w:rFonts w:hint="eastAsia"/>
                <w:b w:val="0"/>
                <w:bCs w:val="0"/>
                <w:color w:val="auto"/>
                <w:kern w:val="2"/>
                <w:sz w:val="24"/>
                <w:szCs w:val="24"/>
                <w:lang w:val="en-US" w:eastAsia="zh-CN"/>
              </w:rPr>
              <w:t>破碎粉尘</w:t>
            </w:r>
          </w:p>
        </w:tc>
        <w:tc>
          <w:tcPr>
            <w:tcW w:w="1477" w:type="dxa"/>
            <w:shd w:val="clear" w:color="auto" w:fill="auto"/>
            <w:noWrap w:val="0"/>
            <w:vAlign w:val="center"/>
          </w:tcPr>
          <w:p w14:paraId="38268C21">
            <w:pPr>
              <w:adjustRightInd w:val="0"/>
              <w:snapToGrid w:val="0"/>
              <w:jc w:val="center"/>
              <w:rPr>
                <w:rFonts w:hint="eastAsia" w:eastAsia="宋体"/>
                <w:b w:val="0"/>
                <w:bCs w:val="0"/>
                <w:color w:val="auto"/>
                <w:sz w:val="24"/>
                <w:szCs w:val="24"/>
                <w:lang w:val="en-US" w:eastAsia="zh-CN"/>
              </w:rPr>
            </w:pPr>
            <w:r>
              <w:rPr>
                <w:rFonts w:hint="eastAsia"/>
                <w:b w:val="0"/>
                <w:bCs w:val="0"/>
                <w:color w:val="auto"/>
                <w:sz w:val="24"/>
                <w:szCs w:val="24"/>
                <w:lang w:val="en-US" w:eastAsia="zh-CN"/>
              </w:rPr>
              <w:t>颗粒物</w:t>
            </w:r>
          </w:p>
        </w:tc>
        <w:tc>
          <w:tcPr>
            <w:tcW w:w="2243" w:type="dxa"/>
            <w:shd w:val="clear" w:color="auto" w:fill="auto"/>
            <w:noWrap w:val="0"/>
            <w:vAlign w:val="center"/>
          </w:tcPr>
          <w:p w14:paraId="45595F4D">
            <w:pPr>
              <w:adjustRightInd w:val="0"/>
              <w:snapToGrid w:val="0"/>
              <w:jc w:val="center"/>
              <w:rPr>
                <w:rFonts w:hint="default" w:eastAsia="宋体"/>
                <w:b w:val="0"/>
                <w:bCs w:val="0"/>
                <w:color w:val="000000"/>
                <w:sz w:val="24"/>
                <w:szCs w:val="24"/>
                <w:lang w:val="en-US" w:eastAsia="zh-CN"/>
              </w:rPr>
            </w:pPr>
            <w:r>
              <w:rPr>
                <w:rFonts w:hint="eastAsia"/>
                <w:b w:val="0"/>
                <w:bCs w:val="0"/>
                <w:color w:val="000000"/>
                <w:sz w:val="24"/>
                <w:szCs w:val="24"/>
                <w:lang w:val="en-US" w:eastAsia="zh-CN"/>
              </w:rPr>
              <w:t>布袋收尘器</w:t>
            </w:r>
          </w:p>
        </w:tc>
        <w:tc>
          <w:tcPr>
            <w:tcW w:w="2764" w:type="dxa"/>
            <w:vMerge w:val="continue"/>
            <w:noWrap w:val="0"/>
            <w:vAlign w:val="center"/>
          </w:tcPr>
          <w:p w14:paraId="1EED337F">
            <w:pPr>
              <w:adjustRightInd w:val="0"/>
              <w:snapToGrid w:val="0"/>
              <w:jc w:val="center"/>
              <w:rPr>
                <w:rFonts w:hint="eastAsia"/>
                <w:b w:val="0"/>
                <w:bCs w:val="0"/>
                <w:color w:val="auto"/>
                <w:sz w:val="24"/>
                <w:szCs w:val="24"/>
                <w:lang w:val="en-US" w:eastAsia="zh-CN"/>
              </w:rPr>
            </w:pPr>
          </w:p>
        </w:tc>
      </w:tr>
      <w:tr w14:paraId="74F3CA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6" w:hRule="atLeast"/>
          <w:jc w:val="center"/>
        </w:trPr>
        <w:tc>
          <w:tcPr>
            <w:tcW w:w="987" w:type="dxa"/>
            <w:vMerge w:val="continue"/>
            <w:noWrap w:val="0"/>
            <w:vAlign w:val="center"/>
          </w:tcPr>
          <w:p w14:paraId="5ABB028F">
            <w:pPr>
              <w:adjustRightInd w:val="0"/>
              <w:snapToGrid w:val="0"/>
              <w:jc w:val="center"/>
              <w:rPr>
                <w:b w:val="0"/>
                <w:bCs w:val="0"/>
                <w:color w:val="auto"/>
                <w:sz w:val="24"/>
                <w:szCs w:val="24"/>
              </w:rPr>
            </w:pPr>
          </w:p>
        </w:tc>
        <w:tc>
          <w:tcPr>
            <w:tcW w:w="1329" w:type="dxa"/>
            <w:shd w:val="clear" w:color="auto" w:fill="auto"/>
            <w:noWrap w:val="0"/>
            <w:vAlign w:val="center"/>
          </w:tcPr>
          <w:p w14:paraId="5C325C39">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4"/>
                <w:szCs w:val="24"/>
                <w:lang w:val="en-US" w:eastAsia="zh-CN" w:bidi="ar-SA"/>
              </w:rPr>
            </w:pPr>
            <w:r>
              <w:rPr>
                <w:rFonts w:hint="eastAsia" w:ascii="宋体" w:hAnsi="宋体" w:cs="宋体"/>
                <w:sz w:val="24"/>
              </w:rPr>
              <w:t>食堂烟囱</w:t>
            </w:r>
          </w:p>
        </w:tc>
        <w:tc>
          <w:tcPr>
            <w:tcW w:w="1477" w:type="dxa"/>
            <w:shd w:val="clear" w:color="auto" w:fill="auto"/>
            <w:noWrap w:val="0"/>
            <w:vAlign w:val="center"/>
          </w:tcPr>
          <w:p w14:paraId="6B4A136E">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ascii="宋体" w:hAnsi="宋体" w:cs="宋体"/>
                <w:sz w:val="24"/>
              </w:rPr>
              <w:t>食堂油烟</w:t>
            </w:r>
          </w:p>
        </w:tc>
        <w:tc>
          <w:tcPr>
            <w:tcW w:w="2243" w:type="dxa"/>
            <w:shd w:val="clear" w:color="auto" w:fill="auto"/>
            <w:noWrap w:val="0"/>
            <w:vAlign w:val="center"/>
          </w:tcPr>
          <w:p w14:paraId="497A57C9">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4"/>
                <w:szCs w:val="24"/>
                <w:lang w:val="en-US" w:eastAsia="zh-CN" w:bidi="ar-SA"/>
              </w:rPr>
            </w:pPr>
            <w:r>
              <w:rPr>
                <w:rFonts w:hint="eastAsia" w:ascii="宋体" w:hAnsi="宋体" w:cs="宋体"/>
                <w:sz w:val="24"/>
                <w:lang w:val="en-US" w:eastAsia="zh-CN"/>
              </w:rPr>
              <w:t>经</w:t>
            </w:r>
            <w:r>
              <w:rPr>
                <w:rFonts w:hint="eastAsia" w:ascii="宋体" w:hAnsi="宋体" w:cs="宋体"/>
                <w:sz w:val="24"/>
              </w:rPr>
              <w:t>油烟净化器处理后引至屋顶排放</w:t>
            </w:r>
          </w:p>
        </w:tc>
        <w:tc>
          <w:tcPr>
            <w:tcW w:w="2764" w:type="dxa"/>
            <w:noWrap w:val="0"/>
            <w:vAlign w:val="center"/>
          </w:tcPr>
          <w:p w14:paraId="6F1952A1">
            <w:pPr>
              <w:adjustRightInd w:val="0"/>
              <w:snapToGrid w:val="0"/>
              <w:jc w:val="center"/>
              <w:rPr>
                <w:rFonts w:hint="eastAsia"/>
                <w:b w:val="0"/>
                <w:bCs w:val="0"/>
                <w:color w:val="auto"/>
                <w:sz w:val="24"/>
                <w:szCs w:val="24"/>
                <w:lang w:val="en-US" w:eastAsia="zh-CN"/>
              </w:rPr>
            </w:pPr>
            <w:r>
              <w:rPr>
                <w:rFonts w:hint="default"/>
                <w:sz w:val="24"/>
              </w:rPr>
              <w:t>餐饮油烟执行《饮食业油烟排放标准（试行）》(GB18483-2001)中的</w:t>
            </w:r>
            <w:r>
              <w:rPr>
                <w:rFonts w:hint="eastAsia"/>
                <w:sz w:val="24"/>
                <w:lang w:eastAsia="zh-CN"/>
              </w:rPr>
              <w:t>中型</w:t>
            </w:r>
            <w:r>
              <w:rPr>
                <w:rFonts w:hint="default"/>
                <w:sz w:val="24"/>
              </w:rPr>
              <w:t>食堂标准</w:t>
            </w:r>
          </w:p>
        </w:tc>
      </w:tr>
      <w:tr w14:paraId="55AE8D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987" w:type="dxa"/>
            <w:noWrap w:val="0"/>
            <w:vAlign w:val="center"/>
          </w:tcPr>
          <w:p w14:paraId="1B85530A">
            <w:pPr>
              <w:adjustRightInd w:val="0"/>
              <w:snapToGrid w:val="0"/>
              <w:jc w:val="center"/>
              <w:rPr>
                <w:b w:val="0"/>
                <w:bCs w:val="0"/>
                <w:color w:val="auto"/>
                <w:sz w:val="24"/>
                <w:szCs w:val="24"/>
              </w:rPr>
            </w:pPr>
            <w:r>
              <w:rPr>
                <w:b w:val="0"/>
                <w:bCs w:val="0"/>
                <w:color w:val="auto"/>
                <w:sz w:val="24"/>
                <w:szCs w:val="24"/>
              </w:rPr>
              <w:t>地表水环境</w:t>
            </w:r>
          </w:p>
        </w:tc>
        <w:tc>
          <w:tcPr>
            <w:tcW w:w="1329" w:type="dxa"/>
            <w:shd w:val="clear" w:color="auto" w:fill="auto"/>
            <w:noWrap w:val="0"/>
            <w:vAlign w:val="center"/>
          </w:tcPr>
          <w:p w14:paraId="18AA9F47">
            <w:pPr>
              <w:keepNext w:val="0"/>
              <w:keepLines w:val="0"/>
              <w:suppressLineNumbers w:val="0"/>
              <w:adjustRightInd w:val="0"/>
              <w:snapToGrid w:val="0"/>
              <w:spacing w:before="0" w:beforeAutospacing="0" w:after="0" w:afterAutospacing="0"/>
              <w:ind w:left="0" w:leftChars="0" w:right="0" w:rightChars="0"/>
              <w:jc w:val="both"/>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办公生活</w:t>
            </w:r>
          </w:p>
        </w:tc>
        <w:tc>
          <w:tcPr>
            <w:tcW w:w="1477" w:type="dxa"/>
            <w:shd w:val="clear" w:color="auto" w:fill="auto"/>
            <w:noWrap w:val="0"/>
            <w:vAlign w:val="center"/>
          </w:tcPr>
          <w:p w14:paraId="7250001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lang w:val="pt-BR"/>
              </w:rPr>
              <w:t>COD</w:t>
            </w:r>
            <w:r>
              <w:rPr>
                <w:rFonts w:hint="default" w:ascii="Times New Roman" w:hAnsi="Times New Roman" w:cs="Times New Roman"/>
                <w:sz w:val="24"/>
                <w:szCs w:val="24"/>
              </w:rPr>
              <w:t>、</w:t>
            </w:r>
            <w:r>
              <w:rPr>
                <w:rFonts w:hint="default" w:ascii="Times New Roman" w:hAnsi="Times New Roman" w:cs="Times New Roman"/>
                <w:sz w:val="24"/>
                <w:szCs w:val="24"/>
                <w:lang w:val="pt-BR"/>
              </w:rPr>
              <w:t>BOD</w:t>
            </w:r>
            <w:r>
              <w:rPr>
                <w:rFonts w:hint="default" w:ascii="Times New Roman" w:hAnsi="Times New Roman" w:cs="Times New Roman"/>
                <w:sz w:val="24"/>
                <w:szCs w:val="24"/>
                <w:vertAlign w:val="subscript"/>
                <w:lang w:val="pt-BR"/>
              </w:rPr>
              <w:t>5</w:t>
            </w:r>
            <w:r>
              <w:rPr>
                <w:rFonts w:hint="default" w:ascii="Times New Roman" w:hAnsi="Times New Roman" w:cs="Times New Roman"/>
                <w:sz w:val="24"/>
                <w:szCs w:val="24"/>
              </w:rPr>
              <w:t>、</w:t>
            </w:r>
            <w:r>
              <w:rPr>
                <w:rFonts w:hint="default" w:ascii="Times New Roman" w:hAnsi="Times New Roman" w:cs="Times New Roman"/>
                <w:sz w:val="24"/>
                <w:szCs w:val="24"/>
                <w:lang w:val="pt-BR"/>
              </w:rPr>
              <w:t>SS</w:t>
            </w:r>
            <w:r>
              <w:rPr>
                <w:rFonts w:hint="default" w:ascii="Times New Roman" w:hAnsi="Times New Roman" w:cs="Times New Roman"/>
                <w:sz w:val="24"/>
                <w:szCs w:val="24"/>
              </w:rPr>
              <w:t>、</w:t>
            </w:r>
            <w:r>
              <w:rPr>
                <w:rFonts w:hint="default" w:ascii="Times New Roman" w:hAnsi="Times New Roman" w:cs="Times New Roman"/>
                <w:sz w:val="24"/>
                <w:szCs w:val="24"/>
                <w:lang w:val="pt-BR"/>
              </w:rPr>
              <w:t>NH</w:t>
            </w:r>
            <w:r>
              <w:rPr>
                <w:rFonts w:hint="default" w:ascii="Times New Roman" w:hAnsi="Times New Roman" w:cs="Times New Roman"/>
                <w:sz w:val="24"/>
                <w:szCs w:val="24"/>
                <w:vertAlign w:val="subscript"/>
                <w:lang w:val="pt-BR"/>
              </w:rPr>
              <w:t>3</w:t>
            </w:r>
            <w:r>
              <w:rPr>
                <w:rFonts w:hint="default" w:ascii="Times New Roman" w:hAnsi="Times New Roman" w:cs="Times New Roman"/>
                <w:sz w:val="24"/>
                <w:szCs w:val="24"/>
                <w:lang w:val="pt-BR"/>
              </w:rPr>
              <w:t>-N</w:t>
            </w:r>
          </w:p>
        </w:tc>
        <w:tc>
          <w:tcPr>
            <w:tcW w:w="2243" w:type="dxa"/>
            <w:shd w:val="clear" w:color="auto" w:fill="auto"/>
            <w:noWrap w:val="0"/>
            <w:vAlign w:val="center"/>
          </w:tcPr>
          <w:p w14:paraId="3D2273ED">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化粪池</w:t>
            </w:r>
          </w:p>
        </w:tc>
        <w:tc>
          <w:tcPr>
            <w:tcW w:w="2764" w:type="dxa"/>
            <w:shd w:val="clear" w:color="auto" w:fill="auto"/>
            <w:noWrap w:val="0"/>
            <w:vAlign w:val="center"/>
          </w:tcPr>
          <w:p w14:paraId="1919972F">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sz w:val="24"/>
                <w:szCs w:val="24"/>
                <w:lang w:val="en-US" w:eastAsia="zh-CN" w:bidi="ar-SA"/>
              </w:rPr>
            </w:pPr>
            <w:r>
              <w:rPr>
                <w:rFonts w:hint="eastAsia" w:cs="Times New Roman"/>
                <w:sz w:val="24"/>
                <w:szCs w:val="24"/>
                <w:lang w:val="en-US" w:eastAsia="zh-CN"/>
              </w:rPr>
              <w:t>/</w:t>
            </w:r>
          </w:p>
        </w:tc>
      </w:tr>
      <w:tr w14:paraId="185A35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4" w:hRule="atLeast"/>
          <w:jc w:val="center"/>
        </w:trPr>
        <w:tc>
          <w:tcPr>
            <w:tcW w:w="987" w:type="dxa"/>
            <w:noWrap w:val="0"/>
            <w:vAlign w:val="center"/>
          </w:tcPr>
          <w:p w14:paraId="398668E9">
            <w:pPr>
              <w:adjustRightInd w:val="0"/>
              <w:snapToGrid w:val="0"/>
              <w:jc w:val="center"/>
              <w:rPr>
                <w:b w:val="0"/>
                <w:bCs w:val="0"/>
                <w:color w:val="auto"/>
                <w:sz w:val="24"/>
                <w:szCs w:val="24"/>
              </w:rPr>
            </w:pPr>
            <w:r>
              <w:rPr>
                <w:b w:val="0"/>
                <w:bCs w:val="0"/>
                <w:color w:val="auto"/>
                <w:sz w:val="24"/>
                <w:szCs w:val="24"/>
              </w:rPr>
              <w:t>声环境</w:t>
            </w:r>
          </w:p>
        </w:tc>
        <w:tc>
          <w:tcPr>
            <w:tcW w:w="1329" w:type="dxa"/>
            <w:noWrap w:val="0"/>
            <w:vAlign w:val="center"/>
          </w:tcPr>
          <w:p w14:paraId="075A3A73">
            <w:pPr>
              <w:adjustRightInd w:val="0"/>
              <w:snapToGrid w:val="0"/>
              <w:jc w:val="center"/>
              <w:rPr>
                <w:b w:val="0"/>
                <w:bCs w:val="0"/>
                <w:color w:val="auto"/>
                <w:sz w:val="24"/>
                <w:szCs w:val="24"/>
              </w:rPr>
            </w:pPr>
            <w:r>
              <w:rPr>
                <w:b w:val="0"/>
                <w:bCs w:val="0"/>
                <w:color w:val="auto"/>
                <w:sz w:val="24"/>
                <w:szCs w:val="24"/>
              </w:rPr>
              <w:t>设备噪声</w:t>
            </w:r>
          </w:p>
        </w:tc>
        <w:tc>
          <w:tcPr>
            <w:tcW w:w="1477" w:type="dxa"/>
            <w:noWrap w:val="0"/>
            <w:vAlign w:val="center"/>
          </w:tcPr>
          <w:p w14:paraId="05EB59B9">
            <w:pPr>
              <w:adjustRightInd w:val="0"/>
              <w:snapToGrid w:val="0"/>
              <w:jc w:val="center"/>
              <w:rPr>
                <w:b w:val="0"/>
                <w:bCs w:val="0"/>
                <w:color w:val="auto"/>
                <w:sz w:val="24"/>
                <w:szCs w:val="24"/>
              </w:rPr>
            </w:pPr>
            <w:r>
              <w:rPr>
                <w:b w:val="0"/>
                <w:bCs w:val="0"/>
                <w:color w:val="auto"/>
                <w:sz w:val="24"/>
                <w:szCs w:val="24"/>
              </w:rPr>
              <w:t>噪声</w:t>
            </w:r>
          </w:p>
        </w:tc>
        <w:tc>
          <w:tcPr>
            <w:tcW w:w="2243" w:type="dxa"/>
            <w:noWrap w:val="0"/>
            <w:vAlign w:val="center"/>
          </w:tcPr>
          <w:p w14:paraId="4795215C">
            <w:pPr>
              <w:adjustRightInd w:val="0"/>
              <w:snapToGrid w:val="0"/>
              <w:jc w:val="center"/>
              <w:rPr>
                <w:b w:val="0"/>
                <w:bCs w:val="0"/>
                <w:color w:val="auto"/>
                <w:sz w:val="24"/>
                <w:szCs w:val="24"/>
              </w:rPr>
            </w:pPr>
            <w:r>
              <w:rPr>
                <w:rFonts w:hint="eastAsia"/>
                <w:b w:val="0"/>
                <w:bCs w:val="0"/>
                <w:color w:val="auto"/>
                <w:sz w:val="24"/>
                <w:szCs w:val="24"/>
                <w:lang w:val="en-US" w:eastAsia="zh-CN"/>
              </w:rPr>
              <w:t>选用低噪音设备，设备基础减振，隔声消声降噪；风机进、出风管加设消音器，基础下加设减振器</w:t>
            </w:r>
            <w:r>
              <w:rPr>
                <w:rFonts w:hint="eastAsia"/>
                <w:b w:val="0"/>
                <w:bCs w:val="0"/>
                <w:color w:val="auto"/>
                <w:sz w:val="24"/>
                <w:szCs w:val="24"/>
                <w:lang w:val="zh-CN"/>
              </w:rPr>
              <w:t>等</w:t>
            </w:r>
          </w:p>
        </w:tc>
        <w:tc>
          <w:tcPr>
            <w:tcW w:w="2764" w:type="dxa"/>
            <w:noWrap w:val="0"/>
            <w:vAlign w:val="center"/>
          </w:tcPr>
          <w:p w14:paraId="21CD7EB0">
            <w:pPr>
              <w:adjustRightInd w:val="0"/>
              <w:snapToGrid w:val="0"/>
              <w:jc w:val="center"/>
              <w:rPr>
                <w:b w:val="0"/>
                <w:bCs w:val="0"/>
                <w:color w:val="auto"/>
                <w:sz w:val="24"/>
                <w:szCs w:val="24"/>
              </w:rPr>
            </w:pPr>
            <w:r>
              <w:rPr>
                <w:b w:val="0"/>
                <w:bCs w:val="0"/>
                <w:color w:val="auto"/>
                <w:sz w:val="24"/>
                <w:szCs w:val="24"/>
              </w:rPr>
              <w:t>《工业企业厂界环境噪声排放标准》</w:t>
            </w:r>
            <w:r>
              <w:rPr>
                <w:rFonts w:hint="eastAsia"/>
                <w:b w:val="0"/>
                <w:bCs w:val="0"/>
                <w:color w:val="auto"/>
                <w:sz w:val="24"/>
                <w:szCs w:val="24"/>
                <w:lang w:eastAsia="zh-CN"/>
              </w:rPr>
              <w:t>（</w:t>
            </w:r>
            <w:r>
              <w:rPr>
                <w:b w:val="0"/>
                <w:bCs w:val="0"/>
                <w:color w:val="auto"/>
                <w:sz w:val="24"/>
                <w:szCs w:val="24"/>
              </w:rPr>
              <w:t>GB12348-2008</w:t>
            </w:r>
            <w:r>
              <w:rPr>
                <w:rFonts w:hint="eastAsia"/>
                <w:b w:val="0"/>
                <w:bCs w:val="0"/>
                <w:color w:val="auto"/>
                <w:sz w:val="24"/>
                <w:szCs w:val="24"/>
                <w:lang w:eastAsia="zh-CN"/>
              </w:rPr>
              <w:t>）</w:t>
            </w:r>
            <w:r>
              <w:rPr>
                <w:b w:val="0"/>
                <w:bCs w:val="0"/>
                <w:color w:val="auto"/>
                <w:sz w:val="24"/>
                <w:szCs w:val="24"/>
              </w:rPr>
              <w:t>中的</w:t>
            </w:r>
            <w:r>
              <w:rPr>
                <w:rFonts w:hint="eastAsia"/>
                <w:b w:val="0"/>
                <w:bCs w:val="0"/>
                <w:color w:val="auto"/>
                <w:sz w:val="24"/>
                <w:szCs w:val="24"/>
                <w:lang w:val="en-US" w:eastAsia="zh-CN"/>
              </w:rPr>
              <w:t>2类</w:t>
            </w:r>
            <w:r>
              <w:rPr>
                <w:b w:val="0"/>
                <w:bCs w:val="0"/>
                <w:color w:val="auto"/>
                <w:sz w:val="24"/>
                <w:szCs w:val="24"/>
              </w:rPr>
              <w:t>标准要求</w:t>
            </w:r>
          </w:p>
        </w:tc>
      </w:tr>
      <w:tr w14:paraId="7A270B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6" w:hRule="atLeast"/>
          <w:jc w:val="center"/>
        </w:trPr>
        <w:tc>
          <w:tcPr>
            <w:tcW w:w="987" w:type="dxa"/>
            <w:noWrap w:val="0"/>
            <w:vAlign w:val="center"/>
          </w:tcPr>
          <w:p w14:paraId="1C2D53E3">
            <w:pPr>
              <w:adjustRightInd w:val="0"/>
              <w:snapToGrid w:val="0"/>
              <w:jc w:val="center"/>
              <w:rPr>
                <w:b w:val="0"/>
                <w:bCs w:val="0"/>
                <w:color w:val="auto"/>
                <w:sz w:val="24"/>
                <w:szCs w:val="24"/>
              </w:rPr>
            </w:pPr>
            <w:r>
              <w:rPr>
                <w:b w:val="0"/>
                <w:bCs w:val="0"/>
                <w:color w:val="auto"/>
                <w:sz w:val="24"/>
                <w:szCs w:val="24"/>
              </w:rPr>
              <w:t>固体废物</w:t>
            </w:r>
          </w:p>
        </w:tc>
        <w:tc>
          <w:tcPr>
            <w:tcW w:w="7813" w:type="dxa"/>
            <w:gridSpan w:val="4"/>
            <w:noWrap w:val="0"/>
            <w:vAlign w:val="center"/>
          </w:tcPr>
          <w:p w14:paraId="66450F35">
            <w:pPr>
              <w:adjustRightInd w:val="0"/>
              <w:snapToGrid w:val="0"/>
              <w:jc w:val="left"/>
              <w:rPr>
                <w:rFonts w:hint="eastAsia" w:eastAsia="宋体"/>
                <w:b w:val="0"/>
                <w:bCs w:val="0"/>
                <w:color w:val="auto"/>
                <w:sz w:val="24"/>
                <w:szCs w:val="24"/>
                <w:lang w:val="en-US" w:eastAsia="zh-CN"/>
              </w:rPr>
            </w:pPr>
            <w:r>
              <w:rPr>
                <w:rFonts w:hint="eastAsia"/>
                <w:b w:val="0"/>
                <w:bCs w:val="0"/>
                <w:color w:val="auto"/>
                <w:sz w:val="24"/>
                <w:szCs w:val="24"/>
              </w:rPr>
              <w:t>运营过程产生的生活垃圾收集后交由环卫部门处置；</w:t>
            </w:r>
            <w:r>
              <w:rPr>
                <w:rFonts w:hint="eastAsia"/>
                <w:b w:val="0"/>
                <w:bCs w:val="0"/>
                <w:color w:val="auto"/>
                <w:sz w:val="24"/>
                <w:szCs w:val="24"/>
                <w:lang w:val="en-US" w:eastAsia="zh-CN"/>
              </w:rPr>
              <w:t>废塑料边角料</w:t>
            </w:r>
            <w:r>
              <w:rPr>
                <w:rFonts w:hint="eastAsia"/>
                <w:b w:val="0"/>
                <w:bCs w:val="0"/>
                <w:color w:val="auto"/>
                <w:sz w:val="24"/>
                <w:szCs w:val="24"/>
                <w:lang w:eastAsia="zh-CN"/>
              </w:rPr>
              <w:t>收集后外售综合利用</w:t>
            </w:r>
            <w:r>
              <w:rPr>
                <w:rFonts w:hint="eastAsia"/>
                <w:b w:val="0"/>
                <w:bCs w:val="0"/>
                <w:color w:val="auto"/>
                <w:sz w:val="24"/>
                <w:szCs w:val="24"/>
              </w:rPr>
              <w:t>；</w:t>
            </w:r>
            <w:r>
              <w:rPr>
                <w:rFonts w:hint="eastAsia"/>
                <w:b w:val="0"/>
                <w:bCs w:val="0"/>
                <w:color w:val="auto"/>
                <w:sz w:val="24"/>
                <w:szCs w:val="24"/>
                <w:lang w:eastAsia="zh-CN"/>
              </w:rPr>
              <w:t>废包装材料、不合格产品</w:t>
            </w:r>
            <w:r>
              <w:rPr>
                <w:rFonts w:hint="eastAsia"/>
                <w:b w:val="0"/>
                <w:bCs w:val="0"/>
                <w:color w:val="auto"/>
                <w:sz w:val="24"/>
                <w:szCs w:val="24"/>
                <w:lang w:val="en-US" w:eastAsia="zh-CN"/>
              </w:rPr>
              <w:t>破碎后产生的粉尘收集后回用于生产。</w:t>
            </w:r>
            <w:r>
              <w:rPr>
                <w:rFonts w:hint="eastAsia"/>
                <w:b w:val="0"/>
                <w:bCs w:val="0"/>
                <w:color w:val="auto"/>
                <w:sz w:val="24"/>
                <w:szCs w:val="24"/>
                <w:lang w:eastAsia="zh-CN"/>
              </w:rPr>
              <w:t>废活性炭、废矿物油、废油桶</w:t>
            </w:r>
            <w:r>
              <w:rPr>
                <w:rFonts w:hint="eastAsia"/>
                <w:b w:val="0"/>
                <w:bCs w:val="0"/>
                <w:color w:val="auto"/>
                <w:sz w:val="24"/>
                <w:szCs w:val="24"/>
              </w:rPr>
              <w:t>经收集后暂存于危险废物暂存</w:t>
            </w:r>
            <w:r>
              <w:rPr>
                <w:rFonts w:hint="eastAsia"/>
                <w:b w:val="0"/>
                <w:bCs w:val="0"/>
                <w:color w:val="auto"/>
                <w:sz w:val="24"/>
                <w:szCs w:val="24"/>
                <w:lang w:val="en-US" w:eastAsia="zh-CN"/>
              </w:rPr>
              <w:t>间</w:t>
            </w:r>
            <w:r>
              <w:rPr>
                <w:rFonts w:hint="eastAsia"/>
                <w:b w:val="0"/>
                <w:bCs w:val="0"/>
                <w:color w:val="auto"/>
                <w:sz w:val="24"/>
                <w:szCs w:val="24"/>
              </w:rPr>
              <w:t>，</w:t>
            </w:r>
            <w:r>
              <w:rPr>
                <w:rFonts w:hint="eastAsia"/>
                <w:b w:val="0"/>
                <w:bCs w:val="0"/>
                <w:color w:val="auto"/>
                <w:sz w:val="24"/>
                <w:szCs w:val="24"/>
                <w:lang w:val="en-US" w:eastAsia="zh-CN"/>
              </w:rPr>
              <w:t>定期</w:t>
            </w:r>
            <w:r>
              <w:rPr>
                <w:rFonts w:hint="eastAsia"/>
                <w:b w:val="0"/>
                <w:bCs w:val="0"/>
                <w:color w:val="auto"/>
                <w:sz w:val="24"/>
                <w:szCs w:val="24"/>
              </w:rPr>
              <w:t>由有资质单位进行处理</w:t>
            </w:r>
            <w:r>
              <w:rPr>
                <w:rFonts w:hint="eastAsia"/>
                <w:b w:val="0"/>
                <w:bCs w:val="0"/>
                <w:color w:val="auto"/>
                <w:sz w:val="24"/>
                <w:szCs w:val="24"/>
                <w:lang w:eastAsia="zh-CN"/>
              </w:rPr>
              <w:t>。</w:t>
            </w:r>
          </w:p>
        </w:tc>
      </w:tr>
      <w:tr w14:paraId="64BB9A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987" w:type="dxa"/>
            <w:noWrap w:val="0"/>
            <w:vAlign w:val="center"/>
          </w:tcPr>
          <w:p w14:paraId="392D3FF1">
            <w:pPr>
              <w:adjustRightInd w:val="0"/>
              <w:snapToGrid w:val="0"/>
              <w:jc w:val="center"/>
              <w:rPr>
                <w:b w:val="0"/>
                <w:bCs w:val="0"/>
                <w:color w:val="auto"/>
                <w:sz w:val="24"/>
                <w:szCs w:val="24"/>
              </w:rPr>
            </w:pPr>
            <w:r>
              <w:rPr>
                <w:b w:val="0"/>
                <w:bCs w:val="0"/>
                <w:color w:val="auto"/>
                <w:sz w:val="24"/>
                <w:szCs w:val="24"/>
              </w:rPr>
              <w:t>土壤及地下水污染防治措施</w:t>
            </w:r>
          </w:p>
        </w:tc>
        <w:tc>
          <w:tcPr>
            <w:tcW w:w="7813" w:type="dxa"/>
            <w:gridSpan w:val="4"/>
            <w:noWrap w:val="0"/>
            <w:vAlign w:val="center"/>
          </w:tcPr>
          <w:p w14:paraId="34CC372C">
            <w:pPr>
              <w:adjustRightInd w:val="0"/>
              <w:snapToGrid w:val="0"/>
              <w:jc w:val="left"/>
              <w:rPr>
                <w:b w:val="0"/>
                <w:bCs w:val="0"/>
                <w:color w:val="auto"/>
                <w:sz w:val="24"/>
                <w:szCs w:val="24"/>
              </w:rPr>
            </w:pPr>
            <w:r>
              <w:rPr>
                <w:rFonts w:hint="eastAsia"/>
                <w:b w:val="0"/>
                <w:bCs w:val="0"/>
                <w:color w:val="auto"/>
                <w:sz w:val="24"/>
                <w:szCs w:val="24"/>
              </w:rPr>
              <w:t>危废暂存间等重点防渗区域，基础底部夯实，上面铺装防渗层，等效黏土防渗层厚度≥6m，渗透系数≤10</w:t>
            </w:r>
            <w:r>
              <w:rPr>
                <w:rFonts w:hint="eastAsia"/>
                <w:b w:val="0"/>
                <w:bCs w:val="0"/>
                <w:color w:val="auto"/>
                <w:sz w:val="24"/>
                <w:szCs w:val="24"/>
                <w:vertAlign w:val="superscript"/>
              </w:rPr>
              <w:t>-7</w:t>
            </w:r>
            <w:r>
              <w:rPr>
                <w:rFonts w:hint="eastAsia"/>
                <w:b w:val="0"/>
                <w:bCs w:val="0"/>
                <w:color w:val="auto"/>
                <w:sz w:val="24"/>
                <w:szCs w:val="24"/>
              </w:rPr>
              <w:t>cm/s。</w:t>
            </w:r>
            <w:r>
              <w:rPr>
                <w:rFonts w:hint="eastAsia"/>
                <w:b w:val="0"/>
                <w:bCs w:val="0"/>
                <w:color w:val="auto"/>
                <w:sz w:val="24"/>
                <w:szCs w:val="24"/>
                <w:lang w:eastAsia="zh-CN"/>
              </w:rPr>
              <w:t>生产车间</w:t>
            </w:r>
            <w:r>
              <w:rPr>
                <w:rFonts w:hint="eastAsia"/>
                <w:b w:val="0"/>
                <w:bCs w:val="0"/>
                <w:color w:val="auto"/>
                <w:sz w:val="24"/>
                <w:szCs w:val="24"/>
                <w:lang w:val="en-US" w:eastAsia="zh-CN"/>
              </w:rPr>
              <w:t>、循环水池、化粪池</w:t>
            </w:r>
            <w:r>
              <w:rPr>
                <w:rFonts w:hint="eastAsia"/>
                <w:b w:val="0"/>
                <w:bCs w:val="0"/>
                <w:color w:val="auto"/>
                <w:sz w:val="24"/>
                <w:szCs w:val="24"/>
              </w:rPr>
              <w:t>等一般防渗区采取基底夯实、基础防渗及表层硬化措施，等效黏土防渗层厚度≥1.5m，渗透系数≤10</w:t>
            </w:r>
            <w:r>
              <w:rPr>
                <w:rFonts w:hint="eastAsia"/>
                <w:b w:val="0"/>
                <w:bCs w:val="0"/>
                <w:color w:val="auto"/>
                <w:sz w:val="24"/>
                <w:szCs w:val="24"/>
                <w:vertAlign w:val="superscript"/>
              </w:rPr>
              <w:t>-7</w:t>
            </w:r>
            <w:r>
              <w:rPr>
                <w:rFonts w:hint="eastAsia"/>
                <w:b w:val="0"/>
                <w:bCs w:val="0"/>
                <w:color w:val="auto"/>
                <w:sz w:val="24"/>
                <w:szCs w:val="24"/>
              </w:rPr>
              <w:t>cm/s。简单防渗区主要为办公</w:t>
            </w:r>
            <w:r>
              <w:rPr>
                <w:rFonts w:hint="eastAsia"/>
                <w:b w:val="0"/>
                <w:bCs w:val="0"/>
                <w:color w:val="auto"/>
                <w:sz w:val="24"/>
                <w:szCs w:val="24"/>
                <w:lang w:val="en-US" w:eastAsia="zh-CN"/>
              </w:rPr>
              <w:t>生活</w:t>
            </w:r>
            <w:r>
              <w:rPr>
                <w:rFonts w:hint="eastAsia"/>
                <w:b w:val="0"/>
                <w:bCs w:val="0"/>
                <w:color w:val="auto"/>
                <w:sz w:val="24"/>
                <w:szCs w:val="24"/>
              </w:rPr>
              <w:t>区</w:t>
            </w:r>
            <w:r>
              <w:rPr>
                <w:rFonts w:hint="eastAsia"/>
                <w:b w:val="0"/>
                <w:bCs w:val="0"/>
                <w:color w:val="auto"/>
                <w:sz w:val="24"/>
                <w:szCs w:val="24"/>
                <w:lang w:eastAsia="zh-CN"/>
              </w:rPr>
              <w:t>、</w:t>
            </w:r>
            <w:r>
              <w:rPr>
                <w:rFonts w:hint="eastAsia"/>
                <w:b w:val="0"/>
                <w:bCs w:val="0"/>
                <w:color w:val="auto"/>
                <w:sz w:val="24"/>
                <w:szCs w:val="24"/>
                <w:lang w:val="en-US" w:eastAsia="zh-CN"/>
              </w:rPr>
              <w:t>仓库</w:t>
            </w:r>
            <w:r>
              <w:rPr>
                <w:rFonts w:hint="eastAsia"/>
                <w:b w:val="0"/>
                <w:bCs w:val="0"/>
                <w:color w:val="auto"/>
                <w:sz w:val="24"/>
                <w:szCs w:val="24"/>
              </w:rPr>
              <w:t>等，进行地面硬化处理。</w:t>
            </w:r>
          </w:p>
        </w:tc>
      </w:tr>
      <w:tr w14:paraId="502758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1" w:hRule="atLeast"/>
          <w:jc w:val="center"/>
        </w:trPr>
        <w:tc>
          <w:tcPr>
            <w:tcW w:w="987" w:type="dxa"/>
            <w:noWrap w:val="0"/>
            <w:vAlign w:val="center"/>
          </w:tcPr>
          <w:p w14:paraId="0034204F">
            <w:pPr>
              <w:adjustRightInd w:val="0"/>
              <w:snapToGrid w:val="0"/>
              <w:jc w:val="center"/>
              <w:rPr>
                <w:b w:val="0"/>
                <w:bCs w:val="0"/>
                <w:color w:val="auto"/>
                <w:sz w:val="24"/>
                <w:szCs w:val="24"/>
              </w:rPr>
            </w:pPr>
            <w:r>
              <w:rPr>
                <w:b w:val="0"/>
                <w:bCs w:val="0"/>
                <w:color w:val="auto"/>
                <w:sz w:val="24"/>
                <w:szCs w:val="24"/>
              </w:rPr>
              <w:t>生态保护措施</w:t>
            </w:r>
          </w:p>
        </w:tc>
        <w:tc>
          <w:tcPr>
            <w:tcW w:w="7813" w:type="dxa"/>
            <w:gridSpan w:val="4"/>
            <w:noWrap w:val="0"/>
            <w:vAlign w:val="center"/>
          </w:tcPr>
          <w:p w14:paraId="0E7D145B">
            <w:pPr>
              <w:adjustRightInd w:val="0"/>
              <w:snapToGrid w:val="0"/>
              <w:jc w:val="center"/>
              <w:rPr>
                <w:rFonts w:hint="eastAsia" w:eastAsia="宋体"/>
                <w:b w:val="0"/>
                <w:bCs w:val="0"/>
                <w:color w:val="auto"/>
                <w:sz w:val="24"/>
                <w:szCs w:val="24"/>
                <w:lang w:eastAsia="zh-CN"/>
              </w:rPr>
            </w:pPr>
            <w:r>
              <w:rPr>
                <w:rFonts w:hint="eastAsia"/>
                <w:b w:val="0"/>
                <w:bCs w:val="0"/>
                <w:color w:val="auto"/>
                <w:sz w:val="24"/>
                <w:szCs w:val="24"/>
                <w:lang w:val="en-US" w:eastAsia="zh-CN"/>
              </w:rPr>
              <w:t>/</w:t>
            </w:r>
          </w:p>
        </w:tc>
      </w:tr>
      <w:tr w14:paraId="61EE87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987" w:type="dxa"/>
            <w:noWrap w:val="0"/>
            <w:vAlign w:val="center"/>
          </w:tcPr>
          <w:p w14:paraId="093A2E0B">
            <w:pPr>
              <w:adjustRightInd w:val="0"/>
              <w:snapToGrid w:val="0"/>
              <w:jc w:val="center"/>
              <w:rPr>
                <w:b w:val="0"/>
                <w:bCs w:val="0"/>
                <w:color w:val="auto"/>
                <w:spacing w:val="-8"/>
                <w:sz w:val="24"/>
                <w:szCs w:val="24"/>
              </w:rPr>
            </w:pPr>
            <w:r>
              <w:rPr>
                <w:b w:val="0"/>
                <w:bCs w:val="0"/>
                <w:color w:val="auto"/>
                <w:spacing w:val="-8"/>
                <w:sz w:val="24"/>
                <w:szCs w:val="24"/>
              </w:rPr>
              <w:t>环境风险防范措施</w:t>
            </w:r>
          </w:p>
        </w:tc>
        <w:tc>
          <w:tcPr>
            <w:tcW w:w="7813" w:type="dxa"/>
            <w:gridSpan w:val="4"/>
            <w:noWrap w:val="0"/>
            <w:vAlign w:val="center"/>
          </w:tcPr>
          <w:p w14:paraId="56AB06A7">
            <w:pPr>
              <w:adjustRightInd w:val="0"/>
              <w:snapToGrid w:val="0"/>
              <w:jc w:val="left"/>
              <w:rPr>
                <w:b w:val="0"/>
                <w:bCs w:val="0"/>
                <w:color w:val="auto"/>
                <w:sz w:val="24"/>
                <w:szCs w:val="24"/>
              </w:rPr>
            </w:pPr>
            <w:r>
              <w:rPr>
                <w:rFonts w:hint="eastAsia"/>
                <w:b w:val="0"/>
                <w:bCs w:val="0"/>
                <w:color w:val="auto"/>
                <w:sz w:val="24"/>
                <w:szCs w:val="24"/>
                <w:lang w:val="zh-CN"/>
              </w:rPr>
              <w:t>加强环境风险管理，严格遵守有关防爆、防火规章制度，加强岗位责任制，避免失误操作，进一步完善事故风险防范措施，并备有应急响应所需的物资；加强废气污染处理设施的运行和管理，保证其正常运行，杜绝事故性排放。</w:t>
            </w:r>
            <w:r>
              <w:rPr>
                <w:rFonts w:hint="eastAsia"/>
                <w:b w:val="0"/>
                <w:bCs w:val="0"/>
                <w:color w:val="auto"/>
                <w:sz w:val="24"/>
                <w:szCs w:val="24"/>
                <w:lang w:val="zh-CN" w:eastAsia="zh-CN"/>
              </w:rPr>
              <w:t>辅料仓库、危废暂存间设置围堰、导流沟及收集池，油品存放配备防泄漏托盘</w:t>
            </w:r>
            <w:r>
              <w:rPr>
                <w:rFonts w:hint="eastAsia"/>
                <w:b w:val="0"/>
                <w:bCs w:val="0"/>
                <w:color w:val="auto"/>
                <w:sz w:val="24"/>
                <w:szCs w:val="24"/>
                <w:lang w:val="zh-CN"/>
              </w:rPr>
              <w:t>。</w:t>
            </w:r>
          </w:p>
        </w:tc>
      </w:tr>
      <w:tr w14:paraId="092896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99" w:hRule="atLeast"/>
          <w:jc w:val="center"/>
        </w:trPr>
        <w:tc>
          <w:tcPr>
            <w:tcW w:w="987" w:type="dxa"/>
            <w:noWrap w:val="0"/>
            <w:vAlign w:val="center"/>
          </w:tcPr>
          <w:p w14:paraId="732101CA">
            <w:pPr>
              <w:adjustRightInd w:val="0"/>
              <w:snapToGrid w:val="0"/>
              <w:jc w:val="center"/>
              <w:rPr>
                <w:b w:val="0"/>
                <w:bCs w:val="0"/>
                <w:color w:val="auto"/>
                <w:spacing w:val="-8"/>
                <w:sz w:val="24"/>
                <w:szCs w:val="24"/>
              </w:rPr>
            </w:pPr>
            <w:r>
              <w:rPr>
                <w:b w:val="0"/>
                <w:bCs w:val="0"/>
                <w:color w:val="auto"/>
                <w:spacing w:val="-8"/>
                <w:sz w:val="24"/>
                <w:szCs w:val="24"/>
              </w:rPr>
              <w:t>其他环境管理要求</w:t>
            </w:r>
          </w:p>
        </w:tc>
        <w:tc>
          <w:tcPr>
            <w:tcW w:w="7813" w:type="dxa"/>
            <w:gridSpan w:val="4"/>
            <w:noWrap w:val="0"/>
            <w:vAlign w:val="center"/>
          </w:tcPr>
          <w:p w14:paraId="69B23B68">
            <w:pPr>
              <w:adjustRightInd w:val="0"/>
              <w:snapToGrid w:val="0"/>
              <w:spacing w:line="360" w:lineRule="auto"/>
              <w:ind w:firstLine="480" w:firstLineChars="200"/>
              <w:rPr>
                <w:b w:val="0"/>
                <w:bCs w:val="0"/>
                <w:sz w:val="24"/>
                <w:szCs w:val="24"/>
              </w:rPr>
            </w:pPr>
            <w:r>
              <w:rPr>
                <w:b w:val="0"/>
                <w:bCs w:val="0"/>
                <w:sz w:val="24"/>
                <w:szCs w:val="24"/>
              </w:rPr>
              <w:t>1、环境管理</w:t>
            </w:r>
          </w:p>
          <w:p w14:paraId="2EBADBF5">
            <w:pPr>
              <w:adjustRightInd w:val="0"/>
              <w:snapToGrid w:val="0"/>
              <w:spacing w:line="360" w:lineRule="auto"/>
              <w:ind w:firstLine="480" w:firstLineChars="200"/>
              <w:rPr>
                <w:b w:val="0"/>
                <w:bCs w:val="0"/>
                <w:sz w:val="24"/>
                <w:szCs w:val="24"/>
              </w:rPr>
            </w:pPr>
            <w:r>
              <w:rPr>
                <w:b w:val="0"/>
                <w:bCs w:val="0"/>
                <w:sz w:val="24"/>
                <w:szCs w:val="24"/>
              </w:rPr>
              <w:t>为了更好贯彻执行国家环境保护法律、法规、政策与标准，及时掌握和了解工程污染治理措施的效果，以及工程所在区域环境质量状况，更好地监控环保设施的运行情况，协调公司与地方环保职能部门的工作，同时保证企业生产管理和环境管理的正常运作，建立环境管理体系与监测制度是非常必要和重要的。</w:t>
            </w:r>
          </w:p>
          <w:p w14:paraId="38788950">
            <w:pPr>
              <w:adjustRightInd w:val="0"/>
              <w:snapToGrid w:val="0"/>
              <w:spacing w:line="360" w:lineRule="auto"/>
              <w:ind w:firstLine="480" w:firstLineChars="200"/>
              <w:rPr>
                <w:b w:val="0"/>
                <w:bCs w:val="0"/>
                <w:sz w:val="24"/>
                <w:szCs w:val="24"/>
              </w:rPr>
            </w:pPr>
            <w:r>
              <w:rPr>
                <w:b w:val="0"/>
                <w:bCs w:val="0"/>
                <w:sz w:val="24"/>
                <w:szCs w:val="24"/>
              </w:rPr>
              <w:t>2、排污口规范化管理</w:t>
            </w:r>
          </w:p>
          <w:p w14:paraId="37E657C0">
            <w:pPr>
              <w:adjustRightInd w:val="0"/>
              <w:snapToGrid w:val="0"/>
              <w:spacing w:line="360" w:lineRule="auto"/>
              <w:ind w:firstLine="480" w:firstLineChars="200"/>
              <w:rPr>
                <w:b w:val="0"/>
                <w:bCs w:val="0"/>
                <w:sz w:val="24"/>
                <w:szCs w:val="24"/>
              </w:rPr>
            </w:pPr>
            <w:r>
              <w:rPr>
                <w:b w:val="0"/>
                <w:bCs w:val="0"/>
                <w:sz w:val="24"/>
                <w:szCs w:val="24"/>
              </w:rPr>
              <w:t>根据国家、地方颁布的有关环境保护规定，废气排气筒、厂区废水总排放口、噪声排放源和固废贮存处置场所均应按《环境保护图形标志--排放口(源)》要求设立明显标志，具体标识见下表，标志牌应设在与之功能相应的醒目处，并保持清晰、完整。</w:t>
            </w:r>
          </w:p>
          <w:p w14:paraId="2D8045D2">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b/>
                <w:bCs/>
                <w:sz w:val="21"/>
                <w:szCs w:val="21"/>
              </w:rPr>
            </w:pPr>
            <w:r>
              <w:rPr>
                <w:b/>
                <w:bCs/>
                <w:sz w:val="21"/>
                <w:szCs w:val="21"/>
              </w:rPr>
              <w:t>表5-1  环境保护图形标志一览表</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72"/>
              <w:gridCol w:w="1935"/>
              <w:gridCol w:w="1779"/>
              <w:gridCol w:w="1483"/>
              <w:gridCol w:w="1917"/>
            </w:tblGrid>
            <w:tr w14:paraId="7A6EA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11" w:type="pct"/>
                  <w:noWrap w:val="0"/>
                  <w:vAlign w:val="center"/>
                </w:tcPr>
                <w:p w14:paraId="646434D4">
                  <w:pPr>
                    <w:adjustRightInd w:val="0"/>
                    <w:snapToGrid w:val="0"/>
                    <w:jc w:val="center"/>
                    <w:rPr>
                      <w:b w:val="0"/>
                      <w:bCs w:val="0"/>
                      <w:sz w:val="24"/>
                      <w:szCs w:val="24"/>
                    </w:rPr>
                  </w:pPr>
                  <w:r>
                    <w:rPr>
                      <w:b w:val="0"/>
                      <w:bCs w:val="0"/>
                      <w:sz w:val="24"/>
                      <w:szCs w:val="24"/>
                    </w:rPr>
                    <w:t>序号</w:t>
                  </w:r>
                </w:p>
              </w:tc>
              <w:tc>
                <w:tcPr>
                  <w:tcW w:w="1275" w:type="pct"/>
                  <w:noWrap w:val="0"/>
                  <w:vAlign w:val="center"/>
                </w:tcPr>
                <w:p w14:paraId="1A7ACF74">
                  <w:pPr>
                    <w:adjustRightInd w:val="0"/>
                    <w:snapToGrid w:val="0"/>
                    <w:jc w:val="center"/>
                    <w:rPr>
                      <w:b w:val="0"/>
                      <w:bCs w:val="0"/>
                      <w:sz w:val="24"/>
                      <w:szCs w:val="24"/>
                    </w:rPr>
                  </w:pPr>
                  <w:r>
                    <w:rPr>
                      <w:b w:val="0"/>
                      <w:bCs w:val="0"/>
                      <w:sz w:val="24"/>
                      <w:szCs w:val="24"/>
                    </w:rPr>
                    <w:t>提示图形符号</w:t>
                  </w:r>
                </w:p>
              </w:tc>
              <w:tc>
                <w:tcPr>
                  <w:tcW w:w="1172" w:type="pct"/>
                  <w:noWrap w:val="0"/>
                  <w:vAlign w:val="center"/>
                </w:tcPr>
                <w:p w14:paraId="62FAF4F7">
                  <w:pPr>
                    <w:adjustRightInd w:val="0"/>
                    <w:snapToGrid w:val="0"/>
                    <w:jc w:val="center"/>
                    <w:rPr>
                      <w:b w:val="0"/>
                      <w:bCs w:val="0"/>
                      <w:sz w:val="24"/>
                      <w:szCs w:val="24"/>
                    </w:rPr>
                  </w:pPr>
                  <w:r>
                    <w:rPr>
                      <w:b w:val="0"/>
                      <w:bCs w:val="0"/>
                      <w:sz w:val="24"/>
                      <w:szCs w:val="24"/>
                    </w:rPr>
                    <w:t>警示图形符号</w:t>
                  </w:r>
                </w:p>
              </w:tc>
              <w:tc>
                <w:tcPr>
                  <w:tcW w:w="977" w:type="pct"/>
                  <w:noWrap w:val="0"/>
                  <w:vAlign w:val="center"/>
                </w:tcPr>
                <w:p w14:paraId="1A215EAF">
                  <w:pPr>
                    <w:adjustRightInd w:val="0"/>
                    <w:snapToGrid w:val="0"/>
                    <w:jc w:val="center"/>
                    <w:rPr>
                      <w:b w:val="0"/>
                      <w:bCs w:val="0"/>
                      <w:sz w:val="24"/>
                      <w:szCs w:val="24"/>
                    </w:rPr>
                  </w:pPr>
                  <w:r>
                    <w:rPr>
                      <w:b w:val="0"/>
                      <w:bCs w:val="0"/>
                      <w:sz w:val="24"/>
                      <w:szCs w:val="24"/>
                    </w:rPr>
                    <w:t>名称</w:t>
                  </w:r>
                </w:p>
              </w:tc>
              <w:tc>
                <w:tcPr>
                  <w:tcW w:w="1263" w:type="pct"/>
                  <w:noWrap w:val="0"/>
                  <w:vAlign w:val="center"/>
                </w:tcPr>
                <w:p w14:paraId="798367B8">
                  <w:pPr>
                    <w:adjustRightInd w:val="0"/>
                    <w:snapToGrid w:val="0"/>
                    <w:jc w:val="center"/>
                    <w:rPr>
                      <w:b w:val="0"/>
                      <w:bCs w:val="0"/>
                      <w:sz w:val="24"/>
                      <w:szCs w:val="24"/>
                    </w:rPr>
                  </w:pPr>
                  <w:r>
                    <w:rPr>
                      <w:b w:val="0"/>
                      <w:bCs w:val="0"/>
                      <w:sz w:val="24"/>
                      <w:szCs w:val="24"/>
                    </w:rPr>
                    <w:t>功能</w:t>
                  </w:r>
                </w:p>
              </w:tc>
            </w:tr>
            <w:tr w14:paraId="7578C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38" w:hRule="atLeast"/>
              </w:trPr>
              <w:tc>
                <w:tcPr>
                  <w:tcW w:w="311" w:type="pct"/>
                  <w:noWrap w:val="0"/>
                  <w:vAlign w:val="center"/>
                </w:tcPr>
                <w:p w14:paraId="22574FF9">
                  <w:pPr>
                    <w:adjustRightInd w:val="0"/>
                    <w:snapToGrid w:val="0"/>
                    <w:jc w:val="center"/>
                    <w:rPr>
                      <w:b w:val="0"/>
                      <w:bCs w:val="0"/>
                      <w:sz w:val="24"/>
                      <w:szCs w:val="24"/>
                    </w:rPr>
                  </w:pPr>
                  <w:r>
                    <w:rPr>
                      <w:b w:val="0"/>
                      <w:bCs w:val="0"/>
                      <w:sz w:val="24"/>
                      <w:szCs w:val="24"/>
                    </w:rPr>
                    <w:t>1</w:t>
                  </w:r>
                </w:p>
              </w:tc>
              <w:tc>
                <w:tcPr>
                  <w:tcW w:w="1275" w:type="pct"/>
                  <w:noWrap w:val="0"/>
                  <w:vAlign w:val="center"/>
                </w:tcPr>
                <w:p w14:paraId="4AB364A4">
                  <w:pPr>
                    <w:adjustRightInd w:val="0"/>
                    <w:snapToGrid w:val="0"/>
                    <w:jc w:val="center"/>
                    <w:rPr>
                      <w:b w:val="0"/>
                      <w:bCs w:val="0"/>
                      <w:sz w:val="24"/>
                      <w:szCs w:val="24"/>
                    </w:rPr>
                  </w:pPr>
                  <w:r>
                    <w:rPr>
                      <w:b w:val="0"/>
                      <w:bCs w:val="0"/>
                      <w:sz w:val="24"/>
                      <w:szCs w:val="24"/>
                    </w:rPr>
                    <w:drawing>
                      <wp:inline distT="0" distB="0" distL="114300" distR="114300">
                        <wp:extent cx="600075" cy="600075"/>
                        <wp:effectExtent l="0" t="0" r="9525" b="9525"/>
                        <wp:docPr id="9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41"/>
                                <pic:cNvPicPr>
                                  <a:picLocks noChangeAspect="1"/>
                                </pic:cNvPicPr>
                              </pic:nvPicPr>
                              <pic:blipFill>
                                <a:blip r:embed="rId52"/>
                                <a:stretch>
                                  <a:fillRect/>
                                </a:stretch>
                              </pic:blipFill>
                              <pic:spPr>
                                <a:xfrm>
                                  <a:off x="0" y="0"/>
                                  <a:ext cx="600075" cy="600075"/>
                                </a:xfrm>
                                <a:prstGeom prst="rect">
                                  <a:avLst/>
                                </a:prstGeom>
                                <a:noFill/>
                                <a:ln>
                                  <a:noFill/>
                                </a:ln>
                              </pic:spPr>
                            </pic:pic>
                          </a:graphicData>
                        </a:graphic>
                      </wp:inline>
                    </w:drawing>
                  </w:r>
                </w:p>
              </w:tc>
              <w:tc>
                <w:tcPr>
                  <w:tcW w:w="1172" w:type="pct"/>
                  <w:noWrap w:val="0"/>
                  <w:vAlign w:val="center"/>
                </w:tcPr>
                <w:p w14:paraId="3D8A41E9">
                  <w:pPr>
                    <w:adjustRightInd w:val="0"/>
                    <w:snapToGrid w:val="0"/>
                    <w:jc w:val="center"/>
                    <w:rPr>
                      <w:b w:val="0"/>
                      <w:bCs w:val="0"/>
                      <w:sz w:val="24"/>
                      <w:szCs w:val="24"/>
                    </w:rPr>
                  </w:pPr>
                  <w:r>
                    <w:rPr>
                      <w:b w:val="0"/>
                      <w:bCs w:val="0"/>
                      <w:sz w:val="24"/>
                      <w:szCs w:val="24"/>
                    </w:rPr>
                    <w:drawing>
                      <wp:inline distT="0" distB="0" distL="114300" distR="114300">
                        <wp:extent cx="638175" cy="619125"/>
                        <wp:effectExtent l="0" t="0" r="1905" b="5715"/>
                        <wp:docPr id="9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2"/>
                                <pic:cNvPicPr>
                                  <a:picLocks noChangeAspect="1"/>
                                </pic:cNvPicPr>
                              </pic:nvPicPr>
                              <pic:blipFill>
                                <a:blip r:embed="rId53"/>
                                <a:stretch>
                                  <a:fillRect/>
                                </a:stretch>
                              </pic:blipFill>
                              <pic:spPr>
                                <a:xfrm>
                                  <a:off x="0" y="0"/>
                                  <a:ext cx="638175" cy="619125"/>
                                </a:xfrm>
                                <a:prstGeom prst="rect">
                                  <a:avLst/>
                                </a:prstGeom>
                                <a:noFill/>
                                <a:ln>
                                  <a:noFill/>
                                </a:ln>
                              </pic:spPr>
                            </pic:pic>
                          </a:graphicData>
                        </a:graphic>
                      </wp:inline>
                    </w:drawing>
                  </w:r>
                </w:p>
              </w:tc>
              <w:tc>
                <w:tcPr>
                  <w:tcW w:w="977" w:type="pct"/>
                  <w:noWrap w:val="0"/>
                  <w:vAlign w:val="center"/>
                </w:tcPr>
                <w:p w14:paraId="29B2AD9E">
                  <w:pPr>
                    <w:pStyle w:val="73"/>
                    <w:snapToGrid w:val="0"/>
                    <w:rPr>
                      <w:b w:val="0"/>
                      <w:bCs w:val="0"/>
                      <w:sz w:val="24"/>
                      <w:szCs w:val="24"/>
                    </w:rPr>
                  </w:pPr>
                  <w:r>
                    <w:rPr>
                      <w:b w:val="0"/>
                      <w:bCs w:val="0"/>
                      <w:sz w:val="24"/>
                      <w:szCs w:val="24"/>
                    </w:rPr>
                    <w:t>污水总排放口</w:t>
                  </w:r>
                  <w:r>
                    <w:rPr>
                      <w:rFonts w:hint="eastAsia"/>
                      <w:b w:val="0"/>
                      <w:bCs w:val="0"/>
                      <w:sz w:val="24"/>
                      <w:szCs w:val="24"/>
                      <w:lang w:eastAsia="zh-CN"/>
                    </w:rPr>
                    <w:t>标识</w:t>
                  </w:r>
                </w:p>
              </w:tc>
              <w:tc>
                <w:tcPr>
                  <w:tcW w:w="1263" w:type="pct"/>
                  <w:noWrap w:val="0"/>
                  <w:vAlign w:val="center"/>
                </w:tcPr>
                <w:p w14:paraId="2DDBDFAA">
                  <w:pPr>
                    <w:adjustRightInd w:val="0"/>
                    <w:snapToGrid w:val="0"/>
                    <w:jc w:val="center"/>
                    <w:rPr>
                      <w:b w:val="0"/>
                      <w:bCs w:val="0"/>
                      <w:sz w:val="24"/>
                      <w:szCs w:val="24"/>
                    </w:rPr>
                  </w:pPr>
                  <w:r>
                    <w:rPr>
                      <w:b w:val="0"/>
                      <w:bCs w:val="0"/>
                      <w:sz w:val="24"/>
                      <w:szCs w:val="24"/>
                    </w:rPr>
                    <w:t>表示污水向水体排放</w:t>
                  </w:r>
                </w:p>
              </w:tc>
            </w:tr>
            <w:tr w14:paraId="52131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69" w:hRule="atLeast"/>
              </w:trPr>
              <w:tc>
                <w:tcPr>
                  <w:tcW w:w="311" w:type="pct"/>
                  <w:noWrap w:val="0"/>
                  <w:vAlign w:val="center"/>
                </w:tcPr>
                <w:p w14:paraId="58CD04A8">
                  <w:pPr>
                    <w:adjustRightInd w:val="0"/>
                    <w:snapToGrid w:val="0"/>
                    <w:jc w:val="center"/>
                    <w:rPr>
                      <w:b w:val="0"/>
                      <w:bCs w:val="0"/>
                      <w:sz w:val="24"/>
                      <w:szCs w:val="24"/>
                    </w:rPr>
                  </w:pPr>
                  <w:r>
                    <w:rPr>
                      <w:b w:val="0"/>
                      <w:bCs w:val="0"/>
                      <w:sz w:val="24"/>
                      <w:szCs w:val="24"/>
                    </w:rPr>
                    <w:t>2</w:t>
                  </w:r>
                </w:p>
              </w:tc>
              <w:tc>
                <w:tcPr>
                  <w:tcW w:w="1275" w:type="pct"/>
                  <w:noWrap w:val="0"/>
                  <w:vAlign w:val="center"/>
                </w:tcPr>
                <w:p w14:paraId="452007CF">
                  <w:pPr>
                    <w:adjustRightInd w:val="0"/>
                    <w:snapToGrid w:val="0"/>
                    <w:jc w:val="center"/>
                    <w:rPr>
                      <w:b w:val="0"/>
                      <w:bCs w:val="0"/>
                      <w:sz w:val="24"/>
                      <w:szCs w:val="24"/>
                    </w:rPr>
                  </w:pPr>
                  <w:r>
                    <w:rPr>
                      <w:b w:val="0"/>
                      <w:bCs w:val="0"/>
                      <w:sz w:val="24"/>
                      <w:szCs w:val="24"/>
                    </w:rPr>
                    <w:drawing>
                      <wp:inline distT="0" distB="0" distL="114300" distR="114300">
                        <wp:extent cx="676275" cy="647700"/>
                        <wp:effectExtent l="0" t="0" r="9525" b="7620"/>
                        <wp:docPr id="9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3"/>
                                <pic:cNvPicPr>
                                  <a:picLocks noChangeAspect="1"/>
                                </pic:cNvPicPr>
                              </pic:nvPicPr>
                              <pic:blipFill>
                                <a:blip r:embed="rId54"/>
                                <a:stretch>
                                  <a:fillRect/>
                                </a:stretch>
                              </pic:blipFill>
                              <pic:spPr>
                                <a:xfrm>
                                  <a:off x="0" y="0"/>
                                  <a:ext cx="676275" cy="647700"/>
                                </a:xfrm>
                                <a:prstGeom prst="rect">
                                  <a:avLst/>
                                </a:prstGeom>
                                <a:noFill/>
                                <a:ln>
                                  <a:noFill/>
                                </a:ln>
                              </pic:spPr>
                            </pic:pic>
                          </a:graphicData>
                        </a:graphic>
                      </wp:inline>
                    </w:drawing>
                  </w:r>
                </w:p>
              </w:tc>
              <w:tc>
                <w:tcPr>
                  <w:tcW w:w="1172" w:type="pct"/>
                  <w:noWrap w:val="0"/>
                  <w:vAlign w:val="center"/>
                </w:tcPr>
                <w:p w14:paraId="77D6B76B">
                  <w:pPr>
                    <w:adjustRightInd w:val="0"/>
                    <w:snapToGrid w:val="0"/>
                    <w:jc w:val="center"/>
                    <w:rPr>
                      <w:b w:val="0"/>
                      <w:bCs w:val="0"/>
                      <w:sz w:val="24"/>
                      <w:szCs w:val="24"/>
                    </w:rPr>
                  </w:pPr>
                  <w:r>
                    <w:rPr>
                      <w:b w:val="0"/>
                      <w:bCs w:val="0"/>
                      <w:sz w:val="24"/>
                      <w:szCs w:val="24"/>
                    </w:rPr>
                    <w:drawing>
                      <wp:inline distT="0" distB="0" distL="114300" distR="114300">
                        <wp:extent cx="638175" cy="619125"/>
                        <wp:effectExtent l="0" t="0" r="1905" b="5715"/>
                        <wp:docPr id="9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4"/>
                                <pic:cNvPicPr>
                                  <a:picLocks noChangeAspect="1"/>
                                </pic:cNvPicPr>
                              </pic:nvPicPr>
                              <pic:blipFill>
                                <a:blip r:embed="rId55"/>
                                <a:stretch>
                                  <a:fillRect/>
                                </a:stretch>
                              </pic:blipFill>
                              <pic:spPr>
                                <a:xfrm>
                                  <a:off x="0" y="0"/>
                                  <a:ext cx="638175" cy="619125"/>
                                </a:xfrm>
                                <a:prstGeom prst="rect">
                                  <a:avLst/>
                                </a:prstGeom>
                                <a:noFill/>
                                <a:ln>
                                  <a:noFill/>
                                </a:ln>
                              </pic:spPr>
                            </pic:pic>
                          </a:graphicData>
                        </a:graphic>
                      </wp:inline>
                    </w:drawing>
                  </w:r>
                </w:p>
              </w:tc>
              <w:tc>
                <w:tcPr>
                  <w:tcW w:w="977" w:type="pct"/>
                  <w:noWrap w:val="0"/>
                  <w:vAlign w:val="center"/>
                </w:tcPr>
                <w:p w14:paraId="3A27BFA5">
                  <w:pPr>
                    <w:pStyle w:val="73"/>
                    <w:snapToGrid w:val="0"/>
                    <w:rPr>
                      <w:b w:val="0"/>
                      <w:bCs w:val="0"/>
                      <w:sz w:val="24"/>
                      <w:szCs w:val="24"/>
                    </w:rPr>
                  </w:pPr>
                  <w:r>
                    <w:rPr>
                      <w:b w:val="0"/>
                      <w:bCs w:val="0"/>
                      <w:sz w:val="24"/>
                      <w:szCs w:val="24"/>
                    </w:rPr>
                    <w:t>废气排放口</w:t>
                  </w:r>
                  <w:r>
                    <w:rPr>
                      <w:rFonts w:hint="eastAsia"/>
                      <w:b w:val="0"/>
                      <w:bCs w:val="0"/>
                      <w:sz w:val="24"/>
                      <w:szCs w:val="24"/>
                      <w:lang w:eastAsia="zh-CN"/>
                    </w:rPr>
                    <w:t>标识</w:t>
                  </w:r>
                </w:p>
              </w:tc>
              <w:tc>
                <w:tcPr>
                  <w:tcW w:w="1263" w:type="pct"/>
                  <w:noWrap w:val="0"/>
                  <w:vAlign w:val="center"/>
                </w:tcPr>
                <w:p w14:paraId="35AB9F87">
                  <w:pPr>
                    <w:adjustRightInd w:val="0"/>
                    <w:snapToGrid w:val="0"/>
                    <w:jc w:val="center"/>
                    <w:rPr>
                      <w:b w:val="0"/>
                      <w:bCs w:val="0"/>
                      <w:sz w:val="24"/>
                      <w:szCs w:val="24"/>
                    </w:rPr>
                  </w:pPr>
                  <w:r>
                    <w:rPr>
                      <w:b w:val="0"/>
                      <w:bCs w:val="0"/>
                      <w:sz w:val="24"/>
                      <w:szCs w:val="24"/>
                    </w:rPr>
                    <w:t>表示废气向大气环境排放</w:t>
                  </w:r>
                </w:p>
              </w:tc>
            </w:tr>
            <w:tr w14:paraId="42986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3" w:hRule="atLeast"/>
              </w:trPr>
              <w:tc>
                <w:tcPr>
                  <w:tcW w:w="311" w:type="pct"/>
                  <w:noWrap w:val="0"/>
                  <w:vAlign w:val="center"/>
                </w:tcPr>
                <w:p w14:paraId="6580E554">
                  <w:pPr>
                    <w:adjustRightInd w:val="0"/>
                    <w:snapToGrid w:val="0"/>
                    <w:jc w:val="center"/>
                    <w:rPr>
                      <w:b w:val="0"/>
                      <w:bCs w:val="0"/>
                      <w:sz w:val="24"/>
                      <w:szCs w:val="24"/>
                    </w:rPr>
                  </w:pPr>
                  <w:r>
                    <w:rPr>
                      <w:b w:val="0"/>
                      <w:bCs w:val="0"/>
                      <w:sz w:val="24"/>
                      <w:szCs w:val="24"/>
                    </w:rPr>
                    <w:t>3</w:t>
                  </w:r>
                </w:p>
              </w:tc>
              <w:tc>
                <w:tcPr>
                  <w:tcW w:w="1275" w:type="pct"/>
                  <w:noWrap w:val="0"/>
                  <w:vAlign w:val="center"/>
                </w:tcPr>
                <w:p w14:paraId="3BCFB6E5">
                  <w:pPr>
                    <w:adjustRightInd w:val="0"/>
                    <w:snapToGrid w:val="0"/>
                    <w:jc w:val="center"/>
                    <w:rPr>
                      <w:b w:val="0"/>
                      <w:bCs w:val="0"/>
                      <w:sz w:val="24"/>
                      <w:szCs w:val="24"/>
                    </w:rPr>
                  </w:pPr>
                  <w:r>
                    <w:rPr>
                      <w:b w:val="0"/>
                      <w:bCs w:val="0"/>
                      <w:sz w:val="24"/>
                      <w:szCs w:val="24"/>
                    </w:rPr>
                    <w:drawing>
                      <wp:inline distT="0" distB="0" distL="114300" distR="114300">
                        <wp:extent cx="676275" cy="647700"/>
                        <wp:effectExtent l="0" t="0" r="9525" b="7620"/>
                        <wp:docPr id="9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5"/>
                                <pic:cNvPicPr>
                                  <a:picLocks noChangeAspect="1"/>
                                </pic:cNvPicPr>
                              </pic:nvPicPr>
                              <pic:blipFill>
                                <a:blip r:embed="rId56"/>
                                <a:stretch>
                                  <a:fillRect/>
                                </a:stretch>
                              </pic:blipFill>
                              <pic:spPr>
                                <a:xfrm>
                                  <a:off x="0" y="0"/>
                                  <a:ext cx="676275" cy="647700"/>
                                </a:xfrm>
                                <a:prstGeom prst="rect">
                                  <a:avLst/>
                                </a:prstGeom>
                                <a:noFill/>
                                <a:ln>
                                  <a:noFill/>
                                </a:ln>
                              </pic:spPr>
                            </pic:pic>
                          </a:graphicData>
                        </a:graphic>
                      </wp:inline>
                    </w:drawing>
                  </w:r>
                </w:p>
              </w:tc>
              <w:tc>
                <w:tcPr>
                  <w:tcW w:w="1172" w:type="pct"/>
                  <w:noWrap w:val="0"/>
                  <w:vAlign w:val="center"/>
                </w:tcPr>
                <w:p w14:paraId="6E8A9664">
                  <w:pPr>
                    <w:adjustRightInd w:val="0"/>
                    <w:snapToGrid w:val="0"/>
                    <w:jc w:val="center"/>
                    <w:rPr>
                      <w:b w:val="0"/>
                      <w:bCs w:val="0"/>
                      <w:sz w:val="24"/>
                      <w:szCs w:val="24"/>
                    </w:rPr>
                  </w:pPr>
                  <w:r>
                    <w:rPr>
                      <w:b w:val="0"/>
                      <w:bCs w:val="0"/>
                      <w:sz w:val="24"/>
                      <w:szCs w:val="24"/>
                    </w:rPr>
                    <w:drawing>
                      <wp:inline distT="0" distB="0" distL="114300" distR="114300">
                        <wp:extent cx="638175" cy="619125"/>
                        <wp:effectExtent l="0" t="0" r="1905" b="5715"/>
                        <wp:docPr id="9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6"/>
                                <pic:cNvPicPr>
                                  <a:picLocks noChangeAspect="1"/>
                                </pic:cNvPicPr>
                              </pic:nvPicPr>
                              <pic:blipFill>
                                <a:blip r:embed="rId57"/>
                                <a:stretch>
                                  <a:fillRect/>
                                </a:stretch>
                              </pic:blipFill>
                              <pic:spPr>
                                <a:xfrm>
                                  <a:off x="0" y="0"/>
                                  <a:ext cx="638175" cy="619125"/>
                                </a:xfrm>
                                <a:prstGeom prst="rect">
                                  <a:avLst/>
                                </a:prstGeom>
                                <a:noFill/>
                                <a:ln>
                                  <a:noFill/>
                                </a:ln>
                              </pic:spPr>
                            </pic:pic>
                          </a:graphicData>
                        </a:graphic>
                      </wp:inline>
                    </w:drawing>
                  </w:r>
                </w:p>
              </w:tc>
              <w:tc>
                <w:tcPr>
                  <w:tcW w:w="977" w:type="pct"/>
                  <w:noWrap w:val="0"/>
                  <w:vAlign w:val="center"/>
                </w:tcPr>
                <w:p w14:paraId="2E719068">
                  <w:pPr>
                    <w:pStyle w:val="73"/>
                    <w:snapToGrid w:val="0"/>
                    <w:rPr>
                      <w:b w:val="0"/>
                      <w:bCs w:val="0"/>
                      <w:sz w:val="24"/>
                      <w:szCs w:val="24"/>
                    </w:rPr>
                  </w:pPr>
                  <w:r>
                    <w:rPr>
                      <w:b w:val="0"/>
                      <w:bCs w:val="0"/>
                      <w:sz w:val="24"/>
                      <w:szCs w:val="24"/>
                    </w:rPr>
                    <w:t>噪声排放源</w:t>
                  </w:r>
                  <w:r>
                    <w:rPr>
                      <w:rFonts w:hint="eastAsia"/>
                      <w:b w:val="0"/>
                      <w:bCs w:val="0"/>
                      <w:sz w:val="24"/>
                      <w:szCs w:val="24"/>
                      <w:lang w:eastAsia="zh-CN"/>
                    </w:rPr>
                    <w:t>标识</w:t>
                  </w:r>
                </w:p>
              </w:tc>
              <w:tc>
                <w:tcPr>
                  <w:tcW w:w="1263" w:type="pct"/>
                  <w:noWrap w:val="0"/>
                  <w:vAlign w:val="center"/>
                </w:tcPr>
                <w:p w14:paraId="52E44B3B">
                  <w:pPr>
                    <w:pStyle w:val="73"/>
                    <w:snapToGrid w:val="0"/>
                    <w:rPr>
                      <w:b w:val="0"/>
                      <w:bCs w:val="0"/>
                      <w:sz w:val="24"/>
                      <w:szCs w:val="24"/>
                    </w:rPr>
                  </w:pPr>
                  <w:r>
                    <w:rPr>
                      <w:b w:val="0"/>
                      <w:bCs w:val="0"/>
                      <w:sz w:val="24"/>
                      <w:szCs w:val="24"/>
                    </w:rPr>
                    <w:t>表示噪声向外环境排放</w:t>
                  </w:r>
                </w:p>
              </w:tc>
            </w:tr>
            <w:tr w14:paraId="6C5F2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11" w:type="pct"/>
                  <w:noWrap w:val="0"/>
                  <w:vAlign w:val="center"/>
                </w:tcPr>
                <w:p w14:paraId="5AAEF909">
                  <w:pPr>
                    <w:adjustRightInd w:val="0"/>
                    <w:snapToGrid w:val="0"/>
                    <w:jc w:val="center"/>
                    <w:rPr>
                      <w:b w:val="0"/>
                      <w:bCs w:val="0"/>
                      <w:sz w:val="24"/>
                      <w:szCs w:val="24"/>
                    </w:rPr>
                  </w:pPr>
                  <w:r>
                    <w:rPr>
                      <w:b w:val="0"/>
                      <w:bCs w:val="0"/>
                      <w:sz w:val="24"/>
                      <w:szCs w:val="24"/>
                    </w:rPr>
                    <w:t>4</w:t>
                  </w:r>
                </w:p>
              </w:tc>
              <w:tc>
                <w:tcPr>
                  <w:tcW w:w="1275" w:type="pct"/>
                  <w:noWrap w:val="0"/>
                  <w:vAlign w:val="center"/>
                </w:tcPr>
                <w:p w14:paraId="5019C4C7">
                  <w:pPr>
                    <w:adjustRightInd w:val="0"/>
                    <w:snapToGrid w:val="0"/>
                    <w:jc w:val="center"/>
                    <w:rPr>
                      <w:b w:val="0"/>
                      <w:bCs w:val="0"/>
                      <w:sz w:val="24"/>
                      <w:szCs w:val="24"/>
                    </w:rPr>
                  </w:pPr>
                  <w:r>
                    <w:rPr>
                      <w:b w:val="0"/>
                      <w:bCs w:val="0"/>
                      <w:sz w:val="24"/>
                      <w:szCs w:val="24"/>
                    </w:rPr>
                    <w:drawing>
                      <wp:inline distT="0" distB="0" distL="114300" distR="114300">
                        <wp:extent cx="638175" cy="619125"/>
                        <wp:effectExtent l="0" t="0" r="1905" b="5715"/>
                        <wp:docPr id="9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7"/>
                                <pic:cNvPicPr>
                                  <a:picLocks noChangeAspect="1"/>
                                </pic:cNvPicPr>
                              </pic:nvPicPr>
                              <pic:blipFill>
                                <a:blip r:embed="rId58"/>
                                <a:stretch>
                                  <a:fillRect/>
                                </a:stretch>
                              </pic:blipFill>
                              <pic:spPr>
                                <a:xfrm>
                                  <a:off x="0" y="0"/>
                                  <a:ext cx="638175" cy="619125"/>
                                </a:xfrm>
                                <a:prstGeom prst="rect">
                                  <a:avLst/>
                                </a:prstGeom>
                                <a:noFill/>
                                <a:ln>
                                  <a:noFill/>
                                </a:ln>
                              </pic:spPr>
                            </pic:pic>
                          </a:graphicData>
                        </a:graphic>
                      </wp:inline>
                    </w:drawing>
                  </w:r>
                </w:p>
              </w:tc>
              <w:tc>
                <w:tcPr>
                  <w:tcW w:w="1172" w:type="pct"/>
                  <w:noWrap w:val="0"/>
                  <w:vAlign w:val="center"/>
                </w:tcPr>
                <w:p w14:paraId="75E0DA93">
                  <w:pPr>
                    <w:adjustRightInd w:val="0"/>
                    <w:snapToGrid w:val="0"/>
                    <w:jc w:val="center"/>
                    <w:rPr>
                      <w:b w:val="0"/>
                      <w:bCs w:val="0"/>
                      <w:sz w:val="24"/>
                      <w:szCs w:val="24"/>
                    </w:rPr>
                  </w:pPr>
                  <w:r>
                    <w:rPr>
                      <w:b w:val="0"/>
                      <w:bCs w:val="0"/>
                      <w:sz w:val="24"/>
                      <w:szCs w:val="24"/>
                    </w:rPr>
                    <w:drawing>
                      <wp:inline distT="0" distB="0" distL="114300" distR="114300">
                        <wp:extent cx="714375" cy="657225"/>
                        <wp:effectExtent l="0" t="0" r="1905" b="13335"/>
                        <wp:docPr id="9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8"/>
                                <pic:cNvPicPr>
                                  <a:picLocks noChangeAspect="1"/>
                                </pic:cNvPicPr>
                              </pic:nvPicPr>
                              <pic:blipFill>
                                <a:blip r:embed="rId59"/>
                                <a:stretch>
                                  <a:fillRect/>
                                </a:stretch>
                              </pic:blipFill>
                              <pic:spPr>
                                <a:xfrm>
                                  <a:off x="0" y="0"/>
                                  <a:ext cx="714375" cy="657225"/>
                                </a:xfrm>
                                <a:prstGeom prst="rect">
                                  <a:avLst/>
                                </a:prstGeom>
                                <a:noFill/>
                                <a:ln>
                                  <a:noFill/>
                                </a:ln>
                              </pic:spPr>
                            </pic:pic>
                          </a:graphicData>
                        </a:graphic>
                      </wp:inline>
                    </w:drawing>
                  </w:r>
                </w:p>
              </w:tc>
              <w:tc>
                <w:tcPr>
                  <w:tcW w:w="977" w:type="pct"/>
                  <w:noWrap w:val="0"/>
                  <w:vAlign w:val="center"/>
                </w:tcPr>
                <w:p w14:paraId="57EA7903">
                  <w:pPr>
                    <w:pStyle w:val="73"/>
                    <w:snapToGrid w:val="0"/>
                    <w:rPr>
                      <w:rFonts w:hint="eastAsia" w:eastAsia="宋体"/>
                      <w:b w:val="0"/>
                      <w:bCs w:val="0"/>
                      <w:sz w:val="24"/>
                      <w:szCs w:val="24"/>
                      <w:lang w:eastAsia="zh-CN"/>
                    </w:rPr>
                  </w:pPr>
                  <w:r>
                    <w:rPr>
                      <w:b w:val="0"/>
                      <w:bCs w:val="0"/>
                      <w:sz w:val="24"/>
                      <w:szCs w:val="24"/>
                    </w:rPr>
                    <w:t>一般固体废物</w:t>
                  </w:r>
                  <w:r>
                    <w:rPr>
                      <w:rFonts w:hint="eastAsia"/>
                      <w:b w:val="0"/>
                      <w:bCs w:val="0"/>
                      <w:sz w:val="24"/>
                      <w:szCs w:val="24"/>
                      <w:lang w:eastAsia="zh-CN"/>
                    </w:rPr>
                    <w:t>标识</w:t>
                  </w:r>
                </w:p>
              </w:tc>
              <w:tc>
                <w:tcPr>
                  <w:tcW w:w="1263" w:type="pct"/>
                  <w:noWrap w:val="0"/>
                  <w:vAlign w:val="center"/>
                </w:tcPr>
                <w:p w14:paraId="5680880F">
                  <w:pPr>
                    <w:pStyle w:val="73"/>
                    <w:snapToGrid w:val="0"/>
                    <w:rPr>
                      <w:b w:val="0"/>
                      <w:bCs w:val="0"/>
                      <w:sz w:val="24"/>
                      <w:szCs w:val="24"/>
                    </w:rPr>
                  </w:pPr>
                  <w:r>
                    <w:rPr>
                      <w:b w:val="0"/>
                      <w:bCs w:val="0"/>
                      <w:sz w:val="24"/>
                      <w:szCs w:val="24"/>
                    </w:rPr>
                    <w:t>一般固体废物贮存、处置场</w:t>
                  </w:r>
                </w:p>
              </w:tc>
            </w:tr>
            <w:tr w14:paraId="46C89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16" w:hRule="atLeast"/>
              </w:trPr>
              <w:tc>
                <w:tcPr>
                  <w:tcW w:w="311" w:type="pct"/>
                  <w:noWrap w:val="0"/>
                  <w:vAlign w:val="center"/>
                </w:tcPr>
                <w:p w14:paraId="2BD3798B">
                  <w:pPr>
                    <w:adjustRightInd w:val="0"/>
                    <w:snapToGrid w:val="0"/>
                    <w:jc w:val="center"/>
                    <w:rPr>
                      <w:b w:val="0"/>
                      <w:bCs w:val="0"/>
                      <w:sz w:val="24"/>
                      <w:szCs w:val="24"/>
                    </w:rPr>
                  </w:pPr>
                  <w:r>
                    <w:rPr>
                      <w:b w:val="0"/>
                      <w:bCs w:val="0"/>
                      <w:sz w:val="24"/>
                      <w:szCs w:val="24"/>
                    </w:rPr>
                    <w:t>5</w:t>
                  </w:r>
                </w:p>
              </w:tc>
              <w:tc>
                <w:tcPr>
                  <w:tcW w:w="1275" w:type="pct"/>
                  <w:noWrap w:val="0"/>
                  <w:vAlign w:val="center"/>
                </w:tcPr>
                <w:p w14:paraId="2D3C4F68">
                  <w:pPr>
                    <w:adjustRightInd w:val="0"/>
                    <w:snapToGrid w:val="0"/>
                    <w:jc w:val="center"/>
                    <w:rPr>
                      <w:b w:val="0"/>
                      <w:bCs w:val="0"/>
                      <w:sz w:val="24"/>
                      <w:szCs w:val="24"/>
                    </w:rPr>
                  </w:pPr>
                  <w:r>
                    <w:rPr>
                      <w:b w:val="0"/>
                      <w:bCs w:val="0"/>
                      <w:sz w:val="24"/>
                      <w:szCs w:val="24"/>
                    </w:rPr>
                    <w:drawing>
                      <wp:anchor distT="0" distB="0" distL="114300" distR="114300" simplePos="0" relativeHeight="251661312" behindDoc="0" locked="0" layoutInCell="1" allowOverlap="1">
                        <wp:simplePos x="0" y="0"/>
                        <wp:positionH relativeFrom="column">
                          <wp:posOffset>26035</wp:posOffset>
                        </wp:positionH>
                        <wp:positionV relativeFrom="paragraph">
                          <wp:posOffset>80645</wp:posOffset>
                        </wp:positionV>
                        <wp:extent cx="1169035" cy="767715"/>
                        <wp:effectExtent l="0" t="0" r="4445" b="9525"/>
                        <wp:wrapNone/>
                        <wp:docPr id="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8"/>
                                <pic:cNvPicPr>
                                  <a:picLocks noChangeAspect="1"/>
                                </pic:cNvPicPr>
                              </pic:nvPicPr>
                              <pic:blipFill>
                                <a:blip r:embed="rId60"/>
                                <a:stretch>
                                  <a:fillRect/>
                                </a:stretch>
                              </pic:blipFill>
                              <pic:spPr>
                                <a:xfrm>
                                  <a:off x="0" y="0"/>
                                  <a:ext cx="1169035" cy="767715"/>
                                </a:xfrm>
                                <a:prstGeom prst="rect">
                                  <a:avLst/>
                                </a:prstGeom>
                                <a:noFill/>
                                <a:ln>
                                  <a:noFill/>
                                </a:ln>
                              </pic:spPr>
                            </pic:pic>
                          </a:graphicData>
                        </a:graphic>
                      </wp:anchor>
                    </w:drawing>
                  </w:r>
                </w:p>
              </w:tc>
              <w:tc>
                <w:tcPr>
                  <w:tcW w:w="1172" w:type="pct"/>
                  <w:noWrap w:val="0"/>
                  <w:vAlign w:val="center"/>
                </w:tcPr>
                <w:p w14:paraId="1EC77EE4">
                  <w:pPr>
                    <w:adjustRightInd w:val="0"/>
                    <w:snapToGrid w:val="0"/>
                    <w:jc w:val="center"/>
                    <w:rPr>
                      <w:b w:val="0"/>
                      <w:bCs w:val="0"/>
                      <w:sz w:val="24"/>
                      <w:szCs w:val="24"/>
                    </w:rPr>
                  </w:pPr>
                  <w:r>
                    <w:rPr>
                      <w:b w:val="0"/>
                      <w:bCs w:val="0"/>
                      <w:sz w:val="24"/>
                      <w:szCs w:val="24"/>
                    </w:rPr>
                    <w:drawing>
                      <wp:inline distT="0" distB="0" distL="114300" distR="114300">
                        <wp:extent cx="850900" cy="875665"/>
                        <wp:effectExtent l="0" t="0" r="2540" b="8255"/>
                        <wp:docPr id="99" name="图片 49" descr="D:\微信接收\WeChat Files\LX12122334\FileStorage\Temp\1677746410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49" descr="D:\微信接收\WeChat Files\LX12122334\FileStorage\Temp\1677746410193.png"/>
                                <pic:cNvPicPr>
                                  <a:picLocks noChangeAspect="1"/>
                                </pic:cNvPicPr>
                              </pic:nvPicPr>
                              <pic:blipFill>
                                <a:blip r:embed="rId61"/>
                                <a:stretch>
                                  <a:fillRect/>
                                </a:stretch>
                              </pic:blipFill>
                              <pic:spPr>
                                <a:xfrm>
                                  <a:off x="0" y="0"/>
                                  <a:ext cx="850900" cy="875665"/>
                                </a:xfrm>
                                <a:prstGeom prst="rect">
                                  <a:avLst/>
                                </a:prstGeom>
                                <a:noFill/>
                                <a:ln>
                                  <a:noFill/>
                                </a:ln>
                              </pic:spPr>
                            </pic:pic>
                          </a:graphicData>
                        </a:graphic>
                      </wp:inline>
                    </w:drawing>
                  </w:r>
                </w:p>
              </w:tc>
              <w:tc>
                <w:tcPr>
                  <w:tcW w:w="977" w:type="pct"/>
                  <w:noWrap w:val="0"/>
                  <w:vAlign w:val="center"/>
                </w:tcPr>
                <w:p w14:paraId="104307E4">
                  <w:pPr>
                    <w:pStyle w:val="73"/>
                    <w:snapToGrid w:val="0"/>
                    <w:rPr>
                      <w:b w:val="0"/>
                      <w:bCs w:val="0"/>
                      <w:sz w:val="24"/>
                      <w:szCs w:val="24"/>
                    </w:rPr>
                  </w:pPr>
                  <w:r>
                    <w:rPr>
                      <w:b w:val="0"/>
                      <w:bCs w:val="0"/>
                      <w:sz w:val="24"/>
                      <w:szCs w:val="24"/>
                    </w:rPr>
                    <w:t>危险固体废物</w:t>
                  </w:r>
                  <w:r>
                    <w:rPr>
                      <w:rFonts w:hint="eastAsia"/>
                      <w:b w:val="0"/>
                      <w:bCs w:val="0"/>
                      <w:sz w:val="24"/>
                      <w:szCs w:val="24"/>
                      <w:lang w:eastAsia="zh-CN"/>
                    </w:rPr>
                    <w:t>标识</w:t>
                  </w:r>
                </w:p>
              </w:tc>
              <w:tc>
                <w:tcPr>
                  <w:tcW w:w="1263" w:type="pct"/>
                  <w:noWrap w:val="0"/>
                  <w:vAlign w:val="center"/>
                </w:tcPr>
                <w:p w14:paraId="16609A9C">
                  <w:pPr>
                    <w:pStyle w:val="73"/>
                    <w:snapToGrid w:val="0"/>
                    <w:rPr>
                      <w:b w:val="0"/>
                      <w:bCs w:val="0"/>
                      <w:sz w:val="24"/>
                      <w:szCs w:val="24"/>
                    </w:rPr>
                  </w:pPr>
                  <w:r>
                    <w:rPr>
                      <w:b w:val="0"/>
                      <w:bCs w:val="0"/>
                      <w:sz w:val="24"/>
                      <w:szCs w:val="24"/>
                    </w:rPr>
                    <w:t>危险固体废物贮存、处置场</w:t>
                  </w:r>
                </w:p>
              </w:tc>
            </w:tr>
          </w:tbl>
          <w:p w14:paraId="2ACF2712">
            <w:pPr>
              <w:spacing w:line="440" w:lineRule="exact"/>
              <w:ind w:firstLine="480" w:firstLineChars="200"/>
              <w:rPr>
                <w:rFonts w:hint="eastAsia" w:ascii="Times New Roman" w:hAnsi="Times New Roman"/>
                <w:b w:val="0"/>
                <w:bCs w:val="0"/>
                <w:color w:val="auto"/>
                <w:kern w:val="0"/>
                <w:sz w:val="24"/>
              </w:rPr>
            </w:pPr>
            <w:r>
              <w:rPr>
                <w:rFonts w:hint="eastAsia" w:ascii="Times New Roman" w:hAnsi="Times New Roman"/>
                <w:b w:val="0"/>
                <w:bCs w:val="0"/>
                <w:color w:val="auto"/>
                <w:kern w:val="0"/>
                <w:sz w:val="24"/>
              </w:rPr>
              <w:t>3、排污许可证管理要求</w:t>
            </w:r>
          </w:p>
          <w:p w14:paraId="01A0AFA4">
            <w:pPr>
              <w:spacing w:line="440" w:lineRule="exact"/>
              <w:ind w:firstLine="480" w:firstLineChars="200"/>
              <w:rPr>
                <w:rFonts w:hint="eastAsia" w:ascii="Times New Roman" w:hAnsi="Times New Roman" w:cs="Times New Roman"/>
                <w:b w:val="0"/>
                <w:bCs w:val="0"/>
                <w:color w:val="auto"/>
                <w:sz w:val="24"/>
              </w:rPr>
            </w:pPr>
            <w:r>
              <w:rPr>
                <w:rFonts w:hint="eastAsia" w:ascii="Times New Roman" w:hAnsi="Times New Roman" w:cs="Times New Roman"/>
                <w:b w:val="0"/>
                <w:bCs w:val="0"/>
                <w:color w:val="auto"/>
                <w:sz w:val="24"/>
              </w:rPr>
              <w:t>根据《固定污染源排污许可分类管理名录（2019年版）》，本项目排污许可分类为</w:t>
            </w:r>
            <w:r>
              <w:rPr>
                <w:rFonts w:hint="eastAsia" w:ascii="Times New Roman" w:hAnsi="Times New Roman" w:cs="Times New Roman"/>
                <w:b w:val="0"/>
                <w:bCs w:val="0"/>
                <w:color w:val="auto"/>
                <w:sz w:val="24"/>
                <w:lang w:val="en-US" w:eastAsia="zh-CN"/>
              </w:rPr>
              <w:t>登记</w:t>
            </w:r>
            <w:r>
              <w:rPr>
                <w:rFonts w:ascii="Times New Roman" w:hAnsi="Times New Roman" w:cs="Times New Roman"/>
                <w:b w:val="0"/>
                <w:bCs w:val="0"/>
                <w:color w:val="auto"/>
                <w:sz w:val="24"/>
              </w:rPr>
              <w:t>管理</w:t>
            </w:r>
            <w:r>
              <w:rPr>
                <w:rFonts w:hint="eastAsia" w:ascii="Times New Roman" w:hAnsi="Times New Roman" w:cs="Times New Roman"/>
                <w:b w:val="0"/>
                <w:bCs w:val="0"/>
                <w:color w:val="auto"/>
                <w:sz w:val="24"/>
              </w:rPr>
              <w:t>，建设单位在取得环评批复后，及时在全国排污许可证管理信息平台上填报</w:t>
            </w:r>
            <w:r>
              <w:rPr>
                <w:rFonts w:hint="eastAsia" w:ascii="Times New Roman" w:hAnsi="Times New Roman" w:cs="Times New Roman"/>
                <w:b w:val="0"/>
                <w:bCs w:val="0"/>
                <w:color w:val="auto"/>
                <w:sz w:val="24"/>
                <w:lang w:val="en-US" w:eastAsia="zh-CN"/>
              </w:rPr>
              <w:t>登记</w:t>
            </w:r>
            <w:r>
              <w:rPr>
                <w:rFonts w:hint="eastAsia" w:ascii="Times New Roman" w:hAnsi="Times New Roman" w:cs="Times New Roman"/>
                <w:b w:val="0"/>
                <w:bCs w:val="0"/>
                <w:color w:val="auto"/>
                <w:sz w:val="24"/>
                <w:lang w:eastAsia="zh-CN"/>
              </w:rPr>
              <w:t>管理</w:t>
            </w:r>
            <w:r>
              <w:rPr>
                <w:rFonts w:hint="eastAsia" w:ascii="Times New Roman" w:hAnsi="Times New Roman" w:cs="Times New Roman"/>
                <w:b w:val="0"/>
                <w:bCs w:val="0"/>
                <w:color w:val="auto"/>
                <w:sz w:val="24"/>
              </w:rPr>
              <w:t>信息。</w:t>
            </w:r>
          </w:p>
          <w:p w14:paraId="724895E3">
            <w:pPr>
              <w:spacing w:line="440" w:lineRule="exact"/>
              <w:ind w:firstLine="480" w:firstLineChars="200"/>
              <w:rPr>
                <w:rFonts w:hint="eastAsia" w:ascii="Times New Roman" w:hAnsi="Times New Roman"/>
                <w:b w:val="0"/>
                <w:bCs w:val="0"/>
                <w:color w:val="auto"/>
                <w:kern w:val="0"/>
                <w:sz w:val="24"/>
              </w:rPr>
            </w:pPr>
            <w:r>
              <w:rPr>
                <w:rFonts w:hint="eastAsia" w:ascii="Times New Roman" w:hAnsi="Times New Roman"/>
                <w:b w:val="0"/>
                <w:bCs w:val="0"/>
                <w:color w:val="auto"/>
                <w:kern w:val="0"/>
                <w:sz w:val="24"/>
              </w:rPr>
              <w:t>4、自主验收要求</w:t>
            </w:r>
          </w:p>
          <w:p w14:paraId="4F964715">
            <w:pPr>
              <w:spacing w:line="440" w:lineRule="exact"/>
              <w:ind w:firstLine="480" w:firstLineChars="200"/>
              <w:rPr>
                <w:rFonts w:hint="eastAsia" w:ascii="Times New Roman" w:hAnsi="Times New Roman"/>
                <w:b w:val="0"/>
                <w:bCs w:val="0"/>
                <w:color w:val="auto"/>
                <w:kern w:val="0"/>
                <w:sz w:val="24"/>
              </w:rPr>
            </w:pPr>
            <w:r>
              <w:rPr>
                <w:rFonts w:hint="eastAsia" w:ascii="Times New Roman" w:hAnsi="Times New Roman"/>
                <w:b w:val="0"/>
                <w:bCs w:val="0"/>
                <w:color w:val="auto"/>
                <w:kern w:val="0"/>
                <w:sz w:val="24"/>
              </w:rPr>
              <w:t>建设单位应在本项目建设完成并进行试生产后，按照《建设项目竣工环境保护验收暂行办法》（2017年11月22日实施）中的相关规定，进行自主验收。</w:t>
            </w:r>
          </w:p>
          <w:p w14:paraId="414EB34E">
            <w:pPr>
              <w:adjustRightInd w:val="0"/>
              <w:snapToGrid w:val="0"/>
              <w:ind w:firstLine="480" w:firstLineChars="200"/>
              <w:jc w:val="both"/>
              <w:rPr>
                <w:b w:val="0"/>
                <w:bCs w:val="0"/>
                <w:color w:val="auto"/>
                <w:sz w:val="24"/>
                <w:szCs w:val="24"/>
              </w:rPr>
            </w:pPr>
          </w:p>
          <w:p w14:paraId="7EF355CB">
            <w:pPr>
              <w:pStyle w:val="16"/>
              <w:rPr>
                <w:b w:val="0"/>
                <w:bCs w:val="0"/>
                <w:color w:val="auto"/>
                <w:sz w:val="24"/>
                <w:szCs w:val="24"/>
              </w:rPr>
            </w:pPr>
          </w:p>
          <w:p w14:paraId="46302D72">
            <w:pPr>
              <w:rPr>
                <w:b w:val="0"/>
                <w:bCs w:val="0"/>
                <w:color w:val="auto"/>
                <w:sz w:val="24"/>
                <w:szCs w:val="24"/>
              </w:rPr>
            </w:pPr>
          </w:p>
          <w:p w14:paraId="2F5B5CA2">
            <w:pPr>
              <w:rPr>
                <w:b w:val="0"/>
                <w:bCs w:val="0"/>
                <w:color w:val="auto"/>
                <w:sz w:val="24"/>
                <w:szCs w:val="24"/>
              </w:rPr>
            </w:pPr>
          </w:p>
          <w:p w14:paraId="614402DF">
            <w:pPr>
              <w:pStyle w:val="17"/>
              <w:rPr>
                <w:b w:val="0"/>
                <w:bCs w:val="0"/>
                <w:color w:val="auto"/>
                <w:sz w:val="24"/>
                <w:szCs w:val="24"/>
              </w:rPr>
            </w:pPr>
          </w:p>
          <w:p w14:paraId="4A7CDB12">
            <w:pPr>
              <w:pStyle w:val="17"/>
              <w:rPr>
                <w:b w:val="0"/>
                <w:bCs w:val="0"/>
                <w:color w:val="auto"/>
                <w:sz w:val="24"/>
                <w:szCs w:val="24"/>
              </w:rPr>
            </w:pPr>
          </w:p>
          <w:p w14:paraId="5C9C4D25">
            <w:pPr>
              <w:rPr>
                <w:b w:val="0"/>
                <w:bCs w:val="0"/>
                <w:color w:val="auto"/>
                <w:sz w:val="24"/>
                <w:szCs w:val="24"/>
              </w:rPr>
            </w:pPr>
          </w:p>
          <w:p w14:paraId="2CEFB3A8">
            <w:pPr>
              <w:rPr>
                <w:b w:val="0"/>
                <w:bCs w:val="0"/>
                <w:color w:val="auto"/>
                <w:sz w:val="24"/>
                <w:szCs w:val="24"/>
              </w:rPr>
            </w:pPr>
          </w:p>
          <w:p w14:paraId="5C79F408">
            <w:pPr>
              <w:rPr>
                <w:b w:val="0"/>
                <w:bCs w:val="0"/>
                <w:color w:val="auto"/>
                <w:sz w:val="24"/>
                <w:szCs w:val="24"/>
              </w:rPr>
            </w:pPr>
          </w:p>
          <w:p w14:paraId="02B8B4F3">
            <w:pPr>
              <w:rPr>
                <w:b w:val="0"/>
                <w:bCs w:val="0"/>
                <w:color w:val="auto"/>
                <w:sz w:val="24"/>
                <w:szCs w:val="24"/>
              </w:rPr>
            </w:pPr>
          </w:p>
          <w:p w14:paraId="179518B7">
            <w:pPr>
              <w:rPr>
                <w:b w:val="0"/>
                <w:bCs w:val="0"/>
                <w:color w:val="auto"/>
                <w:sz w:val="24"/>
                <w:szCs w:val="24"/>
              </w:rPr>
            </w:pPr>
          </w:p>
          <w:p w14:paraId="22A20307">
            <w:pPr>
              <w:rPr>
                <w:b w:val="0"/>
                <w:bCs w:val="0"/>
                <w:color w:val="auto"/>
                <w:sz w:val="24"/>
                <w:szCs w:val="24"/>
              </w:rPr>
            </w:pPr>
          </w:p>
          <w:p w14:paraId="1ACB9434">
            <w:pPr>
              <w:rPr>
                <w:b w:val="0"/>
                <w:bCs w:val="0"/>
                <w:color w:val="auto"/>
                <w:sz w:val="24"/>
                <w:szCs w:val="24"/>
              </w:rPr>
            </w:pPr>
          </w:p>
          <w:p w14:paraId="3063813C">
            <w:pPr>
              <w:pStyle w:val="16"/>
              <w:rPr>
                <w:b w:val="0"/>
                <w:bCs w:val="0"/>
                <w:color w:val="auto"/>
                <w:sz w:val="24"/>
                <w:szCs w:val="24"/>
              </w:rPr>
            </w:pPr>
          </w:p>
          <w:p w14:paraId="22DAAFA4">
            <w:pPr>
              <w:rPr>
                <w:b w:val="0"/>
                <w:bCs w:val="0"/>
                <w:color w:val="auto"/>
                <w:sz w:val="24"/>
                <w:szCs w:val="24"/>
              </w:rPr>
            </w:pPr>
          </w:p>
          <w:p w14:paraId="3576FD34">
            <w:pPr>
              <w:pStyle w:val="16"/>
              <w:rPr>
                <w:b w:val="0"/>
                <w:bCs w:val="0"/>
                <w:color w:val="auto"/>
                <w:sz w:val="24"/>
                <w:szCs w:val="24"/>
              </w:rPr>
            </w:pPr>
          </w:p>
          <w:p w14:paraId="0F71591F">
            <w:pPr>
              <w:rPr>
                <w:b w:val="0"/>
                <w:bCs w:val="0"/>
                <w:color w:val="auto"/>
                <w:sz w:val="24"/>
                <w:szCs w:val="24"/>
              </w:rPr>
            </w:pPr>
          </w:p>
          <w:p w14:paraId="1AE799C3">
            <w:pPr>
              <w:pStyle w:val="16"/>
              <w:rPr>
                <w:b w:val="0"/>
                <w:bCs w:val="0"/>
                <w:color w:val="auto"/>
                <w:sz w:val="24"/>
                <w:szCs w:val="24"/>
              </w:rPr>
            </w:pPr>
          </w:p>
          <w:p w14:paraId="4B90940F">
            <w:pPr>
              <w:rPr>
                <w:b w:val="0"/>
                <w:bCs w:val="0"/>
                <w:color w:val="auto"/>
                <w:sz w:val="24"/>
                <w:szCs w:val="24"/>
              </w:rPr>
            </w:pPr>
          </w:p>
          <w:p w14:paraId="5EA0B9B2">
            <w:pPr>
              <w:pStyle w:val="16"/>
              <w:rPr>
                <w:b w:val="0"/>
                <w:bCs w:val="0"/>
                <w:color w:val="auto"/>
                <w:sz w:val="24"/>
                <w:szCs w:val="24"/>
              </w:rPr>
            </w:pPr>
          </w:p>
          <w:p w14:paraId="144B809A">
            <w:pPr>
              <w:rPr>
                <w:b w:val="0"/>
                <w:bCs w:val="0"/>
                <w:color w:val="auto"/>
                <w:sz w:val="24"/>
                <w:szCs w:val="24"/>
              </w:rPr>
            </w:pPr>
          </w:p>
          <w:p w14:paraId="03DDF00B">
            <w:pPr>
              <w:pStyle w:val="16"/>
              <w:rPr>
                <w:b w:val="0"/>
                <w:bCs w:val="0"/>
                <w:color w:val="auto"/>
                <w:sz w:val="24"/>
                <w:szCs w:val="24"/>
              </w:rPr>
            </w:pPr>
          </w:p>
          <w:p w14:paraId="2F28E0A8">
            <w:pPr>
              <w:rPr>
                <w:b w:val="0"/>
                <w:bCs w:val="0"/>
                <w:color w:val="auto"/>
                <w:sz w:val="24"/>
                <w:szCs w:val="24"/>
              </w:rPr>
            </w:pPr>
          </w:p>
          <w:p w14:paraId="4995590D">
            <w:pPr>
              <w:pStyle w:val="16"/>
              <w:rPr>
                <w:b w:val="0"/>
                <w:bCs w:val="0"/>
                <w:color w:val="auto"/>
                <w:sz w:val="24"/>
                <w:szCs w:val="24"/>
              </w:rPr>
            </w:pPr>
          </w:p>
          <w:p w14:paraId="7B75997F">
            <w:pPr>
              <w:rPr>
                <w:b w:val="0"/>
                <w:bCs w:val="0"/>
                <w:color w:val="auto"/>
                <w:sz w:val="24"/>
                <w:szCs w:val="24"/>
              </w:rPr>
            </w:pPr>
          </w:p>
          <w:p w14:paraId="6B85DE5A">
            <w:pPr>
              <w:pStyle w:val="16"/>
              <w:rPr>
                <w:b w:val="0"/>
                <w:bCs w:val="0"/>
                <w:color w:val="auto"/>
                <w:sz w:val="24"/>
                <w:szCs w:val="24"/>
              </w:rPr>
            </w:pPr>
          </w:p>
          <w:p w14:paraId="2AA049DF"/>
          <w:p w14:paraId="778525E4">
            <w:pPr>
              <w:rPr>
                <w:b w:val="0"/>
                <w:bCs w:val="0"/>
                <w:color w:val="auto"/>
                <w:sz w:val="24"/>
                <w:szCs w:val="24"/>
              </w:rPr>
            </w:pPr>
          </w:p>
          <w:p w14:paraId="779AEFA9">
            <w:pPr>
              <w:pStyle w:val="16"/>
              <w:rPr>
                <w:rFonts w:hint="eastAsia"/>
                <w:b w:val="0"/>
                <w:bCs w:val="0"/>
                <w:color w:val="auto"/>
                <w:sz w:val="24"/>
                <w:szCs w:val="24"/>
              </w:rPr>
            </w:pPr>
          </w:p>
        </w:tc>
      </w:tr>
    </w:tbl>
    <w:p w14:paraId="38DAF00C">
      <w:pPr>
        <w:pStyle w:val="2"/>
        <w:keepNext/>
        <w:keepLines/>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黑体" w:cs="Times New Roman"/>
          <w:color w:val="auto"/>
          <w:sz w:val="30"/>
          <w:szCs w:val="30"/>
        </w:rPr>
      </w:pPr>
      <w:bookmarkStart w:id="19" w:name="_Toc28211"/>
      <w:r>
        <w:rPr>
          <w:rFonts w:hint="eastAsia" w:ascii="宋体" w:hAnsi="宋体" w:eastAsia="宋体" w:cs="宋体"/>
          <w:color w:val="auto"/>
          <w:sz w:val="32"/>
          <w:szCs w:val="32"/>
        </w:rPr>
        <w:t>六、结论</w:t>
      </w:r>
      <w:bookmarkEnd w:id="19"/>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85" w:type="dxa"/>
          <w:left w:w="108" w:type="dxa"/>
          <w:bottom w:w="85" w:type="dxa"/>
          <w:right w:w="108" w:type="dxa"/>
        </w:tblCellMar>
      </w:tblPr>
      <w:tblGrid>
        <w:gridCol w:w="9288"/>
      </w:tblGrid>
      <w:tr w14:paraId="7B408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jc w:val="center"/>
        </w:trPr>
        <w:tc>
          <w:tcPr>
            <w:tcW w:w="9288" w:type="dxa"/>
            <w:noWrap w:val="0"/>
            <w:vAlign w:val="center"/>
          </w:tcPr>
          <w:p w14:paraId="550C5A95">
            <w:pPr>
              <w:spacing w:line="360" w:lineRule="auto"/>
              <w:ind w:firstLine="480" w:firstLineChars="200"/>
              <w:jc w:val="both"/>
              <w:rPr>
                <w:rFonts w:hint="default" w:ascii="Times New Roman" w:hAnsi="Times New Roman" w:cs="Times New Roman"/>
                <w:color w:val="auto"/>
                <w:sz w:val="24"/>
                <w:szCs w:val="22"/>
                <w:vertAlign w:val="baseline"/>
                <w:lang w:eastAsia="zh-CN"/>
              </w:rPr>
            </w:pPr>
            <w:r>
              <w:rPr>
                <w:rFonts w:hint="eastAsia" w:cs="Times New Roman"/>
                <w:color w:val="auto"/>
                <w:sz w:val="24"/>
                <w:szCs w:val="22"/>
                <w:vertAlign w:val="baseline"/>
                <w:lang w:val="en-US" w:eastAsia="zh-CN"/>
              </w:rPr>
              <w:t>安徽省三江塑业有限公司</w:t>
            </w:r>
            <w:r>
              <w:rPr>
                <w:rFonts w:hint="eastAsia" w:ascii="Times New Roman" w:hAnsi="Times New Roman" w:cs="Times New Roman"/>
                <w:color w:val="auto"/>
                <w:sz w:val="24"/>
                <w:szCs w:val="22"/>
                <w:vertAlign w:val="baseline"/>
                <w:lang w:val="en-US" w:eastAsia="zh-CN"/>
              </w:rPr>
              <w:t>投资建设的“</w:t>
            </w:r>
            <w:r>
              <w:rPr>
                <w:rFonts w:hint="eastAsia" w:cs="Times New Roman"/>
                <w:color w:val="auto"/>
                <w:sz w:val="24"/>
                <w:szCs w:val="22"/>
                <w:vertAlign w:val="baseline"/>
                <w:lang w:val="en-US" w:eastAsia="zh-CN"/>
              </w:rPr>
              <w:t>年产3万套新型PP管材和环保设施生产项目</w:t>
            </w:r>
            <w:r>
              <w:rPr>
                <w:rFonts w:hint="eastAsia" w:ascii="Times New Roman" w:hAnsi="Times New Roman" w:cs="Times New Roman"/>
                <w:color w:val="auto"/>
                <w:sz w:val="24"/>
                <w:szCs w:val="22"/>
                <w:vertAlign w:val="baseline"/>
                <w:lang w:val="en-US" w:eastAsia="zh-CN"/>
              </w:rPr>
              <w:t>”</w:t>
            </w:r>
            <w:r>
              <w:rPr>
                <w:rFonts w:hint="default" w:ascii="Times New Roman" w:hAnsi="Times New Roman" w:cs="Times New Roman"/>
                <w:color w:val="auto"/>
                <w:sz w:val="24"/>
                <w:szCs w:val="22"/>
                <w:vertAlign w:val="baseline"/>
                <w:lang w:eastAsia="zh-CN"/>
              </w:rPr>
              <w:t>符合国家产业政策要求，选址可行。项目实施后在采用报告表中提出的各项污染防治措施后，各项污染物可以做到达标排放，各种污染物对周围空气环境、地表水环境及声环境影响能控制在国家相关的标准要求范围内。该建设项目在建设过程中，应严格执行环保设施与主体工程同时设计、同时施工、同时投产的</w:t>
            </w:r>
            <w:r>
              <w:rPr>
                <w:rFonts w:hint="eastAsia" w:cs="Times New Roman"/>
                <w:color w:val="auto"/>
                <w:sz w:val="24"/>
                <w:szCs w:val="22"/>
                <w:vertAlign w:val="baseline"/>
                <w:lang w:eastAsia="zh-CN"/>
              </w:rPr>
              <w:t>“</w:t>
            </w:r>
            <w:r>
              <w:rPr>
                <w:rFonts w:hint="default" w:ascii="Times New Roman" w:hAnsi="Times New Roman" w:cs="Times New Roman"/>
                <w:color w:val="auto"/>
                <w:sz w:val="24"/>
                <w:szCs w:val="22"/>
                <w:vertAlign w:val="baseline"/>
                <w:lang w:eastAsia="zh-CN"/>
              </w:rPr>
              <w:t>三同时</w:t>
            </w:r>
            <w:r>
              <w:rPr>
                <w:rFonts w:hint="eastAsia" w:cs="Times New Roman"/>
                <w:color w:val="auto"/>
                <w:sz w:val="24"/>
                <w:szCs w:val="22"/>
                <w:vertAlign w:val="baseline"/>
                <w:lang w:eastAsia="zh-CN"/>
              </w:rPr>
              <w:t>”</w:t>
            </w:r>
            <w:r>
              <w:rPr>
                <w:rFonts w:hint="default" w:ascii="Times New Roman" w:hAnsi="Times New Roman" w:cs="Times New Roman"/>
                <w:color w:val="auto"/>
                <w:sz w:val="24"/>
                <w:szCs w:val="22"/>
                <w:vertAlign w:val="baseline"/>
                <w:lang w:eastAsia="zh-CN"/>
              </w:rPr>
              <w:t>制度。从环境影响角度分析，项目建设可行。</w:t>
            </w:r>
          </w:p>
          <w:p w14:paraId="204FF0CF">
            <w:pPr>
              <w:spacing w:line="360" w:lineRule="auto"/>
              <w:ind w:firstLine="480" w:firstLineChars="200"/>
              <w:jc w:val="both"/>
              <w:rPr>
                <w:rFonts w:hint="default" w:ascii="Times New Roman" w:hAnsi="Times New Roman" w:cs="Times New Roman"/>
                <w:color w:val="auto"/>
                <w:sz w:val="24"/>
                <w:szCs w:val="22"/>
                <w:vertAlign w:val="baseline"/>
                <w:lang w:eastAsia="zh-CN"/>
              </w:rPr>
            </w:pPr>
          </w:p>
          <w:p w14:paraId="1C847CDA">
            <w:pPr>
              <w:spacing w:line="360" w:lineRule="auto"/>
              <w:ind w:firstLine="480" w:firstLineChars="200"/>
              <w:jc w:val="both"/>
              <w:rPr>
                <w:rFonts w:hint="default" w:ascii="Times New Roman" w:hAnsi="Times New Roman" w:cs="Times New Roman"/>
                <w:color w:val="auto"/>
                <w:sz w:val="24"/>
                <w:szCs w:val="22"/>
                <w:vertAlign w:val="baseline"/>
                <w:lang w:eastAsia="zh-CN"/>
              </w:rPr>
            </w:pPr>
            <w:r>
              <w:rPr>
                <w:rFonts w:hint="default" w:ascii="Times New Roman" w:hAnsi="Times New Roman" w:cs="Times New Roman"/>
                <w:color w:val="auto"/>
                <w:sz w:val="24"/>
                <w:szCs w:val="22"/>
                <w:vertAlign w:val="baseline"/>
                <w:lang w:eastAsia="zh-CN"/>
              </w:rPr>
              <w:t xml:space="preserve">        </w:t>
            </w:r>
          </w:p>
          <w:p w14:paraId="0EAABDC7">
            <w:pPr>
              <w:spacing w:line="360" w:lineRule="auto"/>
              <w:ind w:firstLine="480" w:firstLineChars="200"/>
              <w:jc w:val="both"/>
              <w:rPr>
                <w:rFonts w:hint="default" w:ascii="Times New Roman" w:hAnsi="Times New Roman" w:cs="Times New Roman"/>
                <w:color w:val="auto"/>
                <w:sz w:val="24"/>
                <w:szCs w:val="22"/>
                <w:vertAlign w:val="baseline"/>
                <w:lang w:eastAsia="zh-CN"/>
              </w:rPr>
            </w:pPr>
          </w:p>
          <w:p w14:paraId="613E14B9">
            <w:pPr>
              <w:spacing w:line="360" w:lineRule="auto"/>
              <w:ind w:firstLine="480" w:firstLineChars="200"/>
              <w:jc w:val="both"/>
              <w:rPr>
                <w:rFonts w:hint="default" w:ascii="Times New Roman" w:hAnsi="Times New Roman" w:cs="Times New Roman"/>
                <w:color w:val="auto"/>
                <w:sz w:val="24"/>
                <w:szCs w:val="22"/>
                <w:vertAlign w:val="baseline"/>
                <w:lang w:eastAsia="zh-CN"/>
              </w:rPr>
            </w:pPr>
          </w:p>
          <w:p w14:paraId="0DFFD12C">
            <w:pPr>
              <w:spacing w:line="360" w:lineRule="auto"/>
              <w:ind w:firstLine="480" w:firstLineChars="200"/>
              <w:jc w:val="both"/>
              <w:rPr>
                <w:rFonts w:hint="default" w:ascii="Times New Roman" w:hAnsi="Times New Roman" w:cs="Times New Roman"/>
                <w:color w:val="auto"/>
                <w:sz w:val="24"/>
                <w:szCs w:val="22"/>
                <w:vertAlign w:val="baseline"/>
                <w:lang w:eastAsia="zh-CN"/>
              </w:rPr>
            </w:pPr>
          </w:p>
          <w:p w14:paraId="3158BB2F">
            <w:pPr>
              <w:spacing w:line="360" w:lineRule="auto"/>
              <w:ind w:firstLine="480" w:firstLineChars="200"/>
              <w:jc w:val="both"/>
              <w:rPr>
                <w:rFonts w:hint="default" w:ascii="Times New Roman" w:hAnsi="Times New Roman" w:cs="Times New Roman"/>
                <w:color w:val="auto"/>
                <w:sz w:val="24"/>
                <w:szCs w:val="22"/>
                <w:vertAlign w:val="baseline"/>
                <w:lang w:eastAsia="zh-CN"/>
              </w:rPr>
            </w:pPr>
          </w:p>
          <w:p w14:paraId="7672ECF7">
            <w:pPr>
              <w:spacing w:line="360" w:lineRule="auto"/>
              <w:ind w:firstLine="480" w:firstLineChars="200"/>
              <w:jc w:val="both"/>
              <w:rPr>
                <w:rFonts w:hint="default" w:ascii="Times New Roman" w:hAnsi="Times New Roman" w:cs="Times New Roman"/>
                <w:color w:val="auto"/>
                <w:sz w:val="24"/>
                <w:szCs w:val="22"/>
                <w:vertAlign w:val="baseline"/>
                <w:lang w:eastAsia="zh-CN"/>
              </w:rPr>
            </w:pPr>
          </w:p>
          <w:p w14:paraId="144EC110">
            <w:pPr>
              <w:spacing w:line="360" w:lineRule="auto"/>
              <w:ind w:firstLine="480" w:firstLineChars="200"/>
              <w:jc w:val="both"/>
              <w:rPr>
                <w:rFonts w:hint="default" w:ascii="Times New Roman" w:hAnsi="Times New Roman" w:cs="Times New Roman"/>
                <w:color w:val="auto"/>
                <w:sz w:val="24"/>
                <w:szCs w:val="22"/>
                <w:vertAlign w:val="baseline"/>
                <w:lang w:eastAsia="zh-CN"/>
              </w:rPr>
            </w:pPr>
          </w:p>
          <w:p w14:paraId="5D53DA93">
            <w:pPr>
              <w:spacing w:line="360" w:lineRule="auto"/>
              <w:ind w:firstLine="480" w:firstLineChars="200"/>
              <w:jc w:val="both"/>
              <w:rPr>
                <w:rFonts w:hint="default" w:ascii="Times New Roman" w:hAnsi="Times New Roman" w:cs="Times New Roman"/>
                <w:color w:val="auto"/>
                <w:sz w:val="24"/>
                <w:szCs w:val="22"/>
                <w:vertAlign w:val="baseline"/>
                <w:lang w:eastAsia="zh-CN"/>
              </w:rPr>
            </w:pPr>
          </w:p>
          <w:p w14:paraId="2694DED9">
            <w:pPr>
              <w:spacing w:line="360" w:lineRule="auto"/>
              <w:ind w:firstLine="480" w:firstLineChars="200"/>
              <w:jc w:val="both"/>
              <w:rPr>
                <w:rFonts w:hint="default" w:ascii="Times New Roman" w:hAnsi="Times New Roman" w:cs="Times New Roman"/>
                <w:color w:val="auto"/>
                <w:sz w:val="24"/>
                <w:szCs w:val="22"/>
                <w:vertAlign w:val="baseline"/>
                <w:lang w:eastAsia="zh-CN"/>
              </w:rPr>
            </w:pPr>
          </w:p>
          <w:p w14:paraId="035F0CE3">
            <w:pPr>
              <w:spacing w:line="360" w:lineRule="auto"/>
              <w:ind w:firstLine="480" w:firstLineChars="200"/>
              <w:jc w:val="both"/>
              <w:rPr>
                <w:rFonts w:hint="default" w:ascii="Times New Roman" w:hAnsi="Times New Roman" w:cs="Times New Roman"/>
                <w:color w:val="auto"/>
                <w:sz w:val="24"/>
                <w:szCs w:val="22"/>
                <w:vertAlign w:val="baseline"/>
                <w:lang w:eastAsia="zh-CN"/>
              </w:rPr>
            </w:pPr>
          </w:p>
          <w:p w14:paraId="328286DE">
            <w:pPr>
              <w:spacing w:line="360" w:lineRule="auto"/>
              <w:ind w:firstLine="480" w:firstLineChars="200"/>
              <w:jc w:val="both"/>
              <w:rPr>
                <w:rFonts w:hint="default" w:ascii="Times New Roman" w:hAnsi="Times New Roman" w:cs="Times New Roman"/>
                <w:color w:val="auto"/>
                <w:sz w:val="24"/>
                <w:szCs w:val="22"/>
                <w:vertAlign w:val="baseline"/>
                <w:lang w:eastAsia="zh-CN"/>
              </w:rPr>
            </w:pPr>
          </w:p>
          <w:p w14:paraId="1038E0DF">
            <w:pPr>
              <w:spacing w:line="360" w:lineRule="auto"/>
              <w:ind w:firstLine="480" w:firstLineChars="200"/>
              <w:jc w:val="both"/>
              <w:rPr>
                <w:rFonts w:hint="default" w:ascii="Times New Roman" w:hAnsi="Times New Roman" w:cs="Times New Roman"/>
                <w:color w:val="auto"/>
                <w:sz w:val="24"/>
                <w:szCs w:val="22"/>
                <w:vertAlign w:val="baseline"/>
                <w:lang w:eastAsia="zh-CN"/>
              </w:rPr>
            </w:pPr>
          </w:p>
          <w:p w14:paraId="2BD89C22">
            <w:pPr>
              <w:spacing w:line="360" w:lineRule="auto"/>
              <w:ind w:firstLine="480" w:firstLineChars="200"/>
              <w:jc w:val="both"/>
              <w:rPr>
                <w:rFonts w:hint="default" w:ascii="Times New Roman" w:hAnsi="Times New Roman" w:cs="Times New Roman"/>
                <w:color w:val="auto"/>
                <w:sz w:val="24"/>
                <w:szCs w:val="22"/>
                <w:vertAlign w:val="baseline"/>
                <w:lang w:eastAsia="zh-CN"/>
              </w:rPr>
            </w:pPr>
          </w:p>
          <w:p w14:paraId="0A3FC17F">
            <w:pPr>
              <w:spacing w:line="360" w:lineRule="auto"/>
              <w:ind w:firstLine="480" w:firstLineChars="200"/>
              <w:jc w:val="both"/>
              <w:rPr>
                <w:rFonts w:hint="default" w:ascii="Times New Roman" w:hAnsi="Times New Roman" w:cs="Times New Roman"/>
                <w:color w:val="auto"/>
                <w:sz w:val="24"/>
                <w:szCs w:val="22"/>
                <w:vertAlign w:val="baseline"/>
                <w:lang w:eastAsia="zh-CN"/>
              </w:rPr>
            </w:pPr>
          </w:p>
          <w:p w14:paraId="4BC2E679">
            <w:pPr>
              <w:spacing w:line="360" w:lineRule="auto"/>
              <w:ind w:firstLine="480" w:firstLineChars="200"/>
              <w:jc w:val="both"/>
              <w:rPr>
                <w:rFonts w:hint="default" w:ascii="Times New Roman" w:hAnsi="Times New Roman" w:cs="Times New Roman"/>
                <w:color w:val="auto"/>
                <w:sz w:val="24"/>
                <w:szCs w:val="22"/>
                <w:vertAlign w:val="baseline"/>
                <w:lang w:eastAsia="zh-CN"/>
              </w:rPr>
            </w:pPr>
          </w:p>
          <w:p w14:paraId="3DC760BE">
            <w:pPr>
              <w:spacing w:line="360" w:lineRule="auto"/>
              <w:ind w:firstLine="480" w:firstLineChars="200"/>
              <w:jc w:val="both"/>
              <w:rPr>
                <w:rFonts w:hint="default" w:ascii="Times New Roman" w:hAnsi="Times New Roman" w:cs="Times New Roman"/>
                <w:color w:val="auto"/>
                <w:sz w:val="24"/>
                <w:szCs w:val="22"/>
                <w:vertAlign w:val="baseline"/>
                <w:lang w:eastAsia="zh-CN"/>
              </w:rPr>
            </w:pPr>
          </w:p>
          <w:p w14:paraId="73DC31A9">
            <w:pPr>
              <w:spacing w:line="360" w:lineRule="auto"/>
              <w:ind w:firstLine="480" w:firstLineChars="200"/>
              <w:jc w:val="both"/>
              <w:rPr>
                <w:rFonts w:hint="default" w:ascii="Times New Roman" w:hAnsi="Times New Roman" w:cs="Times New Roman"/>
                <w:color w:val="auto"/>
                <w:sz w:val="24"/>
                <w:szCs w:val="22"/>
                <w:vertAlign w:val="baseline"/>
                <w:lang w:eastAsia="zh-CN"/>
              </w:rPr>
            </w:pPr>
          </w:p>
          <w:p w14:paraId="4E44E68D">
            <w:pPr>
              <w:spacing w:line="360" w:lineRule="auto"/>
              <w:ind w:firstLine="480" w:firstLineChars="200"/>
              <w:jc w:val="both"/>
              <w:rPr>
                <w:rFonts w:hint="default" w:ascii="Times New Roman" w:hAnsi="Times New Roman" w:cs="Times New Roman"/>
                <w:color w:val="auto"/>
                <w:sz w:val="24"/>
                <w:szCs w:val="22"/>
                <w:vertAlign w:val="baseline"/>
                <w:lang w:eastAsia="zh-CN"/>
              </w:rPr>
            </w:pPr>
          </w:p>
        </w:tc>
      </w:tr>
    </w:tbl>
    <w:p w14:paraId="764FDE9D">
      <w:pPr>
        <w:spacing w:line="360" w:lineRule="auto"/>
        <w:jc w:val="both"/>
        <w:rPr>
          <w:rFonts w:hint="default" w:ascii="Times New Roman" w:hAnsi="Times New Roman" w:cs="Times New Roman"/>
          <w:b/>
          <w:bCs/>
          <w:color w:val="0000FF"/>
          <w:lang w:val="en-US" w:eastAsia="zh-CN"/>
        </w:rPr>
        <w:sectPr>
          <w:pgSz w:w="11906" w:h="16838"/>
          <w:pgMar w:top="1417" w:right="1417" w:bottom="1417" w:left="1417" w:header="851" w:footer="992" w:gutter="0"/>
          <w:pgNumType w:fmt="decimal"/>
          <w:cols w:space="720" w:num="1"/>
          <w:rtlGutter w:val="0"/>
          <w:docGrid w:type="lines" w:linePitch="312" w:charSpace="0"/>
        </w:sectPr>
      </w:pPr>
    </w:p>
    <w:p w14:paraId="53E26FE7">
      <w:pPr>
        <w:jc w:val="right"/>
        <w:rPr>
          <w:rFonts w:hint="default" w:ascii="Times New Roman" w:hAnsi="Times New Roman" w:eastAsia="宋体" w:cs="Times New Roman"/>
          <w:b/>
          <w:bCs/>
          <w:color w:val="auto"/>
          <w:sz w:val="24"/>
          <w:szCs w:val="24"/>
          <w:lang w:val="en-US" w:eastAsia="zh-CN"/>
        </w:rPr>
      </w:pPr>
      <w:r>
        <w:rPr>
          <w:rFonts w:hint="default" w:ascii="Times New Roman" w:hAnsi="Times New Roman" w:cs="Times New Roman"/>
          <w:b/>
          <w:bCs/>
          <w:color w:val="auto"/>
          <w:sz w:val="36"/>
          <w:szCs w:val="36"/>
        </w:rPr>
        <w:t>建设项目污染物排放量汇总表</w:t>
      </w:r>
      <w:r>
        <w:rPr>
          <w:rFonts w:hint="eastAsia" w:cs="Times New Roman"/>
          <w:b/>
          <w:bCs/>
          <w:color w:val="auto"/>
          <w:sz w:val="36"/>
          <w:szCs w:val="36"/>
          <w:lang w:val="en-US" w:eastAsia="zh-CN"/>
        </w:rPr>
        <w:t xml:space="preserve">                    </w:t>
      </w:r>
      <w:r>
        <w:rPr>
          <w:rFonts w:hint="eastAsia" w:cs="Times New Roman"/>
          <w:b/>
          <w:bCs/>
          <w:color w:val="auto"/>
          <w:sz w:val="24"/>
          <w:szCs w:val="24"/>
          <w:lang w:val="en-US" w:eastAsia="zh-CN"/>
        </w:rPr>
        <w:t>单位：t/a</w:t>
      </w:r>
    </w:p>
    <w:tbl>
      <w:tblPr>
        <w:tblStyle w:val="26"/>
        <w:tblW w:w="4919"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316"/>
        <w:gridCol w:w="1681"/>
        <w:gridCol w:w="1698"/>
        <w:gridCol w:w="1066"/>
        <w:gridCol w:w="1667"/>
        <w:gridCol w:w="1598"/>
        <w:gridCol w:w="1446"/>
        <w:gridCol w:w="1798"/>
        <w:gridCol w:w="1562"/>
      </w:tblGrid>
      <w:tr w14:paraId="5A14AB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34" w:hRule="atLeast"/>
        </w:trPr>
        <w:tc>
          <w:tcPr>
            <w:tcW w:w="475" w:type="pct"/>
            <w:tcBorders>
              <w:tl2br w:val="single" w:color="auto" w:sz="4" w:space="0"/>
            </w:tcBorders>
            <w:noWrap w:val="0"/>
            <w:tcMar>
              <w:left w:w="28" w:type="dxa"/>
              <w:right w:w="28" w:type="dxa"/>
            </w:tcMar>
            <w:vAlign w:val="center"/>
          </w:tcPr>
          <w:p w14:paraId="76E8E3A0">
            <w:pPr>
              <w:pStyle w:val="39"/>
              <w:spacing w:beforeLines="0" w:afterLines="0" w:line="240" w:lineRule="auto"/>
              <w:jc w:val="right"/>
              <w:rPr>
                <w:rFonts w:hint="eastAsia" w:ascii="黑体" w:hAnsi="黑体" w:eastAsia="黑体" w:cs="宋体"/>
                <w:snapToGrid w:val="0"/>
                <w:color w:val="auto"/>
                <w:spacing w:val="-6"/>
                <w:kern w:val="21"/>
                <w:sz w:val="21"/>
                <w:szCs w:val="21"/>
              </w:rPr>
            </w:pPr>
            <w:r>
              <w:rPr>
                <w:rFonts w:hint="eastAsia" w:ascii="黑体" w:hAnsi="黑体" w:eastAsia="黑体" w:cs="宋体"/>
                <w:snapToGrid w:val="0"/>
                <w:color w:val="auto"/>
                <w:spacing w:val="-6"/>
                <w:kern w:val="21"/>
                <w:sz w:val="21"/>
                <w:szCs w:val="21"/>
              </w:rPr>
              <w:t>项目</w:t>
            </w:r>
          </w:p>
          <w:p w14:paraId="4BD7E522">
            <w:pPr>
              <w:pStyle w:val="39"/>
              <w:spacing w:beforeLines="0" w:afterLines="0" w:line="240" w:lineRule="auto"/>
              <w:jc w:val="left"/>
              <w:rPr>
                <w:rFonts w:hint="eastAsia" w:ascii="黑体" w:hAnsi="黑体" w:eastAsia="黑体" w:cs="宋体"/>
                <w:snapToGrid w:val="0"/>
                <w:color w:val="auto"/>
                <w:spacing w:val="-6"/>
                <w:kern w:val="21"/>
                <w:sz w:val="21"/>
                <w:szCs w:val="21"/>
              </w:rPr>
            </w:pPr>
            <w:r>
              <w:rPr>
                <w:rFonts w:hint="eastAsia" w:ascii="黑体" w:hAnsi="黑体" w:eastAsia="黑体" w:cs="宋体"/>
                <w:snapToGrid w:val="0"/>
                <w:color w:val="auto"/>
                <w:spacing w:val="-6"/>
                <w:kern w:val="21"/>
                <w:sz w:val="21"/>
                <w:szCs w:val="21"/>
              </w:rPr>
              <w:t>分类</w:t>
            </w:r>
          </w:p>
        </w:tc>
        <w:tc>
          <w:tcPr>
            <w:tcW w:w="607" w:type="pct"/>
            <w:noWrap w:val="0"/>
            <w:tcMar>
              <w:left w:w="28" w:type="dxa"/>
              <w:right w:w="28" w:type="dxa"/>
            </w:tcMar>
            <w:vAlign w:val="center"/>
          </w:tcPr>
          <w:p w14:paraId="74F78E0A">
            <w:pPr>
              <w:pStyle w:val="39"/>
              <w:spacing w:beforeLines="0" w:afterLines="0" w:line="240" w:lineRule="auto"/>
              <w:rPr>
                <w:rFonts w:hint="eastAsia" w:ascii="黑体" w:hAnsi="黑体" w:eastAsia="黑体" w:cs="宋体"/>
                <w:snapToGrid w:val="0"/>
                <w:color w:val="auto"/>
                <w:spacing w:val="-6"/>
                <w:kern w:val="21"/>
                <w:sz w:val="21"/>
                <w:szCs w:val="21"/>
              </w:rPr>
            </w:pPr>
            <w:r>
              <w:rPr>
                <w:rFonts w:hint="eastAsia" w:ascii="黑体" w:hAnsi="黑体" w:eastAsia="黑体" w:cs="宋体"/>
                <w:snapToGrid w:val="0"/>
                <w:color w:val="auto"/>
                <w:spacing w:val="-6"/>
                <w:kern w:val="21"/>
                <w:sz w:val="21"/>
                <w:szCs w:val="21"/>
              </w:rPr>
              <w:t>污染物名称</w:t>
            </w:r>
          </w:p>
        </w:tc>
        <w:tc>
          <w:tcPr>
            <w:tcW w:w="613" w:type="pct"/>
            <w:noWrap w:val="0"/>
            <w:tcMar>
              <w:left w:w="28" w:type="dxa"/>
              <w:right w:w="28" w:type="dxa"/>
            </w:tcMar>
            <w:vAlign w:val="center"/>
          </w:tcPr>
          <w:p w14:paraId="0CC6A22B">
            <w:pPr>
              <w:pStyle w:val="39"/>
              <w:keepNext w:val="0"/>
              <w:keepLines w:val="0"/>
              <w:pageBreakBefore w:val="0"/>
              <w:widowControl/>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ascii="黑体" w:hAnsi="黑体" w:eastAsia="黑体"/>
                <w:snapToGrid w:val="0"/>
                <w:color w:val="auto"/>
                <w:spacing w:val="-6"/>
                <w:kern w:val="21"/>
                <w:sz w:val="21"/>
                <w:szCs w:val="21"/>
              </w:rPr>
            </w:pPr>
            <w:r>
              <w:rPr>
                <w:rFonts w:ascii="黑体" w:hAnsi="黑体" w:eastAsia="黑体"/>
                <w:snapToGrid w:val="0"/>
                <w:color w:val="auto"/>
                <w:spacing w:val="-6"/>
                <w:kern w:val="21"/>
                <w:sz w:val="21"/>
                <w:szCs w:val="21"/>
              </w:rPr>
              <w:t>现有工程排放量（固</w:t>
            </w:r>
            <w:r>
              <w:rPr>
                <w:rFonts w:hint="eastAsia" w:ascii="黑体" w:hAnsi="黑体" w:eastAsia="黑体"/>
                <w:snapToGrid w:val="0"/>
                <w:color w:val="auto"/>
                <w:spacing w:val="-6"/>
                <w:kern w:val="21"/>
                <w:sz w:val="21"/>
                <w:szCs w:val="21"/>
              </w:rPr>
              <w:t>体</w:t>
            </w:r>
            <w:r>
              <w:rPr>
                <w:rFonts w:ascii="黑体" w:hAnsi="黑体" w:eastAsia="黑体"/>
                <w:snapToGrid w:val="0"/>
                <w:color w:val="auto"/>
                <w:spacing w:val="-6"/>
                <w:kern w:val="21"/>
                <w:sz w:val="21"/>
                <w:szCs w:val="21"/>
              </w:rPr>
              <w:t>废</w:t>
            </w:r>
            <w:r>
              <w:rPr>
                <w:rFonts w:hint="eastAsia" w:ascii="黑体" w:hAnsi="黑体" w:eastAsia="黑体"/>
                <w:snapToGrid w:val="0"/>
                <w:color w:val="auto"/>
                <w:spacing w:val="-6"/>
                <w:kern w:val="21"/>
                <w:sz w:val="21"/>
                <w:szCs w:val="21"/>
              </w:rPr>
              <w:t>物</w:t>
            </w:r>
            <w:r>
              <w:rPr>
                <w:rFonts w:ascii="黑体" w:hAnsi="黑体" w:eastAsia="黑体"/>
                <w:snapToGrid w:val="0"/>
                <w:color w:val="auto"/>
                <w:spacing w:val="-6"/>
                <w:kern w:val="21"/>
                <w:sz w:val="21"/>
                <w:szCs w:val="21"/>
              </w:rPr>
              <w:t>产生量）</w:t>
            </w:r>
            <w:r>
              <w:rPr>
                <w:rFonts w:ascii="黑体" w:hAnsi="黑体" w:eastAsia="黑体"/>
                <w:snapToGrid w:val="0"/>
                <w:color w:val="auto"/>
                <w:spacing w:val="-6"/>
                <w:kern w:val="21"/>
                <w:sz w:val="21"/>
                <w:szCs w:val="21"/>
              </w:rPr>
              <w:fldChar w:fldCharType="begin"/>
            </w:r>
            <w:r>
              <w:rPr>
                <w:rFonts w:ascii="黑体" w:hAnsi="黑体" w:eastAsia="黑体"/>
                <w:snapToGrid w:val="0"/>
                <w:color w:val="auto"/>
                <w:spacing w:val="-6"/>
                <w:kern w:val="21"/>
                <w:sz w:val="21"/>
                <w:szCs w:val="21"/>
              </w:rPr>
              <w:instrText xml:space="preserve"> = 1 \* GB3 \* MERGEFORMAT </w:instrText>
            </w:r>
            <w:r>
              <w:rPr>
                <w:rFonts w:ascii="黑体" w:hAnsi="黑体" w:eastAsia="黑体"/>
                <w:snapToGrid w:val="0"/>
                <w:color w:val="auto"/>
                <w:spacing w:val="-6"/>
                <w:kern w:val="21"/>
                <w:sz w:val="21"/>
                <w:szCs w:val="21"/>
              </w:rPr>
              <w:fldChar w:fldCharType="separate"/>
            </w:r>
            <w:r>
              <w:rPr>
                <w:rFonts w:hint="eastAsia" w:ascii="黑体" w:hAnsi="黑体" w:eastAsia="黑体" w:cs="宋体"/>
                <w:color w:val="auto"/>
                <w:kern w:val="2"/>
                <w:sz w:val="21"/>
                <w:szCs w:val="21"/>
              </w:rPr>
              <w:t>①</w:t>
            </w:r>
            <w:r>
              <w:rPr>
                <w:rFonts w:ascii="黑体" w:hAnsi="黑体" w:eastAsia="黑体"/>
                <w:snapToGrid w:val="0"/>
                <w:color w:val="auto"/>
                <w:spacing w:val="-6"/>
                <w:kern w:val="21"/>
                <w:sz w:val="21"/>
                <w:szCs w:val="21"/>
              </w:rPr>
              <w:fldChar w:fldCharType="end"/>
            </w:r>
          </w:p>
        </w:tc>
        <w:tc>
          <w:tcPr>
            <w:tcW w:w="385" w:type="pct"/>
            <w:noWrap w:val="0"/>
            <w:tcMar>
              <w:left w:w="28" w:type="dxa"/>
              <w:right w:w="28" w:type="dxa"/>
            </w:tcMar>
            <w:vAlign w:val="center"/>
          </w:tcPr>
          <w:p w14:paraId="4D10EC38">
            <w:pPr>
              <w:pStyle w:val="39"/>
              <w:keepNext w:val="0"/>
              <w:keepLines w:val="0"/>
              <w:pageBreakBefore w:val="0"/>
              <w:widowControl/>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ascii="黑体" w:hAnsi="黑体" w:eastAsia="黑体"/>
                <w:snapToGrid w:val="0"/>
                <w:color w:val="auto"/>
                <w:spacing w:val="-6"/>
                <w:kern w:val="21"/>
                <w:sz w:val="21"/>
                <w:szCs w:val="21"/>
              </w:rPr>
            </w:pPr>
            <w:r>
              <w:rPr>
                <w:rFonts w:ascii="黑体" w:hAnsi="黑体" w:eastAsia="黑体"/>
                <w:snapToGrid w:val="0"/>
                <w:color w:val="auto"/>
                <w:spacing w:val="-6"/>
                <w:kern w:val="21"/>
                <w:sz w:val="21"/>
                <w:szCs w:val="21"/>
              </w:rPr>
              <w:t>现有工程</w:t>
            </w:r>
          </w:p>
          <w:p w14:paraId="7EA76E46">
            <w:pPr>
              <w:pStyle w:val="39"/>
              <w:keepNext w:val="0"/>
              <w:keepLines w:val="0"/>
              <w:pageBreakBefore w:val="0"/>
              <w:widowControl/>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ascii="黑体" w:hAnsi="黑体" w:eastAsia="黑体"/>
                <w:snapToGrid w:val="0"/>
                <w:color w:val="auto"/>
                <w:spacing w:val="-6"/>
                <w:kern w:val="21"/>
                <w:sz w:val="21"/>
                <w:szCs w:val="21"/>
              </w:rPr>
            </w:pPr>
            <w:r>
              <w:rPr>
                <w:rFonts w:ascii="黑体" w:hAnsi="黑体" w:eastAsia="黑体"/>
                <w:snapToGrid w:val="0"/>
                <w:color w:val="auto"/>
                <w:spacing w:val="-6"/>
                <w:kern w:val="21"/>
                <w:sz w:val="21"/>
                <w:szCs w:val="21"/>
              </w:rPr>
              <w:t>许可排放量</w:t>
            </w:r>
            <w:r>
              <w:rPr>
                <w:rFonts w:ascii="黑体" w:hAnsi="黑体" w:eastAsia="黑体"/>
                <w:snapToGrid w:val="0"/>
                <w:color w:val="auto"/>
                <w:spacing w:val="-6"/>
                <w:kern w:val="21"/>
                <w:sz w:val="21"/>
                <w:szCs w:val="21"/>
              </w:rPr>
              <w:fldChar w:fldCharType="begin"/>
            </w:r>
            <w:r>
              <w:rPr>
                <w:rFonts w:ascii="黑体" w:hAnsi="黑体" w:eastAsia="黑体"/>
                <w:snapToGrid w:val="0"/>
                <w:color w:val="auto"/>
                <w:spacing w:val="-6"/>
                <w:kern w:val="21"/>
                <w:sz w:val="21"/>
                <w:szCs w:val="21"/>
              </w:rPr>
              <w:instrText xml:space="preserve"> = 2 \* GB3 \* MERGEFORMAT </w:instrText>
            </w:r>
            <w:r>
              <w:rPr>
                <w:rFonts w:ascii="黑体" w:hAnsi="黑体" w:eastAsia="黑体"/>
                <w:snapToGrid w:val="0"/>
                <w:color w:val="auto"/>
                <w:spacing w:val="-6"/>
                <w:kern w:val="21"/>
                <w:sz w:val="21"/>
                <w:szCs w:val="21"/>
              </w:rPr>
              <w:fldChar w:fldCharType="separate"/>
            </w:r>
            <w:r>
              <w:rPr>
                <w:rFonts w:hint="eastAsia" w:ascii="黑体" w:hAnsi="黑体" w:eastAsia="黑体" w:cs="宋体"/>
                <w:snapToGrid w:val="0"/>
                <w:color w:val="auto"/>
                <w:spacing w:val="-6"/>
                <w:kern w:val="21"/>
                <w:sz w:val="21"/>
                <w:szCs w:val="21"/>
              </w:rPr>
              <w:t>②</w:t>
            </w:r>
            <w:r>
              <w:rPr>
                <w:rFonts w:ascii="黑体" w:hAnsi="黑体" w:eastAsia="黑体"/>
                <w:snapToGrid w:val="0"/>
                <w:color w:val="auto"/>
                <w:spacing w:val="-6"/>
                <w:kern w:val="21"/>
                <w:sz w:val="21"/>
                <w:szCs w:val="21"/>
              </w:rPr>
              <w:fldChar w:fldCharType="end"/>
            </w:r>
          </w:p>
        </w:tc>
        <w:tc>
          <w:tcPr>
            <w:tcW w:w="602" w:type="pct"/>
            <w:noWrap w:val="0"/>
            <w:tcMar>
              <w:left w:w="28" w:type="dxa"/>
              <w:right w:w="28" w:type="dxa"/>
            </w:tcMar>
            <w:vAlign w:val="center"/>
          </w:tcPr>
          <w:p w14:paraId="2B58AB6F">
            <w:pPr>
              <w:pStyle w:val="39"/>
              <w:keepNext w:val="0"/>
              <w:keepLines w:val="0"/>
              <w:pageBreakBefore w:val="0"/>
              <w:widowControl/>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ascii="黑体" w:hAnsi="黑体" w:eastAsia="黑体"/>
                <w:snapToGrid w:val="0"/>
                <w:color w:val="auto"/>
                <w:spacing w:val="-6"/>
                <w:kern w:val="21"/>
                <w:sz w:val="21"/>
                <w:szCs w:val="21"/>
              </w:rPr>
            </w:pPr>
            <w:r>
              <w:rPr>
                <w:rFonts w:ascii="黑体" w:hAnsi="黑体" w:eastAsia="黑体"/>
                <w:snapToGrid w:val="0"/>
                <w:color w:val="auto"/>
                <w:spacing w:val="-6"/>
                <w:kern w:val="21"/>
                <w:sz w:val="21"/>
                <w:szCs w:val="21"/>
              </w:rPr>
              <w:t>在建工程排放量（固</w:t>
            </w:r>
            <w:r>
              <w:rPr>
                <w:rFonts w:hint="eastAsia" w:ascii="黑体" w:hAnsi="黑体" w:eastAsia="黑体"/>
                <w:snapToGrid w:val="0"/>
                <w:color w:val="auto"/>
                <w:spacing w:val="-6"/>
                <w:kern w:val="21"/>
                <w:sz w:val="21"/>
                <w:szCs w:val="21"/>
              </w:rPr>
              <w:t>体</w:t>
            </w:r>
            <w:r>
              <w:rPr>
                <w:rFonts w:ascii="黑体" w:hAnsi="黑体" w:eastAsia="黑体"/>
                <w:snapToGrid w:val="0"/>
                <w:color w:val="auto"/>
                <w:spacing w:val="-6"/>
                <w:kern w:val="21"/>
                <w:sz w:val="21"/>
                <w:szCs w:val="21"/>
              </w:rPr>
              <w:t>废</w:t>
            </w:r>
            <w:r>
              <w:rPr>
                <w:rFonts w:hint="eastAsia" w:ascii="黑体" w:hAnsi="黑体" w:eastAsia="黑体"/>
                <w:snapToGrid w:val="0"/>
                <w:color w:val="auto"/>
                <w:spacing w:val="-6"/>
                <w:kern w:val="21"/>
                <w:sz w:val="21"/>
                <w:szCs w:val="21"/>
              </w:rPr>
              <w:t>物</w:t>
            </w:r>
            <w:r>
              <w:rPr>
                <w:rFonts w:ascii="黑体" w:hAnsi="黑体" w:eastAsia="黑体"/>
                <w:snapToGrid w:val="0"/>
                <w:color w:val="auto"/>
                <w:spacing w:val="-6"/>
                <w:kern w:val="21"/>
                <w:sz w:val="21"/>
                <w:szCs w:val="21"/>
              </w:rPr>
              <w:t>产生量）</w:t>
            </w:r>
            <w:r>
              <w:rPr>
                <w:rFonts w:ascii="黑体" w:hAnsi="黑体" w:eastAsia="黑体"/>
                <w:snapToGrid w:val="0"/>
                <w:color w:val="auto"/>
                <w:spacing w:val="-6"/>
                <w:kern w:val="21"/>
                <w:sz w:val="21"/>
                <w:szCs w:val="21"/>
              </w:rPr>
              <w:fldChar w:fldCharType="begin"/>
            </w:r>
            <w:r>
              <w:rPr>
                <w:rFonts w:ascii="黑体" w:hAnsi="黑体" w:eastAsia="黑体"/>
                <w:snapToGrid w:val="0"/>
                <w:color w:val="auto"/>
                <w:spacing w:val="-6"/>
                <w:kern w:val="21"/>
                <w:sz w:val="21"/>
                <w:szCs w:val="21"/>
              </w:rPr>
              <w:instrText xml:space="preserve"> = 3 \* GB3 \* MERGEFORMAT </w:instrText>
            </w:r>
            <w:r>
              <w:rPr>
                <w:rFonts w:ascii="黑体" w:hAnsi="黑体" w:eastAsia="黑体"/>
                <w:snapToGrid w:val="0"/>
                <w:color w:val="auto"/>
                <w:spacing w:val="-6"/>
                <w:kern w:val="21"/>
                <w:sz w:val="21"/>
                <w:szCs w:val="21"/>
              </w:rPr>
              <w:fldChar w:fldCharType="separate"/>
            </w:r>
            <w:r>
              <w:rPr>
                <w:rFonts w:hint="eastAsia" w:ascii="黑体" w:hAnsi="黑体" w:eastAsia="黑体" w:cs="宋体"/>
                <w:color w:val="auto"/>
                <w:kern w:val="2"/>
                <w:sz w:val="21"/>
                <w:szCs w:val="21"/>
              </w:rPr>
              <w:t>③</w:t>
            </w:r>
            <w:r>
              <w:rPr>
                <w:rFonts w:ascii="黑体" w:hAnsi="黑体" w:eastAsia="黑体"/>
                <w:snapToGrid w:val="0"/>
                <w:color w:val="auto"/>
                <w:spacing w:val="-6"/>
                <w:kern w:val="21"/>
                <w:sz w:val="21"/>
                <w:szCs w:val="21"/>
              </w:rPr>
              <w:fldChar w:fldCharType="end"/>
            </w:r>
          </w:p>
        </w:tc>
        <w:tc>
          <w:tcPr>
            <w:tcW w:w="577" w:type="pct"/>
            <w:noWrap w:val="0"/>
            <w:tcMar>
              <w:left w:w="28" w:type="dxa"/>
              <w:right w:w="28" w:type="dxa"/>
            </w:tcMar>
            <w:vAlign w:val="center"/>
          </w:tcPr>
          <w:p w14:paraId="6A184AC5">
            <w:pPr>
              <w:pStyle w:val="39"/>
              <w:keepNext w:val="0"/>
              <w:keepLines w:val="0"/>
              <w:pageBreakBefore w:val="0"/>
              <w:widowControl/>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ascii="黑体" w:hAnsi="黑体" w:eastAsia="黑体"/>
                <w:snapToGrid w:val="0"/>
                <w:color w:val="auto"/>
                <w:spacing w:val="-6"/>
                <w:kern w:val="21"/>
                <w:sz w:val="21"/>
                <w:szCs w:val="21"/>
              </w:rPr>
            </w:pPr>
            <w:r>
              <w:rPr>
                <w:rFonts w:ascii="黑体" w:hAnsi="黑体" w:eastAsia="黑体"/>
                <w:snapToGrid w:val="0"/>
                <w:color w:val="auto"/>
                <w:spacing w:val="-6"/>
                <w:kern w:val="21"/>
                <w:sz w:val="21"/>
                <w:szCs w:val="21"/>
              </w:rPr>
              <w:t>本项目排放量</w:t>
            </w:r>
          </w:p>
          <w:p w14:paraId="41627820">
            <w:pPr>
              <w:pStyle w:val="39"/>
              <w:keepNext w:val="0"/>
              <w:keepLines w:val="0"/>
              <w:pageBreakBefore w:val="0"/>
              <w:widowControl/>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ascii="黑体" w:hAnsi="黑体" w:eastAsia="黑体"/>
                <w:snapToGrid w:val="0"/>
                <w:color w:val="auto"/>
                <w:spacing w:val="-6"/>
                <w:kern w:val="21"/>
                <w:sz w:val="21"/>
                <w:szCs w:val="21"/>
              </w:rPr>
            </w:pPr>
            <w:r>
              <w:rPr>
                <w:rFonts w:ascii="黑体" w:hAnsi="黑体" w:eastAsia="黑体"/>
                <w:snapToGrid w:val="0"/>
                <w:color w:val="auto"/>
                <w:spacing w:val="-6"/>
                <w:kern w:val="21"/>
                <w:sz w:val="21"/>
                <w:szCs w:val="21"/>
              </w:rPr>
              <w:t>（固</w:t>
            </w:r>
            <w:r>
              <w:rPr>
                <w:rFonts w:hint="eastAsia" w:ascii="黑体" w:hAnsi="黑体" w:eastAsia="黑体"/>
                <w:snapToGrid w:val="0"/>
                <w:color w:val="auto"/>
                <w:spacing w:val="-6"/>
                <w:kern w:val="21"/>
                <w:sz w:val="21"/>
                <w:szCs w:val="21"/>
              </w:rPr>
              <w:t>体</w:t>
            </w:r>
            <w:r>
              <w:rPr>
                <w:rFonts w:ascii="黑体" w:hAnsi="黑体" w:eastAsia="黑体"/>
                <w:snapToGrid w:val="0"/>
                <w:color w:val="auto"/>
                <w:spacing w:val="-6"/>
                <w:kern w:val="21"/>
                <w:sz w:val="21"/>
                <w:szCs w:val="21"/>
              </w:rPr>
              <w:t>废</w:t>
            </w:r>
            <w:r>
              <w:rPr>
                <w:rFonts w:hint="eastAsia" w:ascii="黑体" w:hAnsi="黑体" w:eastAsia="黑体"/>
                <w:snapToGrid w:val="0"/>
                <w:color w:val="auto"/>
                <w:spacing w:val="-6"/>
                <w:kern w:val="21"/>
                <w:sz w:val="21"/>
                <w:szCs w:val="21"/>
              </w:rPr>
              <w:t>物</w:t>
            </w:r>
            <w:r>
              <w:rPr>
                <w:rFonts w:ascii="黑体" w:hAnsi="黑体" w:eastAsia="黑体"/>
                <w:snapToGrid w:val="0"/>
                <w:color w:val="auto"/>
                <w:spacing w:val="-6"/>
                <w:kern w:val="21"/>
                <w:sz w:val="21"/>
                <w:szCs w:val="21"/>
              </w:rPr>
              <w:t>产生量）</w:t>
            </w:r>
            <w:r>
              <w:rPr>
                <w:rFonts w:ascii="黑体" w:hAnsi="黑体" w:eastAsia="黑体"/>
                <w:snapToGrid w:val="0"/>
                <w:color w:val="auto"/>
                <w:spacing w:val="-6"/>
                <w:kern w:val="21"/>
                <w:sz w:val="21"/>
                <w:szCs w:val="21"/>
              </w:rPr>
              <w:fldChar w:fldCharType="begin"/>
            </w:r>
            <w:r>
              <w:rPr>
                <w:rFonts w:ascii="黑体" w:hAnsi="黑体" w:eastAsia="黑体"/>
                <w:snapToGrid w:val="0"/>
                <w:color w:val="auto"/>
                <w:spacing w:val="-6"/>
                <w:kern w:val="21"/>
                <w:sz w:val="21"/>
                <w:szCs w:val="21"/>
              </w:rPr>
              <w:instrText xml:space="preserve"> = 4 \* GB3 \* MERGEFORMAT </w:instrText>
            </w:r>
            <w:r>
              <w:rPr>
                <w:rFonts w:ascii="黑体" w:hAnsi="黑体" w:eastAsia="黑体"/>
                <w:snapToGrid w:val="0"/>
                <w:color w:val="auto"/>
                <w:spacing w:val="-6"/>
                <w:kern w:val="21"/>
                <w:sz w:val="21"/>
                <w:szCs w:val="21"/>
              </w:rPr>
              <w:fldChar w:fldCharType="separate"/>
            </w:r>
            <w:r>
              <w:rPr>
                <w:rFonts w:hint="eastAsia" w:ascii="黑体" w:hAnsi="黑体" w:eastAsia="黑体" w:cs="宋体"/>
                <w:color w:val="auto"/>
                <w:kern w:val="2"/>
                <w:sz w:val="21"/>
                <w:szCs w:val="21"/>
              </w:rPr>
              <w:t>④</w:t>
            </w:r>
            <w:r>
              <w:rPr>
                <w:rFonts w:ascii="黑体" w:hAnsi="黑体" w:eastAsia="黑体"/>
                <w:snapToGrid w:val="0"/>
                <w:color w:val="auto"/>
                <w:spacing w:val="-6"/>
                <w:kern w:val="21"/>
                <w:sz w:val="21"/>
                <w:szCs w:val="21"/>
              </w:rPr>
              <w:fldChar w:fldCharType="end"/>
            </w:r>
          </w:p>
        </w:tc>
        <w:tc>
          <w:tcPr>
            <w:tcW w:w="522" w:type="pct"/>
            <w:noWrap w:val="0"/>
            <w:tcMar>
              <w:left w:w="28" w:type="dxa"/>
              <w:right w:w="28" w:type="dxa"/>
            </w:tcMar>
            <w:vAlign w:val="center"/>
          </w:tcPr>
          <w:p w14:paraId="25E20878">
            <w:pPr>
              <w:pStyle w:val="39"/>
              <w:keepNext w:val="0"/>
              <w:keepLines w:val="0"/>
              <w:pageBreakBefore w:val="0"/>
              <w:widowControl/>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ascii="黑体" w:hAnsi="黑体" w:eastAsia="黑体"/>
                <w:snapToGrid w:val="0"/>
                <w:color w:val="auto"/>
                <w:spacing w:val="-16"/>
                <w:kern w:val="21"/>
                <w:sz w:val="21"/>
                <w:szCs w:val="21"/>
              </w:rPr>
            </w:pPr>
            <w:r>
              <w:rPr>
                <w:rFonts w:ascii="黑体" w:hAnsi="黑体" w:eastAsia="黑体"/>
                <w:snapToGrid w:val="0"/>
                <w:color w:val="auto"/>
                <w:spacing w:val="-16"/>
                <w:kern w:val="21"/>
                <w:sz w:val="21"/>
                <w:szCs w:val="21"/>
              </w:rPr>
              <w:t>以新带老削减量（新建项目不填）</w:t>
            </w:r>
            <w:r>
              <w:rPr>
                <w:rFonts w:ascii="黑体" w:hAnsi="黑体" w:eastAsia="黑体"/>
                <w:snapToGrid w:val="0"/>
                <w:color w:val="auto"/>
                <w:spacing w:val="-16"/>
                <w:kern w:val="21"/>
                <w:sz w:val="21"/>
                <w:szCs w:val="21"/>
              </w:rPr>
              <w:fldChar w:fldCharType="begin"/>
            </w:r>
            <w:r>
              <w:rPr>
                <w:rFonts w:ascii="黑体" w:hAnsi="黑体" w:eastAsia="黑体"/>
                <w:snapToGrid w:val="0"/>
                <w:color w:val="auto"/>
                <w:spacing w:val="-16"/>
                <w:kern w:val="21"/>
                <w:sz w:val="21"/>
                <w:szCs w:val="21"/>
              </w:rPr>
              <w:instrText xml:space="preserve"> = 5 \* GB3 \* MERGEFORMAT </w:instrText>
            </w:r>
            <w:r>
              <w:rPr>
                <w:rFonts w:ascii="黑体" w:hAnsi="黑体" w:eastAsia="黑体"/>
                <w:snapToGrid w:val="0"/>
                <w:color w:val="auto"/>
                <w:spacing w:val="-16"/>
                <w:kern w:val="21"/>
                <w:sz w:val="21"/>
                <w:szCs w:val="21"/>
              </w:rPr>
              <w:fldChar w:fldCharType="separate"/>
            </w:r>
            <w:r>
              <w:rPr>
                <w:rFonts w:hint="eastAsia" w:ascii="黑体" w:hAnsi="黑体" w:eastAsia="黑体" w:cs="宋体"/>
                <w:color w:val="auto"/>
                <w:kern w:val="2"/>
                <w:sz w:val="21"/>
                <w:szCs w:val="21"/>
              </w:rPr>
              <w:t>⑤</w:t>
            </w:r>
            <w:r>
              <w:rPr>
                <w:rFonts w:ascii="黑体" w:hAnsi="黑体" w:eastAsia="黑体"/>
                <w:snapToGrid w:val="0"/>
                <w:color w:val="auto"/>
                <w:spacing w:val="-16"/>
                <w:kern w:val="21"/>
                <w:sz w:val="21"/>
                <w:szCs w:val="21"/>
              </w:rPr>
              <w:fldChar w:fldCharType="end"/>
            </w:r>
          </w:p>
        </w:tc>
        <w:tc>
          <w:tcPr>
            <w:tcW w:w="649" w:type="pct"/>
            <w:noWrap w:val="0"/>
            <w:tcMar>
              <w:left w:w="28" w:type="dxa"/>
              <w:right w:w="28" w:type="dxa"/>
            </w:tcMar>
            <w:vAlign w:val="center"/>
          </w:tcPr>
          <w:p w14:paraId="02017D2D">
            <w:pPr>
              <w:pStyle w:val="39"/>
              <w:keepNext w:val="0"/>
              <w:keepLines w:val="0"/>
              <w:pageBreakBefore w:val="0"/>
              <w:widowControl/>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ascii="黑体" w:hAnsi="黑体" w:eastAsia="黑体"/>
                <w:snapToGrid w:val="0"/>
                <w:color w:val="auto"/>
                <w:spacing w:val="-16"/>
                <w:kern w:val="21"/>
                <w:sz w:val="21"/>
                <w:szCs w:val="21"/>
              </w:rPr>
            </w:pPr>
            <w:r>
              <w:rPr>
                <w:rFonts w:ascii="黑体" w:hAnsi="黑体" w:eastAsia="黑体"/>
                <w:snapToGrid w:val="0"/>
                <w:color w:val="auto"/>
                <w:spacing w:val="-16"/>
                <w:kern w:val="21"/>
                <w:sz w:val="21"/>
                <w:szCs w:val="21"/>
              </w:rPr>
              <w:t>本项目建成后</w:t>
            </w:r>
            <w:r>
              <w:rPr>
                <w:rFonts w:hint="eastAsia" w:ascii="黑体" w:hAnsi="黑体" w:eastAsia="黑体"/>
                <w:snapToGrid w:val="0"/>
                <w:color w:val="auto"/>
                <w:spacing w:val="-16"/>
                <w:kern w:val="21"/>
                <w:sz w:val="21"/>
                <w:szCs w:val="21"/>
              </w:rPr>
              <w:t>全厂</w:t>
            </w:r>
            <w:r>
              <w:rPr>
                <w:rFonts w:ascii="黑体" w:hAnsi="黑体" w:eastAsia="黑体"/>
                <w:snapToGrid w:val="0"/>
                <w:color w:val="auto"/>
                <w:spacing w:val="-16"/>
                <w:kern w:val="21"/>
                <w:sz w:val="21"/>
                <w:szCs w:val="21"/>
              </w:rPr>
              <w:t>排放量（固</w:t>
            </w:r>
            <w:r>
              <w:rPr>
                <w:rFonts w:hint="eastAsia" w:ascii="黑体" w:hAnsi="黑体" w:eastAsia="黑体"/>
                <w:snapToGrid w:val="0"/>
                <w:color w:val="auto"/>
                <w:spacing w:val="-16"/>
                <w:kern w:val="21"/>
                <w:sz w:val="21"/>
                <w:szCs w:val="21"/>
              </w:rPr>
              <w:t>体</w:t>
            </w:r>
            <w:r>
              <w:rPr>
                <w:rFonts w:ascii="黑体" w:hAnsi="黑体" w:eastAsia="黑体"/>
                <w:snapToGrid w:val="0"/>
                <w:color w:val="auto"/>
                <w:spacing w:val="-16"/>
                <w:kern w:val="21"/>
                <w:sz w:val="21"/>
                <w:szCs w:val="21"/>
              </w:rPr>
              <w:t>废</w:t>
            </w:r>
            <w:r>
              <w:rPr>
                <w:rFonts w:hint="eastAsia" w:ascii="黑体" w:hAnsi="黑体" w:eastAsia="黑体"/>
                <w:snapToGrid w:val="0"/>
                <w:color w:val="auto"/>
                <w:spacing w:val="-16"/>
                <w:kern w:val="21"/>
                <w:sz w:val="21"/>
                <w:szCs w:val="21"/>
              </w:rPr>
              <w:t>物</w:t>
            </w:r>
            <w:r>
              <w:rPr>
                <w:rFonts w:ascii="黑体" w:hAnsi="黑体" w:eastAsia="黑体"/>
                <w:snapToGrid w:val="0"/>
                <w:color w:val="auto"/>
                <w:spacing w:val="-16"/>
                <w:kern w:val="21"/>
                <w:sz w:val="21"/>
                <w:szCs w:val="21"/>
              </w:rPr>
              <w:t>产生量）</w:t>
            </w:r>
            <w:r>
              <w:rPr>
                <w:rFonts w:ascii="黑体" w:hAnsi="黑体" w:eastAsia="黑体"/>
                <w:snapToGrid w:val="0"/>
                <w:color w:val="auto"/>
                <w:spacing w:val="-16"/>
                <w:kern w:val="21"/>
                <w:sz w:val="21"/>
                <w:szCs w:val="21"/>
              </w:rPr>
              <w:fldChar w:fldCharType="begin"/>
            </w:r>
            <w:r>
              <w:rPr>
                <w:rFonts w:ascii="黑体" w:hAnsi="黑体" w:eastAsia="黑体"/>
                <w:snapToGrid w:val="0"/>
                <w:color w:val="auto"/>
                <w:spacing w:val="-16"/>
                <w:kern w:val="21"/>
                <w:sz w:val="21"/>
                <w:szCs w:val="21"/>
              </w:rPr>
              <w:instrText xml:space="preserve"> = 6 \* GB3 \* MERGEFORMAT </w:instrText>
            </w:r>
            <w:r>
              <w:rPr>
                <w:rFonts w:ascii="黑体" w:hAnsi="黑体" w:eastAsia="黑体"/>
                <w:snapToGrid w:val="0"/>
                <w:color w:val="auto"/>
                <w:spacing w:val="-16"/>
                <w:kern w:val="21"/>
                <w:sz w:val="21"/>
                <w:szCs w:val="21"/>
              </w:rPr>
              <w:fldChar w:fldCharType="separate"/>
            </w:r>
            <w:r>
              <w:rPr>
                <w:rFonts w:hint="eastAsia" w:ascii="黑体" w:hAnsi="黑体" w:eastAsia="黑体" w:cs="宋体"/>
                <w:color w:val="auto"/>
                <w:kern w:val="2"/>
                <w:sz w:val="21"/>
                <w:szCs w:val="21"/>
              </w:rPr>
              <w:t>⑥</w:t>
            </w:r>
            <w:r>
              <w:rPr>
                <w:rFonts w:ascii="黑体" w:hAnsi="黑体" w:eastAsia="黑体"/>
                <w:snapToGrid w:val="0"/>
                <w:color w:val="auto"/>
                <w:spacing w:val="-16"/>
                <w:kern w:val="21"/>
                <w:sz w:val="21"/>
                <w:szCs w:val="21"/>
              </w:rPr>
              <w:fldChar w:fldCharType="end"/>
            </w:r>
          </w:p>
        </w:tc>
        <w:tc>
          <w:tcPr>
            <w:tcW w:w="564" w:type="pct"/>
            <w:noWrap w:val="0"/>
            <w:tcMar>
              <w:left w:w="28" w:type="dxa"/>
              <w:right w:w="28" w:type="dxa"/>
            </w:tcMar>
            <w:vAlign w:val="center"/>
          </w:tcPr>
          <w:p w14:paraId="3D27B056">
            <w:pPr>
              <w:pStyle w:val="39"/>
              <w:keepNext w:val="0"/>
              <w:keepLines w:val="0"/>
              <w:pageBreakBefore w:val="0"/>
              <w:widowControl/>
              <w:kinsoku/>
              <w:wordWrap/>
              <w:overflowPunct/>
              <w:topLinePunct w:val="0"/>
              <w:autoSpaceDE/>
              <w:autoSpaceDN/>
              <w:bidi w:val="0"/>
              <w:adjustRightInd w:val="0"/>
              <w:snapToGrid w:val="0"/>
              <w:spacing w:before="0" w:beforeLines="0" w:beforeAutospacing="0" w:after="0" w:afterLines="0" w:afterAutospacing="0" w:line="240" w:lineRule="auto"/>
              <w:textAlignment w:val="auto"/>
              <w:rPr>
                <w:rFonts w:ascii="黑体" w:hAnsi="黑体" w:eastAsia="黑体"/>
                <w:snapToGrid w:val="0"/>
                <w:color w:val="auto"/>
                <w:spacing w:val="-6"/>
                <w:kern w:val="21"/>
                <w:sz w:val="21"/>
                <w:szCs w:val="21"/>
              </w:rPr>
            </w:pPr>
            <w:r>
              <w:rPr>
                <w:rFonts w:ascii="黑体" w:hAnsi="黑体" w:eastAsia="黑体"/>
                <w:snapToGrid w:val="0"/>
                <w:color w:val="auto"/>
                <w:spacing w:val="-6"/>
                <w:kern w:val="21"/>
                <w:sz w:val="21"/>
                <w:szCs w:val="21"/>
              </w:rPr>
              <w:t>变化量</w:t>
            </w:r>
          </w:p>
          <w:p w14:paraId="52D0519D">
            <w:pPr>
              <w:pStyle w:val="39"/>
              <w:keepNext w:val="0"/>
              <w:keepLines w:val="0"/>
              <w:pageBreakBefore w:val="0"/>
              <w:widowControl/>
              <w:kinsoku/>
              <w:wordWrap/>
              <w:overflowPunct/>
              <w:topLinePunct w:val="0"/>
              <w:autoSpaceDE/>
              <w:autoSpaceDN/>
              <w:bidi w:val="0"/>
              <w:adjustRightInd w:val="0"/>
              <w:snapToGrid w:val="0"/>
              <w:spacing w:before="0" w:beforeLines="0" w:beforeAutospacing="0" w:after="0" w:afterLines="0" w:afterAutospacing="0" w:line="240" w:lineRule="auto"/>
              <w:textAlignment w:val="auto"/>
              <w:rPr>
                <w:rFonts w:ascii="黑体" w:hAnsi="黑体" w:eastAsia="黑体"/>
                <w:snapToGrid w:val="0"/>
                <w:color w:val="auto"/>
                <w:spacing w:val="-6"/>
                <w:kern w:val="21"/>
                <w:sz w:val="21"/>
                <w:szCs w:val="21"/>
              </w:rPr>
            </w:pPr>
            <w:r>
              <w:rPr>
                <w:rFonts w:ascii="黑体" w:hAnsi="黑体" w:eastAsia="黑体"/>
                <w:snapToGrid w:val="0"/>
                <w:color w:val="auto"/>
                <w:spacing w:val="-6"/>
                <w:kern w:val="21"/>
                <w:sz w:val="21"/>
                <w:szCs w:val="21"/>
              </w:rPr>
              <w:fldChar w:fldCharType="begin"/>
            </w:r>
            <w:r>
              <w:rPr>
                <w:rFonts w:ascii="黑体" w:hAnsi="黑体" w:eastAsia="黑体"/>
                <w:snapToGrid w:val="0"/>
                <w:color w:val="auto"/>
                <w:spacing w:val="-6"/>
                <w:kern w:val="21"/>
                <w:sz w:val="21"/>
                <w:szCs w:val="21"/>
              </w:rPr>
              <w:instrText xml:space="preserve"> = 7 \* GB3 \* MERGEFORMAT </w:instrText>
            </w:r>
            <w:r>
              <w:rPr>
                <w:rFonts w:ascii="黑体" w:hAnsi="黑体" w:eastAsia="黑体"/>
                <w:snapToGrid w:val="0"/>
                <w:color w:val="auto"/>
                <w:spacing w:val="-6"/>
                <w:kern w:val="21"/>
                <w:sz w:val="21"/>
                <w:szCs w:val="21"/>
              </w:rPr>
              <w:fldChar w:fldCharType="separate"/>
            </w:r>
            <w:r>
              <w:rPr>
                <w:rFonts w:hint="eastAsia" w:ascii="黑体" w:hAnsi="黑体" w:eastAsia="黑体" w:cs="宋体"/>
                <w:color w:val="auto"/>
                <w:kern w:val="2"/>
                <w:sz w:val="21"/>
                <w:szCs w:val="21"/>
              </w:rPr>
              <w:t>⑦</w:t>
            </w:r>
            <w:r>
              <w:rPr>
                <w:rFonts w:ascii="黑体" w:hAnsi="黑体" w:eastAsia="黑体"/>
                <w:snapToGrid w:val="0"/>
                <w:color w:val="auto"/>
                <w:spacing w:val="-6"/>
                <w:kern w:val="21"/>
                <w:sz w:val="21"/>
                <w:szCs w:val="21"/>
              </w:rPr>
              <w:fldChar w:fldCharType="end"/>
            </w:r>
          </w:p>
        </w:tc>
      </w:tr>
      <w:tr w14:paraId="222193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475" w:type="pct"/>
            <w:noWrap w:val="0"/>
            <w:vAlign w:val="center"/>
          </w:tcPr>
          <w:p w14:paraId="7ECB5E82">
            <w:pPr>
              <w:pStyle w:val="39"/>
              <w:spacing w:beforeLines="0" w:afterLines="0" w:line="240" w:lineRule="auto"/>
              <w:rPr>
                <w:rFonts w:hint="eastAsia" w:cs="宋体"/>
                <w:snapToGrid w:val="0"/>
                <w:color w:val="auto"/>
                <w:kern w:val="21"/>
                <w:sz w:val="21"/>
                <w:szCs w:val="21"/>
              </w:rPr>
            </w:pPr>
            <w:r>
              <w:rPr>
                <w:rFonts w:hint="eastAsia" w:cs="宋体"/>
                <w:snapToGrid w:val="0"/>
                <w:color w:val="auto"/>
                <w:kern w:val="21"/>
                <w:sz w:val="21"/>
                <w:szCs w:val="21"/>
              </w:rPr>
              <w:t>废气</w:t>
            </w:r>
          </w:p>
        </w:tc>
        <w:tc>
          <w:tcPr>
            <w:tcW w:w="607" w:type="pct"/>
            <w:noWrap w:val="0"/>
            <w:vAlign w:val="center"/>
          </w:tcPr>
          <w:p w14:paraId="688BF333">
            <w:pPr>
              <w:widowControl/>
              <w:ind w:left="0" w:leftChars="0" w:right="0" w:rightChars="0" w:firstLine="0" w:firstLineChars="0"/>
              <w:jc w:val="center"/>
              <w:textAlignment w:val="center"/>
              <w:rPr>
                <w:rFonts w:ascii="Times New Roman" w:hAnsi="Times New Roman" w:eastAsia="宋体" w:cs="Times New Roman"/>
                <w:color w:val="auto"/>
                <w:sz w:val="21"/>
                <w:szCs w:val="21"/>
              </w:rPr>
            </w:pPr>
            <w:r>
              <w:rPr>
                <w:rFonts w:hint="eastAsia" w:cs="Times New Roman"/>
                <w:color w:val="auto"/>
                <w:sz w:val="21"/>
                <w:szCs w:val="21"/>
                <w:lang w:val="en-US" w:eastAsia="zh-CN"/>
              </w:rPr>
              <w:t>非甲烷总烃</w:t>
            </w:r>
          </w:p>
        </w:tc>
        <w:tc>
          <w:tcPr>
            <w:tcW w:w="613" w:type="pct"/>
            <w:noWrap w:val="0"/>
            <w:vAlign w:val="center"/>
          </w:tcPr>
          <w:p w14:paraId="316276F0">
            <w:pPr>
              <w:widowControl/>
              <w:ind w:left="0" w:leftChars="0" w:right="0" w:rightChars="0" w:firstLine="0" w:firstLineChars="0"/>
              <w:jc w:val="center"/>
              <w:textAlignment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w:t>
            </w:r>
          </w:p>
        </w:tc>
        <w:tc>
          <w:tcPr>
            <w:tcW w:w="385" w:type="pct"/>
            <w:noWrap w:val="0"/>
            <w:vAlign w:val="center"/>
          </w:tcPr>
          <w:p w14:paraId="736237AC">
            <w:pPr>
              <w:widowControl/>
              <w:ind w:left="0" w:leftChars="0" w:right="0" w:rightChars="0" w:firstLine="0" w:firstLineChars="0"/>
              <w:jc w:val="center"/>
              <w:textAlignment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w:t>
            </w:r>
          </w:p>
        </w:tc>
        <w:tc>
          <w:tcPr>
            <w:tcW w:w="602" w:type="pct"/>
            <w:noWrap w:val="0"/>
            <w:vAlign w:val="center"/>
          </w:tcPr>
          <w:p w14:paraId="4649F5BA">
            <w:pPr>
              <w:widowControl/>
              <w:ind w:left="0" w:leftChars="0" w:right="0" w:rightChars="0" w:firstLine="0" w:firstLineChars="0"/>
              <w:jc w:val="center"/>
              <w:textAlignment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w:t>
            </w:r>
          </w:p>
        </w:tc>
        <w:tc>
          <w:tcPr>
            <w:tcW w:w="577" w:type="pct"/>
            <w:noWrap w:val="0"/>
            <w:vAlign w:val="center"/>
          </w:tcPr>
          <w:p w14:paraId="01A3189F">
            <w:pPr>
              <w:widowControl/>
              <w:ind w:left="0" w:leftChars="0" w:right="0" w:righ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rPr>
              <w:t>0.</w:t>
            </w:r>
            <w:r>
              <w:rPr>
                <w:rFonts w:hint="eastAsia" w:cs="Times New Roman"/>
                <w:color w:val="auto"/>
                <w:sz w:val="21"/>
                <w:szCs w:val="21"/>
                <w:lang w:val="en-US" w:eastAsia="zh-CN"/>
              </w:rPr>
              <w:t>405</w:t>
            </w:r>
          </w:p>
        </w:tc>
        <w:tc>
          <w:tcPr>
            <w:tcW w:w="522" w:type="pct"/>
            <w:noWrap w:val="0"/>
            <w:vAlign w:val="center"/>
          </w:tcPr>
          <w:p w14:paraId="79388D68">
            <w:pPr>
              <w:pStyle w:val="39"/>
              <w:spacing w:beforeLines="0" w:afterLines="0" w:line="240" w:lineRule="auto"/>
              <w:ind w:left="0" w:leftChars="0" w:right="0" w:rightChars="0" w:firstLine="0" w:firstLineChars="0"/>
              <w:jc w:val="center"/>
              <w:rPr>
                <w:rFonts w:ascii="Times New Roman"/>
                <w:snapToGrid w:val="0"/>
                <w:color w:val="auto"/>
                <w:kern w:val="21"/>
                <w:sz w:val="21"/>
                <w:szCs w:val="21"/>
              </w:rPr>
            </w:pPr>
            <w:r>
              <w:rPr>
                <w:rFonts w:hint="eastAsia" w:ascii="Times New Roman"/>
                <w:color w:val="auto"/>
                <w:sz w:val="21"/>
                <w:szCs w:val="21"/>
              </w:rPr>
              <w:t>/</w:t>
            </w:r>
          </w:p>
        </w:tc>
        <w:tc>
          <w:tcPr>
            <w:tcW w:w="649" w:type="pct"/>
            <w:noWrap w:val="0"/>
            <w:vAlign w:val="center"/>
          </w:tcPr>
          <w:p w14:paraId="763F3A13">
            <w:pPr>
              <w:widowControl/>
              <w:ind w:left="0" w:leftChars="0" w:right="0" w:rightChars="0"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rPr>
              <w:t>0.</w:t>
            </w:r>
            <w:r>
              <w:rPr>
                <w:rFonts w:hint="eastAsia" w:cs="Times New Roman"/>
                <w:color w:val="auto"/>
                <w:sz w:val="21"/>
                <w:szCs w:val="21"/>
                <w:lang w:val="en-US" w:eastAsia="zh-CN"/>
              </w:rPr>
              <w:t>405</w:t>
            </w:r>
          </w:p>
        </w:tc>
        <w:tc>
          <w:tcPr>
            <w:tcW w:w="564" w:type="pct"/>
            <w:noWrap w:val="0"/>
            <w:vAlign w:val="center"/>
          </w:tcPr>
          <w:p w14:paraId="2EC49668">
            <w:pPr>
              <w:widowControl/>
              <w:ind w:left="0" w:leftChars="0" w:right="0" w:rightChars="0"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lang w:val="en-US" w:eastAsia="zh-CN"/>
              </w:rPr>
              <w:t>+</w:t>
            </w:r>
            <w:r>
              <w:rPr>
                <w:rFonts w:hint="default" w:ascii="Times New Roman" w:hAnsi="Times New Roman" w:eastAsia="宋体" w:cs="Times New Roman"/>
                <w:color w:val="auto"/>
                <w:sz w:val="21"/>
                <w:szCs w:val="21"/>
                <w:lang w:val="en-US"/>
              </w:rPr>
              <w:t>0.</w:t>
            </w:r>
            <w:r>
              <w:rPr>
                <w:rFonts w:hint="eastAsia" w:cs="Times New Roman"/>
                <w:color w:val="auto"/>
                <w:sz w:val="21"/>
                <w:szCs w:val="21"/>
                <w:lang w:val="en-US" w:eastAsia="zh-CN"/>
              </w:rPr>
              <w:t>405</w:t>
            </w:r>
          </w:p>
        </w:tc>
      </w:tr>
      <w:tr w14:paraId="7BC212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475" w:type="pct"/>
            <w:vMerge w:val="restart"/>
            <w:noWrap w:val="0"/>
            <w:vAlign w:val="center"/>
          </w:tcPr>
          <w:p w14:paraId="42872FE3">
            <w:pPr>
              <w:pStyle w:val="39"/>
              <w:spacing w:beforeLines="0" w:afterLines="0" w:line="240" w:lineRule="auto"/>
              <w:rPr>
                <w:rFonts w:hint="eastAsia" w:cs="宋体"/>
                <w:snapToGrid w:val="0"/>
                <w:color w:val="auto"/>
                <w:kern w:val="21"/>
                <w:sz w:val="21"/>
                <w:szCs w:val="21"/>
              </w:rPr>
            </w:pPr>
            <w:r>
              <w:rPr>
                <w:rFonts w:hint="eastAsia" w:cs="宋体"/>
                <w:snapToGrid w:val="0"/>
                <w:color w:val="auto"/>
                <w:kern w:val="21"/>
                <w:sz w:val="21"/>
                <w:szCs w:val="21"/>
              </w:rPr>
              <w:t>废水</w:t>
            </w:r>
          </w:p>
        </w:tc>
        <w:tc>
          <w:tcPr>
            <w:tcW w:w="607" w:type="pct"/>
            <w:noWrap w:val="0"/>
            <w:vAlign w:val="center"/>
          </w:tcPr>
          <w:p w14:paraId="09990BE7">
            <w:pPr>
              <w:widowControl/>
              <w:ind w:left="0" w:leftChars="0" w:right="0" w:rightChars="0" w:firstLine="0" w:firstLineChars="0"/>
              <w:jc w:val="center"/>
              <w:textAlignment w:val="center"/>
              <w:rPr>
                <w:rFonts w:hint="eastAsia" w:eastAsia="宋体"/>
                <w:snapToGrid w:val="0"/>
                <w:color w:val="auto"/>
                <w:kern w:val="21"/>
                <w:sz w:val="21"/>
                <w:szCs w:val="21"/>
                <w:lang w:eastAsia="zh-CN"/>
              </w:rPr>
            </w:pPr>
            <w:r>
              <w:rPr>
                <w:rFonts w:hint="eastAsia"/>
                <w:snapToGrid w:val="0"/>
                <w:color w:val="auto"/>
                <w:kern w:val="21"/>
                <w:sz w:val="21"/>
                <w:szCs w:val="21"/>
                <w:lang w:eastAsia="zh-CN"/>
              </w:rPr>
              <w:t>废水量</w:t>
            </w:r>
          </w:p>
        </w:tc>
        <w:tc>
          <w:tcPr>
            <w:tcW w:w="613" w:type="pct"/>
            <w:noWrap w:val="0"/>
            <w:vAlign w:val="center"/>
          </w:tcPr>
          <w:p w14:paraId="03AD61F7">
            <w:pPr>
              <w:pStyle w:val="39"/>
              <w:spacing w:beforeLines="0" w:afterLines="0" w:line="240" w:lineRule="auto"/>
              <w:ind w:left="0" w:leftChars="0" w:right="0" w:rightChars="0" w:firstLine="0" w:firstLineChars="0"/>
              <w:jc w:val="center"/>
              <w:rPr>
                <w:rFonts w:hint="default" w:ascii="Times New Roman" w:eastAsia="宋体"/>
                <w:color w:val="auto"/>
                <w:sz w:val="21"/>
                <w:szCs w:val="21"/>
                <w:lang w:val="en-US" w:eastAsia="zh-CN"/>
              </w:rPr>
            </w:pPr>
            <w:r>
              <w:rPr>
                <w:rFonts w:hint="eastAsia" w:ascii="Times New Roman"/>
                <w:color w:val="auto"/>
                <w:sz w:val="21"/>
                <w:szCs w:val="21"/>
                <w:lang w:val="en-US" w:eastAsia="zh-CN"/>
              </w:rPr>
              <w:t>/</w:t>
            </w:r>
          </w:p>
        </w:tc>
        <w:tc>
          <w:tcPr>
            <w:tcW w:w="385" w:type="pct"/>
            <w:noWrap w:val="0"/>
            <w:vAlign w:val="center"/>
          </w:tcPr>
          <w:p w14:paraId="4AB38929">
            <w:pPr>
              <w:pStyle w:val="39"/>
              <w:spacing w:beforeLines="0" w:afterLines="0" w:line="240" w:lineRule="auto"/>
              <w:ind w:left="0" w:leftChars="0" w:right="0" w:rightChars="0" w:firstLine="0" w:firstLineChars="0"/>
              <w:jc w:val="center"/>
              <w:rPr>
                <w:rFonts w:hint="eastAsia" w:ascii="Times New Roman" w:eastAsia="宋体"/>
                <w:color w:val="auto"/>
                <w:sz w:val="21"/>
                <w:szCs w:val="21"/>
                <w:lang w:val="en-US" w:eastAsia="zh-CN"/>
              </w:rPr>
            </w:pPr>
            <w:r>
              <w:rPr>
                <w:rFonts w:hint="eastAsia" w:ascii="Times New Roman"/>
                <w:color w:val="auto"/>
                <w:sz w:val="21"/>
                <w:szCs w:val="21"/>
                <w:lang w:val="en-US" w:eastAsia="zh-CN"/>
              </w:rPr>
              <w:t>/</w:t>
            </w:r>
          </w:p>
        </w:tc>
        <w:tc>
          <w:tcPr>
            <w:tcW w:w="602" w:type="pct"/>
            <w:noWrap w:val="0"/>
            <w:vAlign w:val="center"/>
          </w:tcPr>
          <w:p w14:paraId="6EDC7AF5">
            <w:pPr>
              <w:pStyle w:val="39"/>
              <w:spacing w:beforeLines="0" w:afterLines="0" w:line="240" w:lineRule="auto"/>
              <w:ind w:left="0" w:leftChars="0" w:right="0" w:rightChars="0" w:firstLine="0" w:firstLineChars="0"/>
              <w:jc w:val="center"/>
              <w:rPr>
                <w:rFonts w:hint="eastAsia" w:ascii="Times New Roman" w:eastAsia="宋体"/>
                <w:color w:val="auto"/>
                <w:sz w:val="21"/>
                <w:szCs w:val="21"/>
                <w:lang w:val="en-US" w:eastAsia="zh-CN"/>
              </w:rPr>
            </w:pPr>
            <w:r>
              <w:rPr>
                <w:rFonts w:hint="eastAsia" w:ascii="Times New Roman"/>
                <w:color w:val="auto"/>
                <w:sz w:val="21"/>
                <w:szCs w:val="21"/>
                <w:lang w:val="en-US" w:eastAsia="zh-CN"/>
              </w:rPr>
              <w:t>/</w:t>
            </w:r>
          </w:p>
        </w:tc>
        <w:tc>
          <w:tcPr>
            <w:tcW w:w="577" w:type="pct"/>
            <w:shd w:val="clear" w:color="auto" w:fill="auto"/>
            <w:noWrap w:val="0"/>
            <w:vAlign w:val="center"/>
          </w:tcPr>
          <w:p w14:paraId="762CCF3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21"/>
                <w:szCs w:val="21"/>
                <w:lang w:val="en-US" w:eastAsia="zh-CN" w:bidi="ar-SA"/>
              </w:rPr>
            </w:pPr>
            <w:r>
              <w:rPr>
                <w:rFonts w:hint="eastAsia" w:cs="Times New Roman"/>
                <w:b w:val="0"/>
                <w:bCs w:val="0"/>
                <w:i w:val="0"/>
                <w:iCs w:val="0"/>
                <w:color w:val="000000"/>
                <w:kern w:val="0"/>
                <w:sz w:val="21"/>
                <w:szCs w:val="21"/>
                <w:u w:val="none"/>
                <w:lang w:val="en-US" w:eastAsia="zh-CN" w:bidi="ar"/>
              </w:rPr>
              <w:t>0</w:t>
            </w:r>
          </w:p>
        </w:tc>
        <w:tc>
          <w:tcPr>
            <w:tcW w:w="522" w:type="pct"/>
            <w:noWrap w:val="0"/>
            <w:vAlign w:val="center"/>
          </w:tcPr>
          <w:p w14:paraId="0B166CC3">
            <w:pPr>
              <w:pStyle w:val="39"/>
              <w:spacing w:beforeLines="0" w:afterLines="0" w:line="240" w:lineRule="auto"/>
              <w:ind w:left="0" w:leftChars="0" w:right="0" w:rightChars="0" w:firstLine="0" w:firstLineChars="0"/>
              <w:jc w:val="center"/>
              <w:rPr>
                <w:rFonts w:hint="default"/>
                <w:color w:val="auto"/>
                <w:sz w:val="21"/>
                <w:szCs w:val="21"/>
                <w:lang w:val="en-US" w:eastAsia="zh-CN"/>
              </w:rPr>
            </w:pPr>
            <w:r>
              <w:rPr>
                <w:rFonts w:hint="eastAsia"/>
                <w:color w:val="auto"/>
                <w:sz w:val="21"/>
                <w:szCs w:val="21"/>
                <w:lang w:val="en-US" w:eastAsia="zh-CN"/>
              </w:rPr>
              <w:t>/</w:t>
            </w:r>
          </w:p>
        </w:tc>
        <w:tc>
          <w:tcPr>
            <w:tcW w:w="649" w:type="pct"/>
            <w:shd w:val="clear" w:color="auto" w:fill="auto"/>
            <w:noWrap w:val="0"/>
            <w:vAlign w:val="center"/>
          </w:tcPr>
          <w:p w14:paraId="487F424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21"/>
                <w:szCs w:val="21"/>
                <w:lang w:val="en-US" w:eastAsia="zh-CN" w:bidi="ar-SA"/>
              </w:rPr>
            </w:pPr>
            <w:r>
              <w:rPr>
                <w:rFonts w:hint="eastAsia" w:cs="Times New Roman"/>
                <w:b w:val="0"/>
                <w:bCs w:val="0"/>
                <w:i w:val="0"/>
                <w:iCs w:val="0"/>
                <w:color w:val="000000"/>
                <w:kern w:val="0"/>
                <w:sz w:val="21"/>
                <w:szCs w:val="21"/>
                <w:u w:val="none"/>
                <w:lang w:val="en-US" w:eastAsia="zh-CN" w:bidi="ar"/>
              </w:rPr>
              <w:t>0</w:t>
            </w:r>
          </w:p>
        </w:tc>
        <w:tc>
          <w:tcPr>
            <w:tcW w:w="564" w:type="pct"/>
            <w:shd w:val="clear" w:color="auto" w:fill="auto"/>
            <w:noWrap w:val="0"/>
            <w:vAlign w:val="center"/>
          </w:tcPr>
          <w:p w14:paraId="7B31653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21"/>
                <w:szCs w:val="21"/>
                <w:lang w:val="en-US" w:eastAsia="zh-CN" w:bidi="ar-SA"/>
              </w:rPr>
            </w:pPr>
            <w:r>
              <w:rPr>
                <w:rFonts w:hint="eastAsia" w:cs="Times New Roman"/>
                <w:b w:val="0"/>
                <w:bCs w:val="0"/>
                <w:i w:val="0"/>
                <w:iCs w:val="0"/>
                <w:color w:val="000000"/>
                <w:kern w:val="0"/>
                <w:sz w:val="21"/>
                <w:szCs w:val="21"/>
                <w:u w:val="none"/>
                <w:lang w:val="en-US" w:eastAsia="zh-CN" w:bidi="ar"/>
              </w:rPr>
              <w:t>0</w:t>
            </w:r>
          </w:p>
        </w:tc>
      </w:tr>
      <w:tr w14:paraId="3E29BB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475" w:type="pct"/>
            <w:vMerge w:val="continue"/>
            <w:noWrap w:val="0"/>
            <w:vAlign w:val="center"/>
          </w:tcPr>
          <w:p w14:paraId="067EF4F5">
            <w:pPr>
              <w:pStyle w:val="39"/>
              <w:spacing w:beforeLines="0" w:afterLines="0" w:line="240" w:lineRule="auto"/>
              <w:rPr>
                <w:rFonts w:hint="eastAsia" w:cs="宋体"/>
                <w:snapToGrid w:val="0"/>
                <w:color w:val="auto"/>
                <w:kern w:val="21"/>
                <w:sz w:val="21"/>
                <w:szCs w:val="21"/>
              </w:rPr>
            </w:pPr>
          </w:p>
        </w:tc>
        <w:tc>
          <w:tcPr>
            <w:tcW w:w="607" w:type="pct"/>
            <w:noWrap w:val="0"/>
            <w:vAlign w:val="center"/>
          </w:tcPr>
          <w:p w14:paraId="0336A4A7">
            <w:pPr>
              <w:widowControl/>
              <w:ind w:left="0" w:leftChars="0" w:right="0" w:rightChars="0" w:firstLine="0" w:firstLineChars="0"/>
              <w:jc w:val="center"/>
              <w:textAlignment w:val="center"/>
              <w:rPr>
                <w:snapToGrid w:val="0"/>
                <w:color w:val="auto"/>
                <w:kern w:val="21"/>
                <w:sz w:val="21"/>
                <w:szCs w:val="21"/>
              </w:rPr>
            </w:pPr>
            <w:r>
              <w:rPr>
                <w:snapToGrid w:val="0"/>
                <w:color w:val="auto"/>
                <w:kern w:val="21"/>
                <w:sz w:val="21"/>
                <w:szCs w:val="21"/>
              </w:rPr>
              <w:t>COD</w:t>
            </w:r>
          </w:p>
        </w:tc>
        <w:tc>
          <w:tcPr>
            <w:tcW w:w="613" w:type="pct"/>
            <w:noWrap w:val="0"/>
            <w:vAlign w:val="center"/>
          </w:tcPr>
          <w:p w14:paraId="6495F281">
            <w:pPr>
              <w:pStyle w:val="39"/>
              <w:spacing w:beforeLines="0" w:afterLines="0" w:line="240" w:lineRule="auto"/>
              <w:ind w:left="0" w:leftChars="0" w:right="0" w:rightChars="0" w:firstLine="0" w:firstLineChars="0"/>
              <w:jc w:val="center"/>
              <w:rPr>
                <w:rFonts w:ascii="Times New Roman"/>
                <w:snapToGrid w:val="0"/>
                <w:color w:val="auto"/>
                <w:kern w:val="21"/>
                <w:sz w:val="21"/>
                <w:szCs w:val="21"/>
              </w:rPr>
            </w:pPr>
            <w:r>
              <w:rPr>
                <w:rFonts w:hint="eastAsia" w:ascii="Times New Roman"/>
                <w:color w:val="auto"/>
                <w:sz w:val="21"/>
                <w:szCs w:val="21"/>
              </w:rPr>
              <w:t>/</w:t>
            </w:r>
          </w:p>
        </w:tc>
        <w:tc>
          <w:tcPr>
            <w:tcW w:w="385" w:type="pct"/>
            <w:noWrap w:val="0"/>
            <w:vAlign w:val="center"/>
          </w:tcPr>
          <w:p w14:paraId="4364B158">
            <w:pPr>
              <w:pStyle w:val="39"/>
              <w:spacing w:beforeLines="0" w:afterLines="0" w:line="240" w:lineRule="auto"/>
              <w:ind w:left="0" w:leftChars="0" w:right="0" w:rightChars="0" w:firstLine="0" w:firstLineChars="0"/>
              <w:jc w:val="center"/>
              <w:rPr>
                <w:rFonts w:ascii="Times New Roman"/>
                <w:snapToGrid w:val="0"/>
                <w:color w:val="auto"/>
                <w:kern w:val="21"/>
                <w:sz w:val="21"/>
                <w:szCs w:val="21"/>
              </w:rPr>
            </w:pPr>
            <w:r>
              <w:rPr>
                <w:rFonts w:hint="eastAsia" w:ascii="Times New Roman"/>
                <w:color w:val="auto"/>
                <w:sz w:val="21"/>
                <w:szCs w:val="21"/>
              </w:rPr>
              <w:t>/</w:t>
            </w:r>
          </w:p>
        </w:tc>
        <w:tc>
          <w:tcPr>
            <w:tcW w:w="602" w:type="pct"/>
            <w:noWrap w:val="0"/>
            <w:vAlign w:val="center"/>
          </w:tcPr>
          <w:p w14:paraId="4683F67A">
            <w:pPr>
              <w:pStyle w:val="39"/>
              <w:spacing w:beforeLines="0" w:afterLines="0" w:line="240" w:lineRule="auto"/>
              <w:ind w:left="0" w:leftChars="0" w:right="0" w:rightChars="0" w:firstLine="0" w:firstLineChars="0"/>
              <w:jc w:val="center"/>
              <w:rPr>
                <w:rFonts w:ascii="Times New Roman"/>
                <w:snapToGrid w:val="0"/>
                <w:color w:val="auto"/>
                <w:kern w:val="21"/>
                <w:sz w:val="21"/>
                <w:szCs w:val="21"/>
              </w:rPr>
            </w:pPr>
            <w:r>
              <w:rPr>
                <w:rFonts w:hint="eastAsia" w:ascii="Times New Roman"/>
                <w:color w:val="auto"/>
                <w:sz w:val="21"/>
                <w:szCs w:val="21"/>
              </w:rPr>
              <w:t>/</w:t>
            </w:r>
          </w:p>
        </w:tc>
        <w:tc>
          <w:tcPr>
            <w:tcW w:w="577" w:type="pct"/>
            <w:shd w:val="clear" w:color="auto" w:fill="auto"/>
            <w:noWrap w:val="0"/>
            <w:vAlign w:val="center"/>
          </w:tcPr>
          <w:p w14:paraId="5871BC7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21"/>
                <w:szCs w:val="21"/>
                <w:lang w:val="en-US" w:eastAsia="en-US" w:bidi="ar-SA"/>
              </w:rPr>
            </w:pPr>
            <w:r>
              <w:rPr>
                <w:rFonts w:hint="eastAsia" w:cs="Times New Roman"/>
                <w:b w:val="0"/>
                <w:bCs w:val="0"/>
                <w:i w:val="0"/>
                <w:iCs w:val="0"/>
                <w:color w:val="000000"/>
                <w:kern w:val="0"/>
                <w:sz w:val="21"/>
                <w:szCs w:val="21"/>
                <w:u w:val="none"/>
                <w:lang w:val="en-US" w:eastAsia="zh-CN" w:bidi="ar"/>
              </w:rPr>
              <w:t>0</w:t>
            </w:r>
          </w:p>
        </w:tc>
        <w:tc>
          <w:tcPr>
            <w:tcW w:w="522" w:type="pct"/>
            <w:noWrap w:val="0"/>
            <w:vAlign w:val="center"/>
          </w:tcPr>
          <w:p w14:paraId="50DBF135">
            <w:pPr>
              <w:pStyle w:val="39"/>
              <w:spacing w:beforeLines="0" w:afterLines="0" w:line="240" w:lineRule="auto"/>
              <w:ind w:left="0" w:leftChars="0" w:right="0" w:rightChars="0" w:firstLine="0" w:firstLineChars="0"/>
              <w:jc w:val="center"/>
              <w:rPr>
                <w:rFonts w:hint="eastAsia" w:ascii="Times New Roman" w:eastAsia="宋体"/>
                <w:snapToGrid w:val="0"/>
                <w:color w:val="auto"/>
                <w:kern w:val="21"/>
                <w:sz w:val="21"/>
                <w:szCs w:val="21"/>
                <w:lang w:eastAsia="zh-CN"/>
              </w:rPr>
            </w:pPr>
            <w:r>
              <w:rPr>
                <w:rFonts w:hint="eastAsia"/>
                <w:color w:val="auto"/>
                <w:sz w:val="21"/>
                <w:szCs w:val="21"/>
                <w:lang w:val="en-US" w:eastAsia="zh-CN"/>
              </w:rPr>
              <w:t>/</w:t>
            </w:r>
          </w:p>
        </w:tc>
        <w:tc>
          <w:tcPr>
            <w:tcW w:w="649" w:type="pct"/>
            <w:shd w:val="clear" w:color="auto" w:fill="auto"/>
            <w:noWrap w:val="0"/>
            <w:vAlign w:val="center"/>
          </w:tcPr>
          <w:p w14:paraId="7C740EF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21"/>
                <w:szCs w:val="21"/>
                <w:lang w:val="en-US" w:eastAsia="zh-CN" w:bidi="ar-SA"/>
              </w:rPr>
            </w:pPr>
            <w:r>
              <w:rPr>
                <w:rFonts w:hint="eastAsia" w:cs="Times New Roman"/>
                <w:b w:val="0"/>
                <w:bCs w:val="0"/>
                <w:i w:val="0"/>
                <w:iCs w:val="0"/>
                <w:color w:val="000000"/>
                <w:kern w:val="0"/>
                <w:sz w:val="21"/>
                <w:szCs w:val="21"/>
                <w:u w:val="none"/>
                <w:lang w:val="en-US" w:eastAsia="zh-CN" w:bidi="ar"/>
              </w:rPr>
              <w:t>0</w:t>
            </w:r>
          </w:p>
        </w:tc>
        <w:tc>
          <w:tcPr>
            <w:tcW w:w="564" w:type="pct"/>
            <w:shd w:val="clear" w:color="auto" w:fill="auto"/>
            <w:noWrap w:val="0"/>
            <w:vAlign w:val="center"/>
          </w:tcPr>
          <w:p w14:paraId="51B82CE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21"/>
                <w:szCs w:val="21"/>
                <w:lang w:val="en-US" w:eastAsia="en-US" w:bidi="ar-SA"/>
              </w:rPr>
            </w:pPr>
            <w:r>
              <w:rPr>
                <w:rFonts w:hint="eastAsia" w:cs="Times New Roman"/>
                <w:b w:val="0"/>
                <w:bCs w:val="0"/>
                <w:i w:val="0"/>
                <w:iCs w:val="0"/>
                <w:color w:val="000000"/>
                <w:kern w:val="0"/>
                <w:sz w:val="21"/>
                <w:szCs w:val="21"/>
                <w:u w:val="none"/>
                <w:lang w:val="en-US" w:eastAsia="zh-CN" w:bidi="ar"/>
              </w:rPr>
              <w:t>0</w:t>
            </w:r>
          </w:p>
        </w:tc>
      </w:tr>
      <w:tr w14:paraId="5D6929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475" w:type="pct"/>
            <w:vMerge w:val="continue"/>
            <w:noWrap w:val="0"/>
            <w:vAlign w:val="center"/>
          </w:tcPr>
          <w:p w14:paraId="07FB4191">
            <w:pPr>
              <w:pStyle w:val="39"/>
              <w:spacing w:beforeLines="0" w:afterLines="0" w:line="240" w:lineRule="auto"/>
              <w:rPr>
                <w:rFonts w:hint="eastAsia" w:cs="宋体"/>
                <w:snapToGrid w:val="0"/>
                <w:color w:val="auto"/>
                <w:kern w:val="21"/>
                <w:sz w:val="21"/>
                <w:szCs w:val="21"/>
              </w:rPr>
            </w:pPr>
          </w:p>
        </w:tc>
        <w:tc>
          <w:tcPr>
            <w:tcW w:w="607" w:type="pct"/>
            <w:noWrap w:val="0"/>
            <w:vAlign w:val="center"/>
          </w:tcPr>
          <w:p w14:paraId="55DE98CE">
            <w:pPr>
              <w:widowControl/>
              <w:ind w:left="0" w:leftChars="0" w:right="0" w:rightChars="0" w:firstLine="0" w:firstLineChars="0"/>
              <w:jc w:val="center"/>
              <w:textAlignment w:val="center"/>
              <w:rPr>
                <w:snapToGrid w:val="0"/>
                <w:color w:val="auto"/>
                <w:kern w:val="21"/>
                <w:sz w:val="21"/>
                <w:szCs w:val="21"/>
              </w:rPr>
            </w:pPr>
            <w:r>
              <w:rPr>
                <w:snapToGrid w:val="0"/>
                <w:color w:val="auto"/>
                <w:kern w:val="21"/>
                <w:sz w:val="21"/>
                <w:szCs w:val="21"/>
              </w:rPr>
              <w:t>氨氮</w:t>
            </w:r>
          </w:p>
        </w:tc>
        <w:tc>
          <w:tcPr>
            <w:tcW w:w="613" w:type="pct"/>
            <w:noWrap w:val="0"/>
            <w:vAlign w:val="center"/>
          </w:tcPr>
          <w:p w14:paraId="30D7E48B">
            <w:pPr>
              <w:pStyle w:val="39"/>
              <w:spacing w:beforeLines="0" w:afterLines="0" w:line="240" w:lineRule="auto"/>
              <w:ind w:left="0" w:leftChars="0" w:right="0" w:rightChars="0" w:firstLine="0" w:firstLineChars="0"/>
              <w:jc w:val="center"/>
              <w:rPr>
                <w:rFonts w:ascii="Times New Roman"/>
                <w:snapToGrid w:val="0"/>
                <w:color w:val="auto"/>
                <w:kern w:val="21"/>
                <w:sz w:val="21"/>
                <w:szCs w:val="21"/>
              </w:rPr>
            </w:pPr>
            <w:r>
              <w:rPr>
                <w:rFonts w:hint="eastAsia" w:ascii="Times New Roman"/>
                <w:color w:val="auto"/>
                <w:sz w:val="21"/>
                <w:szCs w:val="21"/>
              </w:rPr>
              <w:t>/</w:t>
            </w:r>
          </w:p>
        </w:tc>
        <w:tc>
          <w:tcPr>
            <w:tcW w:w="385" w:type="pct"/>
            <w:noWrap w:val="0"/>
            <w:vAlign w:val="center"/>
          </w:tcPr>
          <w:p w14:paraId="5B9181D0">
            <w:pPr>
              <w:pStyle w:val="39"/>
              <w:spacing w:beforeLines="0" w:afterLines="0" w:line="240" w:lineRule="auto"/>
              <w:ind w:left="0" w:leftChars="0" w:right="0" w:rightChars="0" w:firstLine="0" w:firstLineChars="0"/>
              <w:jc w:val="center"/>
              <w:rPr>
                <w:rFonts w:ascii="Times New Roman"/>
                <w:snapToGrid w:val="0"/>
                <w:color w:val="auto"/>
                <w:kern w:val="21"/>
                <w:sz w:val="21"/>
                <w:szCs w:val="21"/>
              </w:rPr>
            </w:pPr>
            <w:r>
              <w:rPr>
                <w:rFonts w:hint="eastAsia" w:ascii="Times New Roman"/>
                <w:color w:val="auto"/>
                <w:sz w:val="21"/>
                <w:szCs w:val="21"/>
              </w:rPr>
              <w:t>/</w:t>
            </w:r>
          </w:p>
        </w:tc>
        <w:tc>
          <w:tcPr>
            <w:tcW w:w="602" w:type="pct"/>
            <w:noWrap w:val="0"/>
            <w:vAlign w:val="center"/>
          </w:tcPr>
          <w:p w14:paraId="545D614B">
            <w:pPr>
              <w:pStyle w:val="39"/>
              <w:spacing w:beforeLines="0" w:afterLines="0" w:line="240" w:lineRule="auto"/>
              <w:ind w:left="0" w:leftChars="0" w:right="0" w:rightChars="0" w:firstLine="0" w:firstLineChars="0"/>
              <w:jc w:val="center"/>
              <w:rPr>
                <w:rFonts w:ascii="Times New Roman"/>
                <w:snapToGrid w:val="0"/>
                <w:color w:val="auto"/>
                <w:kern w:val="21"/>
                <w:sz w:val="21"/>
                <w:szCs w:val="21"/>
              </w:rPr>
            </w:pPr>
            <w:r>
              <w:rPr>
                <w:rFonts w:hint="eastAsia" w:ascii="Times New Roman"/>
                <w:color w:val="auto"/>
                <w:sz w:val="21"/>
                <w:szCs w:val="21"/>
              </w:rPr>
              <w:t>/</w:t>
            </w:r>
          </w:p>
        </w:tc>
        <w:tc>
          <w:tcPr>
            <w:tcW w:w="577" w:type="pct"/>
            <w:noWrap w:val="0"/>
            <w:vAlign w:val="center"/>
          </w:tcPr>
          <w:p w14:paraId="005988B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olor w:val="auto"/>
                <w:sz w:val="21"/>
                <w:szCs w:val="21"/>
                <w:lang w:val="en-US"/>
              </w:rPr>
            </w:pPr>
            <w:r>
              <w:rPr>
                <w:rFonts w:hint="eastAsia" w:cs="Times New Roman"/>
                <w:b w:val="0"/>
                <w:bCs w:val="0"/>
                <w:i w:val="0"/>
                <w:iCs w:val="0"/>
                <w:color w:val="000000"/>
                <w:kern w:val="0"/>
                <w:sz w:val="21"/>
                <w:szCs w:val="21"/>
                <w:u w:val="none"/>
                <w:lang w:val="en-US" w:eastAsia="zh-CN" w:bidi="ar"/>
              </w:rPr>
              <w:t>0</w:t>
            </w:r>
          </w:p>
        </w:tc>
        <w:tc>
          <w:tcPr>
            <w:tcW w:w="522" w:type="pct"/>
            <w:noWrap w:val="0"/>
            <w:vAlign w:val="center"/>
          </w:tcPr>
          <w:p w14:paraId="1FC83CCA">
            <w:pPr>
              <w:pStyle w:val="39"/>
              <w:spacing w:beforeLines="0" w:afterLines="0" w:line="240" w:lineRule="auto"/>
              <w:ind w:left="0" w:leftChars="0" w:right="0" w:rightChars="0" w:firstLine="0" w:firstLineChars="0"/>
              <w:jc w:val="center"/>
              <w:rPr>
                <w:rFonts w:ascii="Times New Roman"/>
                <w:snapToGrid w:val="0"/>
                <w:color w:val="auto"/>
                <w:kern w:val="21"/>
                <w:sz w:val="21"/>
                <w:szCs w:val="21"/>
              </w:rPr>
            </w:pPr>
            <w:r>
              <w:rPr>
                <w:rFonts w:hint="eastAsia" w:ascii="Times New Roman"/>
                <w:color w:val="auto"/>
                <w:sz w:val="21"/>
                <w:szCs w:val="21"/>
              </w:rPr>
              <w:t>/</w:t>
            </w:r>
          </w:p>
        </w:tc>
        <w:tc>
          <w:tcPr>
            <w:tcW w:w="649" w:type="pct"/>
            <w:shd w:val="clear" w:color="auto" w:fill="auto"/>
            <w:noWrap w:val="0"/>
            <w:vAlign w:val="center"/>
          </w:tcPr>
          <w:p w14:paraId="2041F60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21"/>
                <w:szCs w:val="21"/>
                <w:lang w:val="en-US" w:eastAsia="zh-CN" w:bidi="ar-SA"/>
              </w:rPr>
            </w:pPr>
            <w:r>
              <w:rPr>
                <w:rFonts w:hint="eastAsia" w:cs="Times New Roman"/>
                <w:b w:val="0"/>
                <w:bCs w:val="0"/>
                <w:i w:val="0"/>
                <w:iCs w:val="0"/>
                <w:color w:val="000000"/>
                <w:kern w:val="0"/>
                <w:sz w:val="21"/>
                <w:szCs w:val="21"/>
                <w:u w:val="none"/>
                <w:lang w:val="en-US" w:eastAsia="zh-CN" w:bidi="ar"/>
              </w:rPr>
              <w:t>0</w:t>
            </w:r>
          </w:p>
        </w:tc>
        <w:tc>
          <w:tcPr>
            <w:tcW w:w="564" w:type="pct"/>
            <w:shd w:val="clear" w:color="auto" w:fill="auto"/>
            <w:noWrap w:val="0"/>
            <w:vAlign w:val="center"/>
          </w:tcPr>
          <w:p w14:paraId="2DD8A65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21"/>
                <w:szCs w:val="21"/>
                <w:lang w:val="en-US" w:eastAsia="en-US" w:bidi="ar-SA"/>
              </w:rPr>
            </w:pPr>
            <w:r>
              <w:rPr>
                <w:rFonts w:hint="eastAsia" w:cs="Times New Roman"/>
                <w:b w:val="0"/>
                <w:bCs w:val="0"/>
                <w:i w:val="0"/>
                <w:iCs w:val="0"/>
                <w:color w:val="000000"/>
                <w:kern w:val="0"/>
                <w:sz w:val="21"/>
                <w:szCs w:val="21"/>
                <w:u w:val="none"/>
                <w:lang w:val="en-US" w:eastAsia="zh-CN" w:bidi="ar"/>
              </w:rPr>
              <w:t>0</w:t>
            </w:r>
          </w:p>
        </w:tc>
      </w:tr>
      <w:tr w14:paraId="6ADE2A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475" w:type="pct"/>
            <w:vMerge w:val="restart"/>
            <w:noWrap w:val="0"/>
            <w:vAlign w:val="center"/>
          </w:tcPr>
          <w:p w14:paraId="4D64B88B">
            <w:pPr>
              <w:pStyle w:val="39"/>
              <w:keepNext w:val="0"/>
              <w:keepLines w:val="0"/>
              <w:pageBreakBefore w:val="0"/>
              <w:widowControl/>
              <w:kinsoku/>
              <w:wordWrap/>
              <w:overflowPunct/>
              <w:topLinePunct w:val="0"/>
              <w:autoSpaceDE/>
              <w:autoSpaceDN/>
              <w:bidi w:val="0"/>
              <w:adjustRightInd w:val="0"/>
              <w:snapToGrid w:val="0"/>
              <w:spacing w:before="0" w:beforeLines="0" w:beforeAutospacing="0" w:after="0" w:afterLines="0" w:afterAutospacing="0" w:line="240" w:lineRule="auto"/>
              <w:textAlignment w:val="auto"/>
              <w:rPr>
                <w:rFonts w:cs="宋体"/>
                <w:snapToGrid w:val="0"/>
                <w:color w:val="auto"/>
                <w:kern w:val="21"/>
                <w:sz w:val="21"/>
                <w:szCs w:val="21"/>
              </w:rPr>
            </w:pPr>
            <w:r>
              <w:rPr>
                <w:rFonts w:hint="eastAsia" w:cs="宋体"/>
                <w:snapToGrid w:val="0"/>
                <w:color w:val="auto"/>
                <w:kern w:val="21"/>
                <w:sz w:val="21"/>
                <w:szCs w:val="21"/>
              </w:rPr>
              <w:t>一般工业</w:t>
            </w:r>
          </w:p>
          <w:p w14:paraId="1F15C5A7">
            <w:pPr>
              <w:pStyle w:val="39"/>
              <w:keepNext w:val="0"/>
              <w:keepLines w:val="0"/>
              <w:pageBreakBefore w:val="0"/>
              <w:widowControl/>
              <w:kinsoku/>
              <w:wordWrap/>
              <w:overflowPunct/>
              <w:topLinePunct w:val="0"/>
              <w:autoSpaceDE/>
              <w:autoSpaceDN/>
              <w:bidi w:val="0"/>
              <w:adjustRightInd w:val="0"/>
              <w:snapToGrid w:val="0"/>
              <w:spacing w:before="0" w:beforeLines="0" w:beforeAutospacing="0" w:after="0" w:afterLines="0" w:afterAutospacing="0" w:line="240" w:lineRule="auto"/>
              <w:textAlignment w:val="auto"/>
              <w:rPr>
                <w:rFonts w:hint="eastAsia" w:cs="宋体"/>
                <w:snapToGrid w:val="0"/>
                <w:color w:val="auto"/>
                <w:kern w:val="21"/>
                <w:sz w:val="21"/>
                <w:szCs w:val="21"/>
              </w:rPr>
            </w:pPr>
            <w:r>
              <w:rPr>
                <w:rFonts w:hint="eastAsia" w:cs="宋体"/>
                <w:snapToGrid w:val="0"/>
                <w:color w:val="auto"/>
                <w:kern w:val="21"/>
                <w:sz w:val="21"/>
                <w:szCs w:val="21"/>
              </w:rPr>
              <w:t>固体废物</w:t>
            </w:r>
          </w:p>
        </w:tc>
        <w:tc>
          <w:tcPr>
            <w:tcW w:w="607" w:type="pct"/>
            <w:noWrap w:val="0"/>
            <w:vAlign w:val="center"/>
          </w:tcPr>
          <w:p w14:paraId="473C34F2">
            <w:pPr>
              <w:widowControl/>
              <w:spacing w:line="240" w:lineRule="auto"/>
              <w:jc w:val="center"/>
              <w:textAlignment w:val="center"/>
              <w:rPr>
                <w:rFonts w:hint="eastAsia" w:ascii="Times New Roman" w:hAnsi="Times New Roman"/>
                <w:bCs/>
                <w:color w:val="auto"/>
                <w:kern w:val="2"/>
                <w:sz w:val="21"/>
                <w:szCs w:val="21"/>
                <w:lang w:val="en-US" w:eastAsia="zh-CN" w:bidi="ar-SA"/>
              </w:rPr>
            </w:pPr>
            <w:r>
              <w:rPr>
                <w:rFonts w:hint="eastAsia" w:ascii="Times New Roman" w:hAnsi="Times New Roman"/>
                <w:bCs/>
                <w:color w:val="auto"/>
                <w:sz w:val="21"/>
                <w:szCs w:val="21"/>
                <w:lang w:eastAsia="zh-CN"/>
              </w:rPr>
              <w:t>废</w:t>
            </w:r>
            <w:r>
              <w:rPr>
                <w:rFonts w:hint="eastAsia" w:ascii="Times New Roman" w:hAnsi="Times New Roman"/>
                <w:bCs/>
                <w:color w:val="auto"/>
                <w:sz w:val="21"/>
                <w:szCs w:val="21"/>
                <w:lang w:val="en-US" w:eastAsia="zh-CN"/>
              </w:rPr>
              <w:t>包装材料</w:t>
            </w:r>
          </w:p>
        </w:tc>
        <w:tc>
          <w:tcPr>
            <w:tcW w:w="613" w:type="pct"/>
            <w:noWrap w:val="0"/>
            <w:vAlign w:val="center"/>
          </w:tcPr>
          <w:p w14:paraId="6187B1BD">
            <w:pPr>
              <w:keepNext w:val="0"/>
              <w:keepLines w:val="0"/>
              <w:widowControl/>
              <w:suppressLineNumbers w:val="0"/>
              <w:ind w:left="0" w:leftChars="0" w:right="0" w:rightChars="0" w:firstLine="0" w:firstLineChars="0"/>
              <w:jc w:val="center"/>
              <w:textAlignment w:val="bottom"/>
              <w:rPr>
                <w:rFonts w:hint="eastAsia" w:ascii="Times New Roman"/>
                <w:snapToGrid w:val="0"/>
                <w:color w:val="auto"/>
                <w:kern w:val="21"/>
                <w:sz w:val="21"/>
                <w:szCs w:val="21"/>
              </w:rPr>
            </w:pPr>
            <w:r>
              <w:rPr>
                <w:rFonts w:hint="eastAsia" w:ascii="Times New Roman"/>
                <w:snapToGrid w:val="0"/>
                <w:color w:val="auto"/>
                <w:kern w:val="21"/>
                <w:sz w:val="21"/>
                <w:szCs w:val="21"/>
              </w:rPr>
              <w:t>/</w:t>
            </w:r>
          </w:p>
        </w:tc>
        <w:tc>
          <w:tcPr>
            <w:tcW w:w="385" w:type="pct"/>
            <w:noWrap w:val="0"/>
            <w:vAlign w:val="center"/>
          </w:tcPr>
          <w:p w14:paraId="2DDB9102">
            <w:pPr>
              <w:pStyle w:val="39"/>
              <w:spacing w:beforeLines="0" w:afterLines="0" w:line="240" w:lineRule="auto"/>
              <w:ind w:left="0" w:leftChars="0" w:right="0" w:rightChars="0" w:firstLine="0" w:firstLineChars="0"/>
              <w:jc w:val="center"/>
              <w:rPr>
                <w:rFonts w:hint="eastAsia" w:ascii="Times New Roman"/>
                <w:snapToGrid w:val="0"/>
                <w:color w:val="auto"/>
                <w:kern w:val="21"/>
                <w:sz w:val="21"/>
                <w:szCs w:val="21"/>
              </w:rPr>
            </w:pPr>
            <w:r>
              <w:rPr>
                <w:rFonts w:hint="eastAsia" w:ascii="Times New Roman"/>
                <w:snapToGrid w:val="0"/>
                <w:color w:val="auto"/>
                <w:kern w:val="21"/>
                <w:sz w:val="21"/>
                <w:szCs w:val="21"/>
              </w:rPr>
              <w:t>/</w:t>
            </w:r>
          </w:p>
        </w:tc>
        <w:tc>
          <w:tcPr>
            <w:tcW w:w="602" w:type="pct"/>
            <w:noWrap w:val="0"/>
            <w:vAlign w:val="center"/>
          </w:tcPr>
          <w:p w14:paraId="7D74DB4A">
            <w:pPr>
              <w:pStyle w:val="39"/>
              <w:spacing w:beforeLines="0" w:afterLines="0" w:line="240" w:lineRule="auto"/>
              <w:ind w:left="0" w:leftChars="0" w:right="0" w:rightChars="0" w:firstLine="0" w:firstLineChars="0"/>
              <w:jc w:val="center"/>
              <w:rPr>
                <w:rFonts w:hint="eastAsia" w:ascii="Times New Roman"/>
                <w:snapToGrid w:val="0"/>
                <w:color w:val="auto"/>
                <w:kern w:val="21"/>
                <w:sz w:val="21"/>
                <w:szCs w:val="21"/>
              </w:rPr>
            </w:pPr>
            <w:r>
              <w:rPr>
                <w:rFonts w:hint="eastAsia" w:ascii="Times New Roman"/>
                <w:snapToGrid w:val="0"/>
                <w:color w:val="auto"/>
                <w:kern w:val="21"/>
                <w:sz w:val="21"/>
                <w:szCs w:val="21"/>
              </w:rPr>
              <w:t>/</w:t>
            </w:r>
          </w:p>
        </w:tc>
        <w:tc>
          <w:tcPr>
            <w:tcW w:w="577" w:type="pct"/>
            <w:noWrap w:val="0"/>
            <w:vAlign w:val="center"/>
          </w:tcPr>
          <w:p w14:paraId="063ADD0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12.04</w:t>
            </w:r>
          </w:p>
        </w:tc>
        <w:tc>
          <w:tcPr>
            <w:tcW w:w="522" w:type="pct"/>
            <w:noWrap w:val="0"/>
            <w:vAlign w:val="center"/>
          </w:tcPr>
          <w:p w14:paraId="53B2C3F9">
            <w:pPr>
              <w:pStyle w:val="39"/>
              <w:spacing w:beforeLines="0" w:afterLines="0" w:line="240" w:lineRule="auto"/>
              <w:ind w:left="0" w:leftChars="0" w:right="0" w:rightChars="0" w:firstLine="0" w:firstLineChars="0"/>
              <w:jc w:val="center"/>
              <w:rPr>
                <w:rFonts w:ascii="Times New Roman"/>
                <w:color w:val="auto"/>
                <w:sz w:val="21"/>
                <w:szCs w:val="21"/>
              </w:rPr>
            </w:pPr>
            <w:r>
              <w:rPr>
                <w:rFonts w:hint="eastAsia" w:ascii="Times New Roman"/>
                <w:snapToGrid w:val="0"/>
                <w:color w:val="auto"/>
                <w:kern w:val="21"/>
                <w:sz w:val="21"/>
                <w:szCs w:val="21"/>
              </w:rPr>
              <w:t>/</w:t>
            </w:r>
          </w:p>
        </w:tc>
        <w:tc>
          <w:tcPr>
            <w:tcW w:w="649" w:type="pct"/>
            <w:noWrap w:val="0"/>
            <w:vAlign w:val="center"/>
          </w:tcPr>
          <w:p w14:paraId="6CFB13A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12.04</w:t>
            </w:r>
          </w:p>
        </w:tc>
        <w:tc>
          <w:tcPr>
            <w:tcW w:w="564" w:type="pct"/>
            <w:noWrap w:val="0"/>
            <w:vAlign w:val="center"/>
          </w:tcPr>
          <w:p w14:paraId="2B4CAE6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olor w:val="auto"/>
                <w:sz w:val="21"/>
                <w:szCs w:val="21"/>
                <w:lang w:val="en-US" w:eastAsia="zh-CN"/>
              </w:rPr>
              <w:t>+</w:t>
            </w:r>
            <w:r>
              <w:rPr>
                <w:rFonts w:hint="eastAsia"/>
                <w:color w:val="auto"/>
                <w:sz w:val="21"/>
                <w:szCs w:val="21"/>
                <w:lang w:val="en-US" w:eastAsia="zh-CN"/>
              </w:rPr>
              <w:t>12.04</w:t>
            </w:r>
          </w:p>
        </w:tc>
      </w:tr>
      <w:tr w14:paraId="5B1585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475" w:type="pct"/>
            <w:vMerge w:val="continue"/>
            <w:noWrap w:val="0"/>
            <w:vAlign w:val="center"/>
          </w:tcPr>
          <w:p w14:paraId="1ABF03AE">
            <w:pPr>
              <w:keepNext w:val="0"/>
              <w:keepLines w:val="0"/>
              <w:widowControl/>
              <w:suppressLineNumbers w:val="0"/>
              <w:jc w:val="center"/>
              <w:textAlignment w:val="center"/>
            </w:pPr>
          </w:p>
        </w:tc>
        <w:tc>
          <w:tcPr>
            <w:tcW w:w="607" w:type="pct"/>
            <w:noWrap w:val="0"/>
            <w:vAlign w:val="center"/>
          </w:tcPr>
          <w:p w14:paraId="0907BA05">
            <w:pPr>
              <w:keepNext w:val="0"/>
              <w:keepLines w:val="0"/>
              <w:widowControl/>
              <w:suppressLineNumbers w:val="0"/>
              <w:jc w:val="center"/>
              <w:textAlignment w:val="center"/>
              <w:rPr>
                <w:rFonts w:hint="default" w:ascii="Times New Roman" w:hAnsi="Times New Roman"/>
                <w:bCs/>
                <w:color w:val="auto"/>
                <w:sz w:val="21"/>
                <w:szCs w:val="21"/>
                <w:lang w:val="en-US" w:eastAsia="zh-CN"/>
              </w:rPr>
            </w:pPr>
            <w:r>
              <w:rPr>
                <w:rFonts w:hint="eastAsia"/>
                <w:bCs/>
                <w:color w:val="auto"/>
                <w:sz w:val="21"/>
                <w:szCs w:val="21"/>
                <w:lang w:val="en-US" w:eastAsia="zh-CN"/>
              </w:rPr>
              <w:t>收集的粉尘</w:t>
            </w:r>
          </w:p>
        </w:tc>
        <w:tc>
          <w:tcPr>
            <w:tcW w:w="613" w:type="pct"/>
            <w:shd w:val="clear" w:color="auto" w:fill="auto"/>
            <w:noWrap w:val="0"/>
            <w:vAlign w:val="center"/>
          </w:tcPr>
          <w:p w14:paraId="2814FE35">
            <w:pPr>
              <w:keepNext w:val="0"/>
              <w:keepLines w:val="0"/>
              <w:widowControl/>
              <w:suppressLineNumbers w:val="0"/>
              <w:ind w:left="0" w:leftChars="0" w:right="0" w:rightChars="0" w:firstLine="0" w:firstLineChars="0"/>
              <w:jc w:val="center"/>
              <w:textAlignment w:val="bottom"/>
              <w:rPr>
                <w:rFonts w:hint="eastAsia" w:ascii="Times New Roman" w:hAnsi="Times New Roman" w:eastAsia="宋体" w:cs="Times New Roman"/>
                <w:snapToGrid w:val="0"/>
                <w:color w:val="auto"/>
                <w:kern w:val="21"/>
                <w:sz w:val="21"/>
                <w:szCs w:val="21"/>
                <w:lang w:val="en-US" w:eastAsia="zh-CN" w:bidi="ar-SA"/>
              </w:rPr>
            </w:pPr>
            <w:r>
              <w:rPr>
                <w:rFonts w:hint="eastAsia" w:ascii="Times New Roman"/>
                <w:snapToGrid w:val="0"/>
                <w:color w:val="auto"/>
                <w:kern w:val="21"/>
                <w:sz w:val="21"/>
                <w:szCs w:val="21"/>
              </w:rPr>
              <w:t>/</w:t>
            </w:r>
          </w:p>
        </w:tc>
        <w:tc>
          <w:tcPr>
            <w:tcW w:w="385" w:type="pct"/>
            <w:shd w:val="clear" w:color="auto" w:fill="auto"/>
            <w:noWrap w:val="0"/>
            <w:vAlign w:val="center"/>
          </w:tcPr>
          <w:p w14:paraId="553BD7B0">
            <w:pPr>
              <w:pStyle w:val="39"/>
              <w:spacing w:beforeLines="0" w:afterLines="0" w:line="240" w:lineRule="auto"/>
              <w:ind w:left="0" w:leftChars="0" w:right="0" w:rightChars="0" w:firstLine="0" w:firstLineChars="0"/>
              <w:jc w:val="center"/>
              <w:rPr>
                <w:rFonts w:hint="eastAsia" w:ascii="Times New Roman" w:hAnsi="Times New Roman" w:eastAsia="宋体" w:cs="Times New Roman"/>
                <w:snapToGrid w:val="0"/>
                <w:color w:val="auto"/>
                <w:kern w:val="21"/>
                <w:sz w:val="21"/>
                <w:szCs w:val="21"/>
                <w:lang w:val="en-US" w:eastAsia="zh-CN" w:bidi="ar-SA"/>
              </w:rPr>
            </w:pPr>
            <w:r>
              <w:rPr>
                <w:rFonts w:hint="eastAsia" w:ascii="Times New Roman"/>
                <w:snapToGrid w:val="0"/>
                <w:color w:val="auto"/>
                <w:kern w:val="21"/>
                <w:sz w:val="21"/>
                <w:szCs w:val="21"/>
              </w:rPr>
              <w:t>/</w:t>
            </w:r>
          </w:p>
        </w:tc>
        <w:tc>
          <w:tcPr>
            <w:tcW w:w="602" w:type="pct"/>
            <w:shd w:val="clear" w:color="auto" w:fill="auto"/>
            <w:noWrap w:val="0"/>
            <w:vAlign w:val="center"/>
          </w:tcPr>
          <w:p w14:paraId="70816AE0">
            <w:pPr>
              <w:pStyle w:val="39"/>
              <w:spacing w:beforeLines="0" w:afterLines="0" w:line="240" w:lineRule="auto"/>
              <w:ind w:left="0" w:leftChars="0" w:right="0" w:rightChars="0" w:firstLine="0" w:firstLineChars="0"/>
              <w:jc w:val="center"/>
              <w:rPr>
                <w:rFonts w:hint="eastAsia" w:ascii="Times New Roman" w:hAnsi="Times New Roman" w:eastAsia="宋体" w:cs="Times New Roman"/>
                <w:snapToGrid w:val="0"/>
                <w:color w:val="auto"/>
                <w:kern w:val="21"/>
                <w:sz w:val="21"/>
                <w:szCs w:val="21"/>
                <w:lang w:val="en-US" w:eastAsia="zh-CN" w:bidi="ar-SA"/>
              </w:rPr>
            </w:pPr>
            <w:r>
              <w:rPr>
                <w:rFonts w:hint="eastAsia" w:ascii="Times New Roman"/>
                <w:snapToGrid w:val="0"/>
                <w:color w:val="auto"/>
                <w:kern w:val="21"/>
                <w:sz w:val="21"/>
                <w:szCs w:val="21"/>
              </w:rPr>
              <w:t>/</w:t>
            </w:r>
          </w:p>
        </w:tc>
        <w:tc>
          <w:tcPr>
            <w:tcW w:w="577" w:type="pct"/>
            <w:noWrap w:val="0"/>
            <w:vAlign w:val="center"/>
          </w:tcPr>
          <w:p w14:paraId="615E6460">
            <w:pPr>
              <w:keepNext w:val="0"/>
              <w:keepLines w:val="0"/>
              <w:widowControl/>
              <w:suppressLineNumbers w:val="0"/>
              <w:jc w:val="center"/>
              <w:textAlignment w:val="center"/>
              <w:rPr>
                <w:rFonts w:hint="default" w:ascii="Times New Roman" w:hAnsi="Times New Roman"/>
                <w:bCs/>
                <w:color w:val="auto"/>
                <w:sz w:val="21"/>
                <w:szCs w:val="21"/>
                <w:lang w:val="en-US" w:eastAsia="zh-CN"/>
              </w:rPr>
            </w:pPr>
            <w:r>
              <w:rPr>
                <w:rFonts w:hint="eastAsia"/>
                <w:bCs/>
                <w:color w:val="auto"/>
                <w:sz w:val="21"/>
                <w:szCs w:val="21"/>
                <w:lang w:val="en-US" w:eastAsia="zh-CN"/>
              </w:rPr>
              <w:t>1.07</w:t>
            </w:r>
          </w:p>
        </w:tc>
        <w:tc>
          <w:tcPr>
            <w:tcW w:w="522" w:type="pct"/>
            <w:noWrap w:val="0"/>
            <w:vAlign w:val="center"/>
          </w:tcPr>
          <w:p w14:paraId="1083DC3C">
            <w:pPr>
              <w:keepNext w:val="0"/>
              <w:keepLines w:val="0"/>
              <w:widowControl/>
              <w:suppressLineNumbers w:val="0"/>
              <w:jc w:val="center"/>
              <w:textAlignment w:val="center"/>
              <w:rPr>
                <w:rFonts w:hint="default" w:ascii="Times New Roman" w:hAnsi="Times New Roman"/>
                <w:bCs/>
                <w:color w:val="auto"/>
                <w:sz w:val="21"/>
                <w:szCs w:val="21"/>
                <w:lang w:val="en-US" w:eastAsia="zh-CN"/>
              </w:rPr>
            </w:pPr>
            <w:r>
              <w:rPr>
                <w:rFonts w:hint="eastAsia"/>
                <w:bCs/>
                <w:color w:val="auto"/>
                <w:sz w:val="21"/>
                <w:szCs w:val="21"/>
                <w:lang w:val="en-US" w:eastAsia="zh-CN"/>
              </w:rPr>
              <w:t>/</w:t>
            </w:r>
          </w:p>
        </w:tc>
        <w:tc>
          <w:tcPr>
            <w:tcW w:w="649" w:type="pct"/>
            <w:noWrap w:val="0"/>
            <w:vAlign w:val="center"/>
          </w:tcPr>
          <w:p w14:paraId="174B20ED">
            <w:pPr>
              <w:keepNext w:val="0"/>
              <w:keepLines w:val="0"/>
              <w:widowControl/>
              <w:suppressLineNumbers w:val="0"/>
              <w:jc w:val="center"/>
              <w:textAlignment w:val="center"/>
              <w:rPr>
                <w:rFonts w:hint="default" w:ascii="Times New Roman" w:hAnsi="Times New Roman"/>
                <w:bCs/>
                <w:color w:val="auto"/>
                <w:sz w:val="21"/>
                <w:szCs w:val="21"/>
                <w:lang w:val="en-US" w:eastAsia="zh-CN"/>
              </w:rPr>
            </w:pPr>
            <w:r>
              <w:rPr>
                <w:rFonts w:hint="eastAsia"/>
                <w:bCs/>
                <w:color w:val="auto"/>
                <w:sz w:val="21"/>
                <w:szCs w:val="21"/>
                <w:lang w:val="en-US" w:eastAsia="zh-CN"/>
              </w:rPr>
              <w:t>1.07</w:t>
            </w:r>
          </w:p>
        </w:tc>
        <w:tc>
          <w:tcPr>
            <w:tcW w:w="564" w:type="pct"/>
            <w:noWrap w:val="0"/>
            <w:vAlign w:val="center"/>
          </w:tcPr>
          <w:p w14:paraId="18F69142">
            <w:pPr>
              <w:keepNext w:val="0"/>
              <w:keepLines w:val="0"/>
              <w:widowControl/>
              <w:suppressLineNumbers w:val="0"/>
              <w:jc w:val="center"/>
              <w:textAlignment w:val="center"/>
              <w:rPr>
                <w:rFonts w:hint="default" w:ascii="Times New Roman" w:hAnsi="Times New Roman"/>
                <w:bCs/>
                <w:color w:val="auto"/>
                <w:sz w:val="21"/>
                <w:szCs w:val="21"/>
                <w:lang w:val="en-US" w:eastAsia="zh-CN"/>
              </w:rPr>
            </w:pPr>
            <w:r>
              <w:rPr>
                <w:rFonts w:hint="eastAsia"/>
                <w:bCs/>
                <w:color w:val="auto"/>
                <w:sz w:val="21"/>
                <w:szCs w:val="21"/>
                <w:lang w:val="en-US" w:eastAsia="zh-CN"/>
              </w:rPr>
              <w:t>1.07</w:t>
            </w:r>
          </w:p>
        </w:tc>
      </w:tr>
      <w:tr w14:paraId="2E4DC7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475" w:type="pct"/>
            <w:vMerge w:val="restart"/>
            <w:noWrap w:val="0"/>
            <w:vAlign w:val="center"/>
          </w:tcPr>
          <w:p w14:paraId="6959EBD5">
            <w:pPr>
              <w:pStyle w:val="39"/>
              <w:spacing w:beforeLines="0" w:afterLines="0" w:line="240" w:lineRule="auto"/>
              <w:rPr>
                <w:rFonts w:hint="eastAsia" w:cs="宋体"/>
                <w:snapToGrid w:val="0"/>
                <w:color w:val="auto"/>
                <w:kern w:val="21"/>
                <w:sz w:val="21"/>
                <w:szCs w:val="21"/>
              </w:rPr>
            </w:pPr>
            <w:r>
              <w:rPr>
                <w:rFonts w:hint="eastAsia" w:cs="宋体"/>
                <w:snapToGrid w:val="0"/>
                <w:color w:val="auto"/>
                <w:kern w:val="21"/>
                <w:sz w:val="21"/>
                <w:szCs w:val="21"/>
              </w:rPr>
              <w:t>危险废物</w:t>
            </w:r>
          </w:p>
        </w:tc>
        <w:tc>
          <w:tcPr>
            <w:tcW w:w="607" w:type="pct"/>
            <w:shd w:val="clear" w:color="auto" w:fill="auto"/>
            <w:noWrap w:val="0"/>
            <w:vAlign w:val="center"/>
          </w:tcPr>
          <w:p w14:paraId="2BE4C15B">
            <w:pPr>
              <w:adjustRightInd w:val="0"/>
              <w:spacing w:line="240" w:lineRule="auto"/>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bCs/>
                <w:color w:val="auto"/>
                <w:sz w:val="21"/>
                <w:szCs w:val="21"/>
                <w:lang w:val="en-US" w:eastAsia="zh-CN"/>
              </w:rPr>
              <w:t>废活性炭</w:t>
            </w:r>
          </w:p>
        </w:tc>
        <w:tc>
          <w:tcPr>
            <w:tcW w:w="613" w:type="pct"/>
            <w:shd w:val="clear" w:color="auto" w:fill="auto"/>
            <w:noWrap w:val="0"/>
            <w:vAlign w:val="center"/>
          </w:tcPr>
          <w:p w14:paraId="46A5F412">
            <w:pPr>
              <w:keepNext w:val="0"/>
              <w:keepLines w:val="0"/>
              <w:widowControl/>
              <w:suppressLineNumbers w:val="0"/>
              <w:ind w:left="0" w:leftChars="0" w:right="0" w:rightChars="0" w:firstLine="0" w:firstLineChars="0"/>
              <w:jc w:val="center"/>
              <w:textAlignment w:val="bottom"/>
              <w:rPr>
                <w:rFonts w:hint="eastAsia" w:ascii="Times New Roman" w:hAnsi="Times New Roman" w:eastAsia="宋体" w:cs="Times New Roman"/>
                <w:snapToGrid w:val="0"/>
                <w:color w:val="auto"/>
                <w:kern w:val="21"/>
                <w:sz w:val="21"/>
                <w:szCs w:val="21"/>
                <w:lang w:val="en-US" w:eastAsia="en-US" w:bidi="ar-SA"/>
              </w:rPr>
            </w:pPr>
            <w:r>
              <w:rPr>
                <w:rFonts w:hint="eastAsia" w:ascii="Times New Roman"/>
                <w:snapToGrid w:val="0"/>
                <w:color w:val="auto"/>
                <w:kern w:val="21"/>
                <w:sz w:val="21"/>
                <w:szCs w:val="21"/>
              </w:rPr>
              <w:t>/</w:t>
            </w:r>
          </w:p>
        </w:tc>
        <w:tc>
          <w:tcPr>
            <w:tcW w:w="385" w:type="pct"/>
            <w:shd w:val="clear" w:color="auto" w:fill="auto"/>
            <w:noWrap w:val="0"/>
            <w:vAlign w:val="center"/>
          </w:tcPr>
          <w:p w14:paraId="0E87E34B">
            <w:pPr>
              <w:pStyle w:val="39"/>
              <w:spacing w:beforeLines="0" w:afterLines="0" w:line="240" w:lineRule="auto"/>
              <w:ind w:left="0" w:leftChars="0" w:right="0" w:rightChars="0" w:firstLine="0" w:firstLineChars="0"/>
              <w:jc w:val="center"/>
              <w:rPr>
                <w:rFonts w:hint="eastAsia" w:ascii="Times New Roman" w:hAnsi="Times New Roman" w:eastAsia="宋体" w:cs="Times New Roman"/>
                <w:snapToGrid w:val="0"/>
                <w:color w:val="auto"/>
                <w:kern w:val="21"/>
                <w:sz w:val="21"/>
                <w:szCs w:val="21"/>
                <w:lang w:val="en-US" w:eastAsia="en-US" w:bidi="ar-SA"/>
              </w:rPr>
            </w:pPr>
            <w:r>
              <w:rPr>
                <w:rFonts w:hint="eastAsia" w:ascii="Times New Roman"/>
                <w:snapToGrid w:val="0"/>
                <w:color w:val="auto"/>
                <w:kern w:val="21"/>
                <w:sz w:val="21"/>
                <w:szCs w:val="21"/>
              </w:rPr>
              <w:t>/</w:t>
            </w:r>
          </w:p>
        </w:tc>
        <w:tc>
          <w:tcPr>
            <w:tcW w:w="602" w:type="pct"/>
            <w:shd w:val="clear" w:color="auto" w:fill="auto"/>
            <w:noWrap w:val="0"/>
            <w:vAlign w:val="center"/>
          </w:tcPr>
          <w:p w14:paraId="692D0FBA">
            <w:pPr>
              <w:pStyle w:val="39"/>
              <w:spacing w:beforeLines="0" w:afterLines="0" w:line="240" w:lineRule="auto"/>
              <w:ind w:left="0" w:leftChars="0" w:right="0" w:rightChars="0" w:firstLine="0" w:firstLineChars="0"/>
              <w:jc w:val="center"/>
              <w:rPr>
                <w:rFonts w:hint="eastAsia" w:ascii="Times New Roman" w:hAnsi="Times New Roman" w:eastAsia="宋体" w:cs="Times New Roman"/>
                <w:snapToGrid w:val="0"/>
                <w:color w:val="auto"/>
                <w:kern w:val="21"/>
                <w:sz w:val="21"/>
                <w:szCs w:val="21"/>
                <w:lang w:val="en-US" w:eastAsia="en-US" w:bidi="ar-SA"/>
              </w:rPr>
            </w:pPr>
            <w:r>
              <w:rPr>
                <w:rFonts w:hint="eastAsia" w:ascii="Times New Roman"/>
                <w:snapToGrid w:val="0"/>
                <w:color w:val="auto"/>
                <w:kern w:val="21"/>
                <w:sz w:val="21"/>
                <w:szCs w:val="21"/>
              </w:rPr>
              <w:t>/</w:t>
            </w:r>
          </w:p>
        </w:tc>
        <w:tc>
          <w:tcPr>
            <w:tcW w:w="577" w:type="pct"/>
            <w:shd w:val="clear" w:color="auto" w:fill="auto"/>
            <w:noWrap w:val="0"/>
            <w:vAlign w:val="center"/>
          </w:tcPr>
          <w:p w14:paraId="71FCC7D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33.305</w:t>
            </w:r>
          </w:p>
        </w:tc>
        <w:tc>
          <w:tcPr>
            <w:tcW w:w="522" w:type="pct"/>
            <w:shd w:val="clear" w:color="auto" w:fill="auto"/>
            <w:noWrap w:val="0"/>
            <w:vAlign w:val="center"/>
          </w:tcPr>
          <w:p w14:paraId="3EE7997D">
            <w:pPr>
              <w:pStyle w:val="39"/>
              <w:spacing w:beforeLines="0" w:afterLines="0" w:line="240" w:lineRule="auto"/>
              <w:ind w:left="0" w:leftChars="0" w:right="0" w:rightChars="0" w:firstLine="0" w:firstLineChars="0"/>
              <w:jc w:val="center"/>
              <w:rPr>
                <w:rFonts w:hint="default" w:ascii="Times New Roman" w:hAnsi="华文中宋" w:eastAsia="宋体" w:cs="Times New Roman"/>
                <w:color w:val="auto"/>
                <w:kern w:val="0"/>
                <w:sz w:val="21"/>
                <w:szCs w:val="21"/>
                <w:lang w:val="en-US" w:eastAsia="zh-CN" w:bidi="ar-SA"/>
              </w:rPr>
            </w:pPr>
            <w:r>
              <w:rPr>
                <w:rFonts w:hint="eastAsia" w:ascii="Times New Roman"/>
                <w:snapToGrid w:val="0"/>
                <w:color w:val="auto"/>
                <w:kern w:val="21"/>
                <w:sz w:val="21"/>
                <w:szCs w:val="21"/>
              </w:rPr>
              <w:t>/</w:t>
            </w:r>
          </w:p>
        </w:tc>
        <w:tc>
          <w:tcPr>
            <w:tcW w:w="649" w:type="pct"/>
            <w:shd w:val="clear" w:color="auto" w:fill="auto"/>
            <w:noWrap w:val="0"/>
            <w:vAlign w:val="center"/>
          </w:tcPr>
          <w:p w14:paraId="2D6D28D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33.305</w:t>
            </w:r>
          </w:p>
        </w:tc>
        <w:tc>
          <w:tcPr>
            <w:tcW w:w="564" w:type="pct"/>
            <w:shd w:val="clear" w:color="auto" w:fill="auto"/>
            <w:noWrap w:val="0"/>
            <w:vAlign w:val="center"/>
          </w:tcPr>
          <w:p w14:paraId="79CBC7B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olor w:val="auto"/>
                <w:sz w:val="21"/>
                <w:szCs w:val="21"/>
                <w:lang w:val="en-US" w:eastAsia="zh-CN"/>
              </w:rPr>
              <w:t>+</w:t>
            </w:r>
            <w:r>
              <w:rPr>
                <w:rFonts w:hint="eastAsia" w:cs="Times New Roman"/>
                <w:i w:val="0"/>
                <w:iCs w:val="0"/>
                <w:color w:val="000000"/>
                <w:kern w:val="0"/>
                <w:sz w:val="21"/>
                <w:szCs w:val="21"/>
                <w:u w:val="none"/>
                <w:lang w:val="en-US" w:eastAsia="zh-CN" w:bidi="ar"/>
              </w:rPr>
              <w:t>33.305</w:t>
            </w:r>
          </w:p>
        </w:tc>
      </w:tr>
      <w:tr w14:paraId="514D71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475" w:type="pct"/>
            <w:vMerge w:val="continue"/>
            <w:noWrap w:val="0"/>
            <w:vAlign w:val="center"/>
          </w:tcPr>
          <w:p w14:paraId="6002277D">
            <w:pPr>
              <w:pStyle w:val="39"/>
              <w:spacing w:beforeLines="0" w:afterLines="0" w:line="240" w:lineRule="auto"/>
              <w:rPr>
                <w:rFonts w:hint="eastAsia" w:cs="宋体"/>
                <w:snapToGrid w:val="0"/>
                <w:color w:val="auto"/>
                <w:kern w:val="21"/>
                <w:sz w:val="21"/>
                <w:szCs w:val="21"/>
              </w:rPr>
            </w:pPr>
          </w:p>
        </w:tc>
        <w:tc>
          <w:tcPr>
            <w:tcW w:w="607" w:type="pct"/>
            <w:noWrap w:val="0"/>
            <w:vAlign w:val="center"/>
          </w:tcPr>
          <w:p w14:paraId="59863ADA">
            <w:pPr>
              <w:pStyle w:val="7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val="0"/>
                <w:bCs/>
                <w:color w:val="auto"/>
                <w:kern w:val="0"/>
                <w:sz w:val="21"/>
                <w:szCs w:val="21"/>
                <w:lang w:val="en-US" w:eastAsia="zh-CN" w:bidi="ar-SA"/>
              </w:rPr>
            </w:pPr>
            <w:r>
              <w:rPr>
                <w:rFonts w:hint="eastAsia" w:ascii="Times New Roman" w:hAnsi="Times New Roman" w:cs="Times New Roman"/>
                <w:color w:val="auto"/>
                <w:spacing w:val="0"/>
                <w:sz w:val="21"/>
                <w:szCs w:val="21"/>
                <w:lang w:val="en-US" w:eastAsia="zh-CN"/>
              </w:rPr>
              <w:t>废润滑油</w:t>
            </w:r>
          </w:p>
        </w:tc>
        <w:tc>
          <w:tcPr>
            <w:tcW w:w="613" w:type="pct"/>
            <w:noWrap w:val="0"/>
            <w:vAlign w:val="center"/>
          </w:tcPr>
          <w:p w14:paraId="0AB94117">
            <w:pPr>
              <w:keepNext w:val="0"/>
              <w:keepLines w:val="0"/>
              <w:widowControl/>
              <w:suppressLineNumbers w:val="0"/>
              <w:ind w:left="0" w:leftChars="0" w:right="0" w:rightChars="0" w:firstLine="0" w:firstLineChars="0"/>
              <w:jc w:val="center"/>
              <w:textAlignment w:val="bottom"/>
              <w:rPr>
                <w:rFonts w:hint="eastAsia" w:ascii="Times New Roman"/>
                <w:snapToGrid w:val="0"/>
                <w:color w:val="auto"/>
                <w:kern w:val="21"/>
                <w:sz w:val="21"/>
                <w:szCs w:val="21"/>
                <w:lang w:val="en-US" w:eastAsia="zh-CN" w:bidi="ar-SA"/>
              </w:rPr>
            </w:pPr>
            <w:r>
              <w:rPr>
                <w:rFonts w:hint="eastAsia" w:ascii="Times New Roman"/>
                <w:snapToGrid w:val="0"/>
                <w:color w:val="auto"/>
                <w:kern w:val="21"/>
                <w:sz w:val="21"/>
                <w:szCs w:val="21"/>
              </w:rPr>
              <w:t>/</w:t>
            </w:r>
          </w:p>
        </w:tc>
        <w:tc>
          <w:tcPr>
            <w:tcW w:w="385" w:type="pct"/>
            <w:noWrap w:val="0"/>
            <w:vAlign w:val="center"/>
          </w:tcPr>
          <w:p w14:paraId="5789514B">
            <w:pPr>
              <w:pStyle w:val="39"/>
              <w:spacing w:beforeLines="0" w:afterLines="0" w:line="240" w:lineRule="auto"/>
              <w:ind w:left="0" w:leftChars="0" w:right="0" w:rightChars="0" w:firstLine="0" w:firstLineChars="0"/>
              <w:jc w:val="center"/>
              <w:rPr>
                <w:rFonts w:hint="eastAsia" w:ascii="Times New Roman" w:hAnsi="华文中宋"/>
                <w:snapToGrid w:val="0"/>
                <w:color w:val="auto"/>
                <w:kern w:val="21"/>
                <w:sz w:val="21"/>
                <w:szCs w:val="21"/>
                <w:lang w:val="en-US" w:eastAsia="zh-CN" w:bidi="ar-SA"/>
              </w:rPr>
            </w:pPr>
            <w:r>
              <w:rPr>
                <w:rFonts w:hint="eastAsia" w:ascii="Times New Roman"/>
                <w:snapToGrid w:val="0"/>
                <w:color w:val="auto"/>
                <w:kern w:val="21"/>
                <w:sz w:val="21"/>
                <w:szCs w:val="21"/>
              </w:rPr>
              <w:t>/</w:t>
            </w:r>
          </w:p>
        </w:tc>
        <w:tc>
          <w:tcPr>
            <w:tcW w:w="602" w:type="pct"/>
            <w:noWrap w:val="0"/>
            <w:vAlign w:val="center"/>
          </w:tcPr>
          <w:p w14:paraId="4AFF743A">
            <w:pPr>
              <w:pStyle w:val="39"/>
              <w:spacing w:beforeLines="0" w:afterLines="0" w:line="240" w:lineRule="auto"/>
              <w:ind w:left="0" w:leftChars="0" w:right="0" w:rightChars="0" w:firstLine="0" w:firstLineChars="0"/>
              <w:jc w:val="center"/>
              <w:rPr>
                <w:rFonts w:hint="eastAsia" w:ascii="Times New Roman" w:hAnsi="华文中宋"/>
                <w:snapToGrid w:val="0"/>
                <w:color w:val="auto"/>
                <w:kern w:val="21"/>
                <w:sz w:val="21"/>
                <w:szCs w:val="21"/>
                <w:lang w:val="en-US" w:eastAsia="zh-CN" w:bidi="ar-SA"/>
              </w:rPr>
            </w:pPr>
            <w:r>
              <w:rPr>
                <w:rFonts w:hint="eastAsia" w:ascii="Times New Roman"/>
                <w:snapToGrid w:val="0"/>
                <w:color w:val="auto"/>
                <w:kern w:val="21"/>
                <w:sz w:val="21"/>
                <w:szCs w:val="21"/>
              </w:rPr>
              <w:t>/</w:t>
            </w:r>
          </w:p>
        </w:tc>
        <w:tc>
          <w:tcPr>
            <w:tcW w:w="577" w:type="pct"/>
            <w:noWrap w:val="0"/>
            <w:vAlign w:val="center"/>
          </w:tcPr>
          <w:p w14:paraId="2D70ECE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r>
              <w:rPr>
                <w:rFonts w:hint="eastAsia" w:cs="Times New Roman"/>
                <w:i w:val="0"/>
                <w:iCs w:val="0"/>
                <w:color w:val="000000"/>
                <w:kern w:val="0"/>
                <w:sz w:val="21"/>
                <w:szCs w:val="21"/>
                <w:u w:val="none"/>
                <w:lang w:val="en-US" w:eastAsia="zh-CN" w:bidi="ar"/>
              </w:rPr>
              <w:t>03</w:t>
            </w:r>
          </w:p>
        </w:tc>
        <w:tc>
          <w:tcPr>
            <w:tcW w:w="522" w:type="pct"/>
            <w:noWrap w:val="0"/>
            <w:vAlign w:val="center"/>
          </w:tcPr>
          <w:p w14:paraId="62D14E84">
            <w:pPr>
              <w:spacing w:beforeLines="0" w:afterLines="0" w:line="240" w:lineRule="auto"/>
              <w:ind w:left="0" w:leftChars="0" w:right="0" w:rightChars="0" w:firstLine="0" w:firstLineChars="0"/>
              <w:jc w:val="center"/>
              <w:rPr>
                <w:rFonts w:hint="eastAsia" w:ascii="Times New Roman"/>
                <w:snapToGrid w:val="0"/>
                <w:color w:val="auto"/>
                <w:kern w:val="21"/>
                <w:sz w:val="21"/>
                <w:szCs w:val="21"/>
                <w:lang w:val="en-US" w:eastAsia="zh-CN" w:bidi="ar-SA"/>
              </w:rPr>
            </w:pPr>
            <w:r>
              <w:rPr>
                <w:rFonts w:hint="eastAsia" w:ascii="Times New Roman"/>
                <w:snapToGrid w:val="0"/>
                <w:color w:val="auto"/>
                <w:kern w:val="21"/>
                <w:sz w:val="21"/>
                <w:szCs w:val="21"/>
              </w:rPr>
              <w:t>/</w:t>
            </w:r>
          </w:p>
        </w:tc>
        <w:tc>
          <w:tcPr>
            <w:tcW w:w="649" w:type="pct"/>
            <w:noWrap w:val="0"/>
            <w:vAlign w:val="center"/>
          </w:tcPr>
          <w:p w14:paraId="6FF128A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r>
              <w:rPr>
                <w:rFonts w:hint="eastAsia" w:cs="Times New Roman"/>
                <w:i w:val="0"/>
                <w:iCs w:val="0"/>
                <w:color w:val="000000"/>
                <w:kern w:val="0"/>
                <w:sz w:val="21"/>
                <w:szCs w:val="21"/>
                <w:u w:val="none"/>
                <w:lang w:val="en-US" w:eastAsia="zh-CN" w:bidi="ar"/>
              </w:rPr>
              <w:t>03</w:t>
            </w:r>
          </w:p>
        </w:tc>
        <w:tc>
          <w:tcPr>
            <w:tcW w:w="564" w:type="pct"/>
            <w:noWrap w:val="0"/>
            <w:vAlign w:val="center"/>
          </w:tcPr>
          <w:p w14:paraId="4382AAD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olor w:val="auto"/>
                <w:sz w:val="21"/>
                <w:szCs w:val="21"/>
                <w:lang w:val="en-US" w:eastAsia="zh-CN"/>
              </w:rPr>
              <w:t>+</w:t>
            </w:r>
            <w:r>
              <w:rPr>
                <w:rFonts w:hint="default" w:ascii="Times New Roman" w:hAnsi="Times New Roman" w:eastAsia="宋体" w:cs="Times New Roman"/>
                <w:i w:val="0"/>
                <w:iCs w:val="0"/>
                <w:color w:val="000000"/>
                <w:kern w:val="0"/>
                <w:sz w:val="21"/>
                <w:szCs w:val="21"/>
                <w:u w:val="none"/>
                <w:lang w:val="en-US" w:eastAsia="zh-CN" w:bidi="ar"/>
              </w:rPr>
              <w:t>0.</w:t>
            </w:r>
            <w:r>
              <w:rPr>
                <w:rFonts w:hint="eastAsia" w:cs="Times New Roman"/>
                <w:i w:val="0"/>
                <w:iCs w:val="0"/>
                <w:color w:val="000000"/>
                <w:kern w:val="0"/>
                <w:sz w:val="21"/>
                <w:szCs w:val="21"/>
                <w:u w:val="none"/>
                <w:lang w:val="en-US" w:eastAsia="zh-CN" w:bidi="ar"/>
              </w:rPr>
              <w:t>03</w:t>
            </w:r>
          </w:p>
        </w:tc>
      </w:tr>
      <w:tr w14:paraId="3538E2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475" w:type="pct"/>
            <w:vMerge w:val="continue"/>
            <w:noWrap w:val="0"/>
            <w:vAlign w:val="center"/>
          </w:tcPr>
          <w:p w14:paraId="70E8DEB4">
            <w:pPr>
              <w:pStyle w:val="39"/>
              <w:spacing w:beforeLines="0" w:afterLines="0" w:line="240" w:lineRule="auto"/>
              <w:rPr>
                <w:rFonts w:cs="宋体"/>
                <w:snapToGrid w:val="0"/>
                <w:color w:val="auto"/>
                <w:kern w:val="21"/>
                <w:sz w:val="21"/>
                <w:szCs w:val="21"/>
              </w:rPr>
            </w:pPr>
          </w:p>
        </w:tc>
        <w:tc>
          <w:tcPr>
            <w:tcW w:w="607" w:type="pct"/>
            <w:noWrap w:val="0"/>
            <w:vAlign w:val="center"/>
          </w:tcPr>
          <w:p w14:paraId="093530F5">
            <w:pPr>
              <w:pStyle w:val="7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val="0"/>
                <w:bCs/>
                <w:color w:val="auto"/>
                <w:kern w:val="0"/>
                <w:sz w:val="21"/>
                <w:szCs w:val="21"/>
                <w:lang w:val="en-US" w:eastAsia="zh-CN" w:bidi="ar-SA"/>
              </w:rPr>
            </w:pPr>
            <w:r>
              <w:rPr>
                <w:rFonts w:hint="default" w:ascii="Times New Roman" w:hAnsi="Times New Roman" w:cs="Times New Roman"/>
                <w:color w:val="auto"/>
                <w:spacing w:val="0"/>
                <w:sz w:val="21"/>
                <w:szCs w:val="21"/>
              </w:rPr>
              <w:t>废油桶</w:t>
            </w:r>
          </w:p>
        </w:tc>
        <w:tc>
          <w:tcPr>
            <w:tcW w:w="613" w:type="pct"/>
            <w:noWrap w:val="0"/>
            <w:vAlign w:val="center"/>
          </w:tcPr>
          <w:p w14:paraId="60067B10">
            <w:pPr>
              <w:keepNext w:val="0"/>
              <w:keepLines w:val="0"/>
              <w:widowControl/>
              <w:suppressLineNumbers w:val="0"/>
              <w:ind w:left="0" w:leftChars="0" w:right="0" w:rightChars="0" w:firstLine="0" w:firstLineChars="0"/>
              <w:jc w:val="center"/>
              <w:textAlignment w:val="bottom"/>
              <w:rPr>
                <w:rFonts w:hint="eastAsia" w:ascii="Times New Roman"/>
                <w:snapToGrid w:val="0"/>
                <w:color w:val="auto"/>
                <w:kern w:val="21"/>
                <w:sz w:val="21"/>
                <w:szCs w:val="21"/>
              </w:rPr>
            </w:pPr>
            <w:r>
              <w:rPr>
                <w:rFonts w:hint="eastAsia" w:ascii="Times New Roman"/>
                <w:snapToGrid w:val="0"/>
                <w:color w:val="auto"/>
                <w:kern w:val="21"/>
                <w:sz w:val="21"/>
                <w:szCs w:val="21"/>
              </w:rPr>
              <w:t>/</w:t>
            </w:r>
          </w:p>
        </w:tc>
        <w:tc>
          <w:tcPr>
            <w:tcW w:w="385" w:type="pct"/>
            <w:noWrap w:val="0"/>
            <w:vAlign w:val="center"/>
          </w:tcPr>
          <w:p w14:paraId="6941AB8F">
            <w:pPr>
              <w:pStyle w:val="39"/>
              <w:spacing w:beforeLines="0" w:afterLines="0" w:line="240" w:lineRule="auto"/>
              <w:ind w:left="0" w:leftChars="0" w:right="0" w:rightChars="0" w:firstLine="0" w:firstLineChars="0"/>
              <w:jc w:val="center"/>
              <w:rPr>
                <w:rFonts w:hint="eastAsia" w:ascii="Times New Roman"/>
                <w:snapToGrid w:val="0"/>
                <w:color w:val="auto"/>
                <w:kern w:val="21"/>
                <w:sz w:val="21"/>
                <w:szCs w:val="21"/>
              </w:rPr>
            </w:pPr>
            <w:r>
              <w:rPr>
                <w:rFonts w:hint="eastAsia" w:ascii="Times New Roman"/>
                <w:snapToGrid w:val="0"/>
                <w:color w:val="auto"/>
                <w:kern w:val="21"/>
                <w:sz w:val="21"/>
                <w:szCs w:val="21"/>
              </w:rPr>
              <w:t>/</w:t>
            </w:r>
          </w:p>
        </w:tc>
        <w:tc>
          <w:tcPr>
            <w:tcW w:w="602" w:type="pct"/>
            <w:noWrap w:val="0"/>
            <w:vAlign w:val="center"/>
          </w:tcPr>
          <w:p w14:paraId="35C3667F">
            <w:pPr>
              <w:pStyle w:val="39"/>
              <w:spacing w:beforeLines="0" w:afterLines="0" w:line="240" w:lineRule="auto"/>
              <w:ind w:left="0" w:leftChars="0" w:right="0" w:rightChars="0" w:firstLine="0" w:firstLineChars="0"/>
              <w:jc w:val="center"/>
              <w:rPr>
                <w:rFonts w:hint="eastAsia" w:ascii="Times New Roman"/>
                <w:snapToGrid w:val="0"/>
                <w:color w:val="auto"/>
                <w:kern w:val="21"/>
                <w:sz w:val="21"/>
                <w:szCs w:val="21"/>
              </w:rPr>
            </w:pPr>
            <w:r>
              <w:rPr>
                <w:rFonts w:hint="eastAsia" w:ascii="Times New Roman"/>
                <w:snapToGrid w:val="0"/>
                <w:color w:val="auto"/>
                <w:kern w:val="21"/>
                <w:sz w:val="21"/>
                <w:szCs w:val="21"/>
              </w:rPr>
              <w:t>/</w:t>
            </w:r>
          </w:p>
        </w:tc>
        <w:tc>
          <w:tcPr>
            <w:tcW w:w="577" w:type="pct"/>
            <w:noWrap w:val="0"/>
            <w:vAlign w:val="center"/>
          </w:tcPr>
          <w:p w14:paraId="4F08B4B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r>
              <w:rPr>
                <w:rFonts w:hint="eastAsia" w:cs="Times New Roman"/>
                <w:i w:val="0"/>
                <w:iCs w:val="0"/>
                <w:color w:val="000000"/>
                <w:kern w:val="0"/>
                <w:sz w:val="21"/>
                <w:szCs w:val="21"/>
                <w:u w:val="none"/>
                <w:lang w:val="en-US" w:eastAsia="zh-CN" w:bidi="ar"/>
              </w:rPr>
              <w:t>015</w:t>
            </w:r>
          </w:p>
        </w:tc>
        <w:tc>
          <w:tcPr>
            <w:tcW w:w="522" w:type="pct"/>
            <w:noWrap w:val="0"/>
            <w:vAlign w:val="center"/>
          </w:tcPr>
          <w:p w14:paraId="1DEEE2F3">
            <w:pPr>
              <w:pStyle w:val="39"/>
              <w:spacing w:beforeLines="0" w:afterLines="0" w:line="240" w:lineRule="auto"/>
              <w:ind w:left="0" w:leftChars="0" w:right="0" w:rightChars="0" w:firstLine="0" w:firstLineChars="0"/>
              <w:jc w:val="center"/>
              <w:rPr>
                <w:rFonts w:hint="eastAsia" w:ascii="Times New Roman"/>
                <w:snapToGrid w:val="0"/>
                <w:color w:val="auto"/>
                <w:kern w:val="21"/>
                <w:sz w:val="21"/>
                <w:szCs w:val="21"/>
              </w:rPr>
            </w:pPr>
            <w:r>
              <w:rPr>
                <w:rFonts w:hint="eastAsia" w:ascii="Times New Roman"/>
                <w:snapToGrid w:val="0"/>
                <w:color w:val="auto"/>
                <w:kern w:val="21"/>
                <w:sz w:val="21"/>
                <w:szCs w:val="21"/>
              </w:rPr>
              <w:t>/</w:t>
            </w:r>
          </w:p>
        </w:tc>
        <w:tc>
          <w:tcPr>
            <w:tcW w:w="649" w:type="pct"/>
            <w:noWrap w:val="0"/>
            <w:vAlign w:val="center"/>
          </w:tcPr>
          <w:p w14:paraId="057D9B1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r>
              <w:rPr>
                <w:rFonts w:hint="eastAsia" w:cs="Times New Roman"/>
                <w:i w:val="0"/>
                <w:iCs w:val="0"/>
                <w:color w:val="000000"/>
                <w:kern w:val="0"/>
                <w:sz w:val="21"/>
                <w:szCs w:val="21"/>
                <w:u w:val="none"/>
                <w:lang w:val="en-US" w:eastAsia="zh-CN" w:bidi="ar"/>
              </w:rPr>
              <w:t>015</w:t>
            </w:r>
          </w:p>
        </w:tc>
        <w:tc>
          <w:tcPr>
            <w:tcW w:w="564" w:type="pct"/>
            <w:noWrap w:val="0"/>
            <w:vAlign w:val="center"/>
          </w:tcPr>
          <w:p w14:paraId="4AAAA7B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olor w:val="auto"/>
                <w:sz w:val="21"/>
                <w:szCs w:val="21"/>
                <w:lang w:val="en-US" w:eastAsia="zh-CN"/>
              </w:rPr>
              <w:t>+</w:t>
            </w:r>
            <w:r>
              <w:rPr>
                <w:rFonts w:hint="default" w:ascii="Times New Roman" w:hAnsi="Times New Roman" w:eastAsia="宋体" w:cs="Times New Roman"/>
                <w:i w:val="0"/>
                <w:iCs w:val="0"/>
                <w:color w:val="000000"/>
                <w:kern w:val="0"/>
                <w:sz w:val="21"/>
                <w:szCs w:val="21"/>
                <w:u w:val="none"/>
                <w:lang w:val="en-US" w:eastAsia="zh-CN" w:bidi="ar"/>
              </w:rPr>
              <w:t>0.</w:t>
            </w:r>
            <w:r>
              <w:rPr>
                <w:rFonts w:hint="eastAsia" w:cs="Times New Roman"/>
                <w:i w:val="0"/>
                <w:iCs w:val="0"/>
                <w:color w:val="000000"/>
                <w:kern w:val="0"/>
                <w:sz w:val="21"/>
                <w:szCs w:val="21"/>
                <w:u w:val="none"/>
                <w:lang w:val="en-US" w:eastAsia="zh-CN" w:bidi="ar"/>
              </w:rPr>
              <w:t>015</w:t>
            </w:r>
          </w:p>
        </w:tc>
      </w:tr>
    </w:tbl>
    <w:p w14:paraId="07DF7A61">
      <w:pPr>
        <w:bidi w:val="0"/>
        <w:spacing w:line="360" w:lineRule="auto"/>
        <w:rPr>
          <w:rFonts w:hint="default" w:ascii="Times New Roman" w:hAnsi="Times New Roman" w:cs="Times New Roman"/>
          <w:color w:val="auto"/>
          <w:sz w:val="21"/>
          <w:szCs w:val="20"/>
        </w:rPr>
      </w:pPr>
      <w:r>
        <w:rPr>
          <w:rFonts w:hint="default" w:ascii="Times New Roman" w:hAnsi="Times New Roman" w:cs="Times New Roman"/>
          <w:color w:val="auto"/>
          <w:sz w:val="21"/>
          <w:szCs w:val="20"/>
        </w:rPr>
        <w:t>注：⑥=①+③+④-⑤；⑦=⑥-①</w:t>
      </w:r>
    </w:p>
    <w:p w14:paraId="076E191A">
      <w:pPr>
        <w:bidi w:val="0"/>
        <w:spacing w:line="360" w:lineRule="auto"/>
        <w:rPr>
          <w:rFonts w:hint="default" w:ascii="Times New Roman" w:hAnsi="Times New Roman" w:cs="Times New Roman"/>
          <w:color w:val="auto"/>
          <w:sz w:val="21"/>
          <w:szCs w:val="20"/>
        </w:rPr>
      </w:pPr>
    </w:p>
    <w:p w14:paraId="6483FE13">
      <w:pPr>
        <w:bidi w:val="0"/>
        <w:spacing w:line="360" w:lineRule="auto"/>
        <w:rPr>
          <w:rFonts w:hint="default" w:ascii="Times New Roman" w:hAnsi="Times New Roman" w:cs="Times New Roman"/>
          <w:color w:val="auto"/>
          <w:sz w:val="21"/>
          <w:szCs w:val="20"/>
        </w:rPr>
      </w:pPr>
    </w:p>
    <w:p w14:paraId="5A0642B8">
      <w:pPr>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br w:type="page"/>
      </w:r>
    </w:p>
    <w:p w14:paraId="61C99017">
      <w:pPr>
        <w:jc w:val="both"/>
        <w:rPr>
          <w:rFonts w:hint="default" w:ascii="Times New Roman" w:hAnsi="Times New Roman" w:cs="Times New Roman"/>
          <w:b/>
          <w:bCs/>
          <w:sz w:val="24"/>
          <w:szCs w:val="24"/>
          <w:lang w:val="en-US" w:eastAsia="zh-CN"/>
        </w:rPr>
        <w:sectPr>
          <w:pgSz w:w="16838" w:h="11906" w:orient="landscape"/>
          <w:pgMar w:top="1417" w:right="1417" w:bottom="1417" w:left="1417" w:header="851" w:footer="737" w:gutter="0"/>
          <w:pgNumType w:fmt="decimal"/>
          <w:cols w:space="720" w:num="1"/>
          <w:rtlGutter w:val="0"/>
          <w:docGrid w:type="lines" w:linePitch="312" w:charSpace="0"/>
        </w:sectPr>
      </w:pPr>
    </w:p>
    <w:p w14:paraId="05D2ED73">
      <w:pPr>
        <w:rPr>
          <w:rFonts w:hint="default" w:ascii="Times New Roman" w:hAnsi="Times New Roman" w:eastAsia="宋体" w:cs="Times New Roman"/>
          <w:b/>
          <w:bCs/>
          <w:color w:val="000000"/>
          <w:sz w:val="24"/>
          <w:szCs w:val="22"/>
          <w:lang w:val="en-US" w:eastAsia="zh-CN"/>
        </w:rPr>
      </w:pPr>
    </w:p>
    <w:p w14:paraId="63DFB0DD">
      <w:pPr>
        <w:keepNext w:val="0"/>
        <w:keepLines w:val="0"/>
        <w:pageBreakBefore w:val="0"/>
        <w:widowControl/>
        <w:kinsoku/>
        <w:wordWrap/>
        <w:overflowPunct/>
        <w:topLinePunct w:val="0"/>
        <w:autoSpaceDE/>
        <w:autoSpaceDN/>
        <w:bidi w:val="0"/>
        <w:adjustRightInd/>
        <w:snapToGrid/>
        <w:spacing w:line="360" w:lineRule="auto"/>
        <w:textAlignment w:val="auto"/>
        <w:outlineLvl w:val="0"/>
        <w:rPr>
          <w:rFonts w:hint="default" w:ascii="Times New Roman" w:hAnsi="Times New Roman" w:eastAsia="宋体" w:cs="Times New Roman"/>
          <w:b/>
          <w:bCs/>
          <w:color w:val="000000"/>
          <w:sz w:val="24"/>
          <w:szCs w:val="22"/>
          <w:lang w:val="en-US" w:eastAsia="zh-CN"/>
        </w:rPr>
      </w:pPr>
      <w:r>
        <w:rPr>
          <w:rFonts w:hint="default" w:ascii="Times New Roman" w:hAnsi="Times New Roman" w:eastAsia="宋体" w:cs="Times New Roman"/>
          <w:b/>
          <w:bCs/>
          <w:color w:val="000000"/>
          <w:sz w:val="24"/>
          <w:szCs w:val="22"/>
          <w:lang w:val="en-US" w:eastAsia="zh-CN"/>
        </w:rPr>
        <w:t>附件：</w:t>
      </w:r>
    </w:p>
    <w:p w14:paraId="7DFF6FE6">
      <w:pPr>
        <w:widowControl/>
        <w:spacing w:line="360" w:lineRule="auto"/>
        <w:rPr>
          <w:rFonts w:hint="default" w:ascii="Times New Roman" w:hAnsi="Times New Roman" w:eastAsia="宋体" w:cs="Times New Roman"/>
          <w:b w:val="0"/>
          <w:bCs w:val="0"/>
          <w:color w:val="000000"/>
          <w:sz w:val="24"/>
          <w:szCs w:val="22"/>
          <w:lang w:val="en-US" w:eastAsia="zh-CN"/>
        </w:rPr>
      </w:pPr>
      <w:r>
        <w:rPr>
          <w:rFonts w:hint="eastAsia" w:ascii="Times New Roman" w:hAnsi="Times New Roman" w:eastAsia="宋体" w:cs="Times New Roman"/>
          <w:b w:val="0"/>
          <w:bCs w:val="0"/>
          <w:color w:val="000000"/>
          <w:sz w:val="24"/>
          <w:szCs w:val="22"/>
          <w:lang w:val="en-US" w:eastAsia="zh-CN"/>
        </w:rPr>
        <w:t>附件</w:t>
      </w:r>
      <w:r>
        <w:rPr>
          <w:rFonts w:hint="default" w:ascii="Times New Roman" w:hAnsi="Times New Roman" w:eastAsia="宋体" w:cs="Times New Roman"/>
          <w:b w:val="0"/>
          <w:bCs w:val="0"/>
          <w:color w:val="000000"/>
          <w:sz w:val="24"/>
          <w:szCs w:val="22"/>
          <w:lang w:val="en-US" w:eastAsia="zh-CN"/>
        </w:rPr>
        <w:t>1、项目</w:t>
      </w:r>
      <w:r>
        <w:rPr>
          <w:rFonts w:hint="eastAsia" w:eastAsia="宋体" w:cs="Times New Roman"/>
          <w:b w:val="0"/>
          <w:bCs w:val="0"/>
          <w:color w:val="000000"/>
          <w:sz w:val="24"/>
          <w:szCs w:val="22"/>
          <w:lang w:val="en-US" w:eastAsia="zh-CN"/>
        </w:rPr>
        <w:t>委托书</w:t>
      </w:r>
    </w:p>
    <w:p w14:paraId="6FF68DAD">
      <w:pPr>
        <w:widowControl/>
        <w:spacing w:line="360" w:lineRule="auto"/>
        <w:rPr>
          <w:rFonts w:hint="default" w:ascii="Times New Roman" w:hAnsi="Times New Roman" w:eastAsia="宋体" w:cs="Times New Roman"/>
          <w:b w:val="0"/>
          <w:bCs w:val="0"/>
          <w:color w:val="000000"/>
          <w:sz w:val="24"/>
          <w:szCs w:val="22"/>
          <w:lang w:val="en-US" w:eastAsia="zh-CN"/>
        </w:rPr>
      </w:pPr>
      <w:r>
        <w:rPr>
          <w:rFonts w:hint="eastAsia" w:ascii="Times New Roman" w:hAnsi="Times New Roman" w:eastAsia="宋体" w:cs="Times New Roman"/>
          <w:b w:val="0"/>
          <w:bCs w:val="0"/>
          <w:color w:val="000000"/>
          <w:sz w:val="24"/>
          <w:szCs w:val="22"/>
          <w:lang w:val="en-US" w:eastAsia="zh-CN"/>
        </w:rPr>
        <w:t>附件</w:t>
      </w:r>
      <w:r>
        <w:rPr>
          <w:rFonts w:hint="default" w:ascii="Times New Roman" w:hAnsi="Times New Roman" w:eastAsia="宋体" w:cs="Times New Roman"/>
          <w:b w:val="0"/>
          <w:bCs w:val="0"/>
          <w:color w:val="000000"/>
          <w:sz w:val="24"/>
          <w:szCs w:val="22"/>
          <w:lang w:val="en-US" w:eastAsia="zh-CN"/>
        </w:rPr>
        <w:t>2、项目</w:t>
      </w:r>
      <w:r>
        <w:rPr>
          <w:rFonts w:hint="eastAsia" w:eastAsia="宋体" w:cs="Times New Roman"/>
          <w:b w:val="0"/>
          <w:bCs w:val="0"/>
          <w:color w:val="000000"/>
          <w:sz w:val="24"/>
          <w:szCs w:val="22"/>
          <w:lang w:val="en-US" w:eastAsia="zh-CN"/>
        </w:rPr>
        <w:t>备案</w:t>
      </w:r>
      <w:r>
        <w:rPr>
          <w:rFonts w:hint="default" w:ascii="Times New Roman" w:hAnsi="Times New Roman" w:eastAsia="宋体" w:cs="Times New Roman"/>
          <w:b w:val="0"/>
          <w:bCs w:val="0"/>
          <w:color w:val="000000"/>
          <w:sz w:val="24"/>
          <w:szCs w:val="22"/>
          <w:lang w:val="en-US" w:eastAsia="zh-CN"/>
        </w:rPr>
        <w:t>文件</w:t>
      </w:r>
    </w:p>
    <w:p w14:paraId="30FCCE46">
      <w:pPr>
        <w:widowControl/>
        <w:spacing w:line="360" w:lineRule="auto"/>
        <w:rPr>
          <w:rFonts w:hint="eastAsia" w:ascii="Times New Roman" w:hAnsi="Times New Roman" w:eastAsia="宋体" w:cs="Times New Roman"/>
          <w:b w:val="0"/>
          <w:bCs w:val="0"/>
          <w:color w:val="000000"/>
          <w:sz w:val="24"/>
          <w:szCs w:val="22"/>
          <w:lang w:val="en-US" w:eastAsia="zh-CN"/>
        </w:rPr>
      </w:pPr>
      <w:r>
        <w:rPr>
          <w:rFonts w:hint="eastAsia" w:ascii="Times New Roman" w:hAnsi="Times New Roman" w:eastAsia="宋体" w:cs="Times New Roman"/>
          <w:b w:val="0"/>
          <w:bCs w:val="0"/>
          <w:color w:val="000000"/>
          <w:sz w:val="24"/>
          <w:szCs w:val="22"/>
          <w:lang w:val="en-US" w:eastAsia="zh-CN"/>
        </w:rPr>
        <w:t>附件</w:t>
      </w:r>
      <w:r>
        <w:rPr>
          <w:rFonts w:hint="default" w:ascii="Times New Roman" w:hAnsi="Times New Roman" w:eastAsia="宋体" w:cs="Times New Roman"/>
          <w:b w:val="0"/>
          <w:bCs w:val="0"/>
          <w:color w:val="000000"/>
          <w:sz w:val="24"/>
          <w:szCs w:val="22"/>
          <w:lang w:val="en-US" w:eastAsia="zh-CN"/>
        </w:rPr>
        <w:t>3、</w:t>
      </w:r>
      <w:r>
        <w:rPr>
          <w:rFonts w:hint="eastAsia" w:ascii="Times New Roman" w:hAnsi="Times New Roman" w:eastAsia="宋体" w:cs="Times New Roman"/>
          <w:b w:val="0"/>
          <w:bCs w:val="0"/>
          <w:color w:val="000000"/>
          <w:sz w:val="24"/>
          <w:szCs w:val="22"/>
          <w:lang w:val="en-US" w:eastAsia="zh-CN"/>
        </w:rPr>
        <w:t>项目用地手续</w:t>
      </w:r>
    </w:p>
    <w:p w14:paraId="0A12CDA8">
      <w:pPr>
        <w:widowControl/>
        <w:spacing w:line="360" w:lineRule="auto"/>
        <w:rPr>
          <w:rFonts w:hint="default" w:ascii="Times New Roman" w:hAnsi="Times New Roman" w:eastAsia="宋体" w:cs="Times New Roman"/>
          <w:b w:val="0"/>
          <w:bCs w:val="0"/>
          <w:color w:val="000000"/>
          <w:sz w:val="24"/>
          <w:szCs w:val="22"/>
          <w:lang w:val="en-US" w:eastAsia="zh-CN"/>
        </w:rPr>
      </w:pPr>
      <w:r>
        <w:rPr>
          <w:rFonts w:hint="eastAsia" w:ascii="Times New Roman" w:hAnsi="Times New Roman" w:eastAsia="宋体" w:cs="Times New Roman"/>
          <w:b w:val="0"/>
          <w:bCs w:val="0"/>
          <w:color w:val="000000"/>
          <w:sz w:val="24"/>
          <w:szCs w:val="22"/>
          <w:lang w:val="en-US" w:eastAsia="zh-CN"/>
        </w:rPr>
        <w:t>附件</w:t>
      </w:r>
      <w:r>
        <w:rPr>
          <w:rFonts w:hint="default" w:ascii="Times New Roman" w:hAnsi="Times New Roman" w:eastAsia="宋体" w:cs="Times New Roman"/>
          <w:b w:val="0"/>
          <w:bCs w:val="0"/>
          <w:color w:val="000000"/>
          <w:sz w:val="24"/>
          <w:szCs w:val="22"/>
          <w:lang w:val="en-US" w:eastAsia="zh-CN"/>
        </w:rPr>
        <w:t>4、</w:t>
      </w:r>
      <w:r>
        <w:rPr>
          <w:rFonts w:hint="eastAsia" w:cs="Times New Roman"/>
          <w:b w:val="0"/>
          <w:bCs w:val="0"/>
          <w:color w:val="000000"/>
          <w:sz w:val="24"/>
          <w:szCs w:val="22"/>
          <w:lang w:val="en-US" w:eastAsia="zh-CN"/>
        </w:rPr>
        <w:t>营业执照</w:t>
      </w:r>
    </w:p>
    <w:p w14:paraId="40801541">
      <w:pPr>
        <w:widowControl/>
        <w:spacing w:line="360" w:lineRule="auto"/>
        <w:rPr>
          <w:rFonts w:hint="default" w:ascii="Times New Roman" w:hAnsi="Times New Roman" w:eastAsia="宋体" w:cs="Times New Roman"/>
          <w:b w:val="0"/>
          <w:bCs w:val="0"/>
          <w:color w:val="000000"/>
          <w:sz w:val="24"/>
          <w:szCs w:val="22"/>
          <w:lang w:val="en-US" w:eastAsia="zh-CN"/>
        </w:rPr>
      </w:pPr>
      <w:r>
        <w:rPr>
          <w:rFonts w:hint="eastAsia" w:ascii="Times New Roman" w:hAnsi="Times New Roman" w:eastAsia="宋体" w:cs="Times New Roman"/>
          <w:b w:val="0"/>
          <w:bCs w:val="0"/>
          <w:color w:val="000000"/>
          <w:sz w:val="24"/>
          <w:szCs w:val="22"/>
          <w:lang w:val="en-US" w:eastAsia="zh-CN"/>
        </w:rPr>
        <w:t>附件</w:t>
      </w:r>
      <w:r>
        <w:rPr>
          <w:rFonts w:hint="eastAsia" w:cs="Times New Roman"/>
          <w:b w:val="0"/>
          <w:bCs w:val="0"/>
          <w:color w:val="000000"/>
          <w:sz w:val="24"/>
          <w:szCs w:val="22"/>
          <w:lang w:val="en-US" w:eastAsia="zh-CN"/>
        </w:rPr>
        <w:t>5</w:t>
      </w:r>
      <w:r>
        <w:rPr>
          <w:rFonts w:hint="default" w:ascii="Times New Roman" w:hAnsi="Times New Roman" w:eastAsia="宋体" w:cs="Times New Roman"/>
          <w:b w:val="0"/>
          <w:bCs w:val="0"/>
          <w:color w:val="000000"/>
          <w:sz w:val="24"/>
          <w:szCs w:val="22"/>
          <w:lang w:val="en-US" w:eastAsia="zh-CN"/>
        </w:rPr>
        <w:t>、</w:t>
      </w:r>
      <w:r>
        <w:rPr>
          <w:rFonts w:hint="eastAsia" w:ascii="Times New Roman" w:hAnsi="Times New Roman" w:eastAsia="宋体" w:cs="Times New Roman"/>
          <w:b w:val="0"/>
          <w:bCs w:val="0"/>
          <w:color w:val="000000"/>
          <w:sz w:val="24"/>
          <w:szCs w:val="22"/>
          <w:lang w:val="en-US" w:eastAsia="zh-CN"/>
        </w:rPr>
        <w:t>法人身份证</w:t>
      </w:r>
    </w:p>
    <w:p w14:paraId="1E1AC502">
      <w:pPr>
        <w:widowControl/>
        <w:spacing w:line="360" w:lineRule="auto"/>
        <w:rPr>
          <w:rFonts w:hint="default" w:ascii="Times New Roman" w:hAnsi="Times New Roman" w:eastAsia="宋体" w:cs="Times New Roman"/>
          <w:b w:val="0"/>
          <w:bCs w:val="0"/>
          <w:color w:val="000000"/>
          <w:sz w:val="24"/>
          <w:szCs w:val="22"/>
          <w:lang w:val="en-US" w:eastAsia="zh-CN"/>
        </w:rPr>
      </w:pPr>
      <w:r>
        <w:rPr>
          <w:rFonts w:hint="eastAsia" w:ascii="Times New Roman" w:hAnsi="Times New Roman" w:eastAsia="宋体" w:cs="Times New Roman"/>
          <w:b w:val="0"/>
          <w:bCs w:val="0"/>
          <w:color w:val="000000"/>
          <w:sz w:val="24"/>
          <w:szCs w:val="22"/>
          <w:lang w:val="en-US" w:eastAsia="zh-CN"/>
        </w:rPr>
        <w:t>附件</w:t>
      </w:r>
      <w:r>
        <w:rPr>
          <w:rFonts w:hint="eastAsia" w:cs="Times New Roman"/>
          <w:b w:val="0"/>
          <w:bCs w:val="0"/>
          <w:color w:val="000000"/>
          <w:sz w:val="24"/>
          <w:szCs w:val="22"/>
          <w:lang w:val="en-US" w:eastAsia="zh-CN"/>
        </w:rPr>
        <w:t>6</w:t>
      </w:r>
      <w:r>
        <w:rPr>
          <w:rFonts w:hint="default" w:ascii="Times New Roman" w:hAnsi="Times New Roman" w:eastAsia="宋体" w:cs="Times New Roman"/>
          <w:b w:val="0"/>
          <w:bCs w:val="0"/>
          <w:color w:val="000000"/>
          <w:sz w:val="24"/>
          <w:szCs w:val="22"/>
          <w:lang w:val="en-US" w:eastAsia="zh-CN"/>
        </w:rPr>
        <w:t>、</w:t>
      </w:r>
      <w:r>
        <w:rPr>
          <w:rFonts w:hint="eastAsia" w:cs="Times New Roman"/>
          <w:b w:val="0"/>
          <w:bCs w:val="0"/>
          <w:color w:val="000000"/>
          <w:sz w:val="24"/>
          <w:szCs w:val="22"/>
          <w:lang w:val="en-US" w:eastAsia="zh-CN"/>
        </w:rPr>
        <w:t>资料</w:t>
      </w:r>
      <w:r>
        <w:rPr>
          <w:rFonts w:hint="eastAsia" w:eastAsia="宋体" w:cs="Times New Roman"/>
          <w:b w:val="0"/>
          <w:bCs w:val="0"/>
          <w:color w:val="000000"/>
          <w:sz w:val="24"/>
          <w:szCs w:val="22"/>
          <w:lang w:val="en-US" w:eastAsia="zh-CN"/>
        </w:rPr>
        <w:t>真实性</w:t>
      </w:r>
      <w:r>
        <w:rPr>
          <w:rFonts w:hint="eastAsia" w:cs="Times New Roman"/>
          <w:b w:val="0"/>
          <w:bCs w:val="0"/>
          <w:color w:val="000000"/>
          <w:sz w:val="24"/>
          <w:szCs w:val="22"/>
          <w:lang w:val="en-US" w:eastAsia="zh-CN"/>
        </w:rPr>
        <w:t>确认函</w:t>
      </w:r>
    </w:p>
    <w:p w14:paraId="5EF09670">
      <w:pPr>
        <w:widowControl/>
        <w:spacing w:line="360" w:lineRule="auto"/>
        <w:rPr>
          <w:rFonts w:hint="eastAsia" w:ascii="Times New Roman" w:hAnsi="Times New Roman" w:eastAsia="宋体" w:cs="Times New Roman"/>
          <w:b w:val="0"/>
          <w:bCs w:val="0"/>
          <w:color w:val="000000"/>
          <w:sz w:val="24"/>
          <w:szCs w:val="22"/>
          <w:lang w:val="en-US" w:eastAsia="zh-CN"/>
        </w:rPr>
      </w:pPr>
      <w:r>
        <w:rPr>
          <w:rFonts w:hint="eastAsia" w:ascii="Times New Roman" w:hAnsi="Times New Roman" w:eastAsia="宋体" w:cs="Times New Roman"/>
          <w:b w:val="0"/>
          <w:bCs w:val="0"/>
          <w:color w:val="000000"/>
          <w:sz w:val="24"/>
          <w:szCs w:val="22"/>
          <w:lang w:val="en-US" w:eastAsia="zh-CN"/>
        </w:rPr>
        <w:t>附件</w:t>
      </w:r>
      <w:r>
        <w:rPr>
          <w:rFonts w:hint="eastAsia" w:cs="Times New Roman"/>
          <w:b w:val="0"/>
          <w:bCs w:val="0"/>
          <w:color w:val="000000"/>
          <w:sz w:val="24"/>
          <w:szCs w:val="22"/>
          <w:lang w:val="en-US" w:eastAsia="zh-CN"/>
        </w:rPr>
        <w:t>7</w:t>
      </w:r>
      <w:r>
        <w:rPr>
          <w:rFonts w:hint="default" w:ascii="Times New Roman" w:hAnsi="Times New Roman" w:eastAsia="宋体" w:cs="Times New Roman"/>
          <w:b w:val="0"/>
          <w:bCs w:val="0"/>
          <w:color w:val="000000"/>
          <w:sz w:val="24"/>
          <w:szCs w:val="22"/>
          <w:lang w:val="en-US" w:eastAsia="zh-CN"/>
        </w:rPr>
        <w:t>、</w:t>
      </w:r>
      <w:r>
        <w:rPr>
          <w:rFonts w:hint="eastAsia" w:ascii="Times New Roman" w:hAnsi="Times New Roman" w:eastAsia="宋体" w:cs="Times New Roman"/>
          <w:b w:val="0"/>
          <w:bCs w:val="0"/>
          <w:color w:val="000000"/>
          <w:sz w:val="24"/>
          <w:szCs w:val="22"/>
          <w:lang w:val="en-US" w:eastAsia="zh-CN"/>
        </w:rPr>
        <w:t>监测报告</w:t>
      </w:r>
    </w:p>
    <w:p w14:paraId="277BD26F">
      <w:pPr>
        <w:widowControl/>
        <w:spacing w:line="360" w:lineRule="auto"/>
        <w:rPr>
          <w:rFonts w:hint="eastAsia" w:ascii="Times New Roman" w:hAnsi="Times New Roman" w:eastAsia="宋体" w:cs="Times New Roman"/>
          <w:b w:val="0"/>
          <w:bCs w:val="0"/>
          <w:color w:val="000000"/>
          <w:sz w:val="24"/>
          <w:szCs w:val="22"/>
          <w:lang w:val="en-US" w:eastAsia="zh-CN"/>
        </w:rPr>
      </w:pPr>
      <w:r>
        <w:rPr>
          <w:rFonts w:hint="eastAsia" w:ascii="Times New Roman" w:hAnsi="Times New Roman" w:eastAsia="宋体" w:cs="Times New Roman"/>
          <w:b w:val="0"/>
          <w:bCs w:val="0"/>
          <w:color w:val="000000"/>
          <w:sz w:val="24"/>
          <w:szCs w:val="22"/>
          <w:lang w:val="en-US" w:eastAsia="zh-CN"/>
        </w:rPr>
        <w:t>附件</w:t>
      </w:r>
      <w:r>
        <w:rPr>
          <w:rFonts w:hint="eastAsia" w:cs="Times New Roman"/>
          <w:b w:val="0"/>
          <w:bCs w:val="0"/>
          <w:color w:val="000000"/>
          <w:sz w:val="24"/>
          <w:szCs w:val="22"/>
          <w:lang w:val="en-US" w:eastAsia="zh-CN"/>
        </w:rPr>
        <w:t>8</w:t>
      </w:r>
      <w:r>
        <w:rPr>
          <w:rFonts w:hint="eastAsia" w:ascii="Times New Roman" w:hAnsi="Times New Roman" w:eastAsia="宋体" w:cs="Times New Roman"/>
          <w:b w:val="0"/>
          <w:bCs w:val="0"/>
          <w:color w:val="000000"/>
          <w:sz w:val="24"/>
          <w:szCs w:val="22"/>
          <w:lang w:val="en-US" w:eastAsia="zh-CN"/>
        </w:rPr>
        <w:t>、</w:t>
      </w:r>
      <w:r>
        <w:rPr>
          <w:rFonts w:hint="default" w:ascii="Times New Roman" w:hAnsi="Times New Roman" w:eastAsia="宋体" w:cs="Times New Roman"/>
          <w:b w:val="0"/>
          <w:bCs w:val="0"/>
          <w:color w:val="000000"/>
          <w:sz w:val="24"/>
          <w:szCs w:val="22"/>
          <w:lang w:val="en-US" w:eastAsia="zh-CN"/>
        </w:rPr>
        <w:t>危险废物处置</w:t>
      </w:r>
      <w:r>
        <w:rPr>
          <w:rFonts w:hint="eastAsia" w:ascii="Times New Roman" w:hAnsi="Times New Roman" w:eastAsia="宋体" w:cs="Times New Roman"/>
          <w:b w:val="0"/>
          <w:bCs w:val="0"/>
          <w:color w:val="000000"/>
          <w:sz w:val="24"/>
          <w:szCs w:val="22"/>
          <w:lang w:val="en-US" w:eastAsia="zh-CN"/>
        </w:rPr>
        <w:t>承诺函</w:t>
      </w:r>
    </w:p>
    <w:p w14:paraId="63FB8149">
      <w:pPr>
        <w:widowControl/>
        <w:spacing w:line="360" w:lineRule="auto"/>
        <w:rPr>
          <w:rFonts w:hint="default" w:ascii="Times New Roman" w:hAnsi="Times New Roman" w:eastAsia="宋体" w:cs="Times New Roman"/>
          <w:b w:val="0"/>
          <w:bCs w:val="0"/>
          <w:color w:val="000000"/>
          <w:sz w:val="24"/>
          <w:szCs w:val="22"/>
          <w:lang w:val="en-US" w:eastAsia="zh-CN"/>
        </w:rPr>
      </w:pPr>
      <w:r>
        <w:rPr>
          <w:rFonts w:hint="eastAsia" w:ascii="Times New Roman" w:hAnsi="Times New Roman" w:eastAsia="宋体" w:cs="Times New Roman"/>
          <w:b w:val="0"/>
          <w:bCs w:val="0"/>
          <w:color w:val="000000"/>
          <w:sz w:val="24"/>
          <w:szCs w:val="22"/>
          <w:lang w:val="en-US" w:eastAsia="zh-CN"/>
        </w:rPr>
        <w:t>附件</w:t>
      </w:r>
      <w:r>
        <w:rPr>
          <w:rFonts w:hint="eastAsia" w:cs="Times New Roman"/>
          <w:b w:val="0"/>
          <w:bCs w:val="0"/>
          <w:color w:val="000000"/>
          <w:sz w:val="24"/>
          <w:szCs w:val="22"/>
          <w:lang w:val="en-US" w:eastAsia="zh-CN"/>
        </w:rPr>
        <w:t>9</w:t>
      </w:r>
      <w:r>
        <w:rPr>
          <w:rFonts w:hint="eastAsia" w:ascii="Times New Roman" w:hAnsi="Times New Roman" w:eastAsia="宋体" w:cs="Times New Roman"/>
          <w:b w:val="0"/>
          <w:bCs w:val="0"/>
          <w:color w:val="000000"/>
          <w:sz w:val="24"/>
          <w:szCs w:val="22"/>
          <w:lang w:val="en-US" w:eastAsia="zh-CN"/>
        </w:rPr>
        <w:t>、招商引资协议书</w:t>
      </w:r>
    </w:p>
    <w:p w14:paraId="70B1B7BC">
      <w:pPr>
        <w:widowControl/>
        <w:spacing w:line="360" w:lineRule="auto"/>
        <w:rPr>
          <w:rFonts w:hint="eastAsia" w:cs="Times New Roman"/>
          <w:b w:val="0"/>
          <w:bCs w:val="0"/>
          <w:color w:val="000000"/>
          <w:sz w:val="24"/>
          <w:szCs w:val="22"/>
          <w:lang w:val="en-US" w:eastAsia="zh-CN"/>
        </w:rPr>
      </w:pPr>
      <w:r>
        <w:rPr>
          <w:rFonts w:hint="eastAsia" w:ascii="Times New Roman" w:hAnsi="Times New Roman" w:eastAsia="宋体" w:cs="Times New Roman"/>
          <w:b w:val="0"/>
          <w:bCs w:val="0"/>
          <w:color w:val="000000"/>
          <w:sz w:val="24"/>
          <w:szCs w:val="22"/>
          <w:lang w:val="en-US" w:eastAsia="zh-CN"/>
        </w:rPr>
        <w:t>附件</w:t>
      </w:r>
      <w:r>
        <w:rPr>
          <w:rFonts w:hint="eastAsia" w:cs="Times New Roman"/>
          <w:b w:val="0"/>
          <w:bCs w:val="0"/>
          <w:color w:val="000000"/>
          <w:sz w:val="24"/>
          <w:szCs w:val="22"/>
          <w:lang w:val="en-US" w:eastAsia="zh-CN"/>
        </w:rPr>
        <w:t>10</w:t>
      </w:r>
      <w:r>
        <w:rPr>
          <w:rFonts w:hint="eastAsia" w:ascii="Times New Roman" w:hAnsi="Times New Roman" w:eastAsia="宋体" w:cs="Times New Roman"/>
          <w:b w:val="0"/>
          <w:bCs w:val="0"/>
          <w:color w:val="000000"/>
          <w:sz w:val="24"/>
          <w:szCs w:val="22"/>
          <w:lang w:val="en-US" w:eastAsia="zh-CN"/>
        </w:rPr>
        <w:t>、</w:t>
      </w:r>
      <w:r>
        <w:rPr>
          <w:rFonts w:hint="eastAsia" w:cs="Times New Roman"/>
          <w:b w:val="0"/>
          <w:bCs w:val="0"/>
          <w:color w:val="000000"/>
          <w:sz w:val="24"/>
          <w:szCs w:val="22"/>
          <w:lang w:val="en-US" w:eastAsia="zh-CN"/>
        </w:rPr>
        <w:t>企业分期建设情况说明</w:t>
      </w:r>
    </w:p>
    <w:p w14:paraId="795155FE">
      <w:pPr>
        <w:widowControl/>
        <w:spacing w:line="360" w:lineRule="auto"/>
        <w:rPr>
          <w:rFonts w:hint="default" w:cs="Times New Roman"/>
          <w:b w:val="0"/>
          <w:bCs w:val="0"/>
          <w:color w:val="000000"/>
          <w:sz w:val="24"/>
          <w:szCs w:val="22"/>
          <w:lang w:val="en-US" w:eastAsia="zh-CN"/>
        </w:rPr>
      </w:pPr>
      <w:r>
        <w:rPr>
          <w:rFonts w:hint="eastAsia" w:cs="Times New Roman"/>
          <w:b w:val="0"/>
          <w:bCs w:val="0"/>
          <w:color w:val="000000"/>
          <w:sz w:val="24"/>
          <w:szCs w:val="22"/>
          <w:lang w:val="en-US" w:eastAsia="zh-CN"/>
        </w:rPr>
        <w:t>附件11、排放容量核定表</w:t>
      </w:r>
    </w:p>
    <w:p w14:paraId="345050E2">
      <w:pPr>
        <w:widowControl/>
        <w:spacing w:line="360" w:lineRule="auto"/>
        <w:rPr>
          <w:rFonts w:hint="default" w:cs="Times New Roman"/>
          <w:b w:val="0"/>
          <w:bCs w:val="0"/>
          <w:color w:val="000000"/>
          <w:sz w:val="24"/>
          <w:szCs w:val="22"/>
          <w:lang w:val="en-US" w:eastAsia="zh-CN"/>
        </w:rPr>
      </w:pPr>
    </w:p>
    <w:p w14:paraId="6199480B">
      <w:pPr>
        <w:keepNext w:val="0"/>
        <w:keepLines w:val="0"/>
        <w:pageBreakBefore w:val="0"/>
        <w:widowControl/>
        <w:kinsoku/>
        <w:wordWrap/>
        <w:overflowPunct/>
        <w:topLinePunct w:val="0"/>
        <w:autoSpaceDE/>
        <w:autoSpaceDN/>
        <w:bidi w:val="0"/>
        <w:adjustRightInd/>
        <w:snapToGrid/>
        <w:spacing w:line="360" w:lineRule="auto"/>
        <w:textAlignment w:val="auto"/>
        <w:outlineLvl w:val="0"/>
        <w:rPr>
          <w:rFonts w:hint="default" w:ascii="Times New Roman" w:hAnsi="Times New Roman" w:eastAsia="宋体" w:cs="Times New Roman"/>
          <w:b/>
          <w:bCs/>
          <w:color w:val="000000"/>
          <w:sz w:val="24"/>
          <w:szCs w:val="22"/>
          <w:lang w:val="en-US" w:eastAsia="zh-CN"/>
        </w:rPr>
      </w:pPr>
    </w:p>
    <w:p w14:paraId="2D4D3FEC">
      <w:pPr>
        <w:keepNext w:val="0"/>
        <w:keepLines w:val="0"/>
        <w:pageBreakBefore w:val="0"/>
        <w:widowControl/>
        <w:kinsoku/>
        <w:wordWrap/>
        <w:overflowPunct/>
        <w:topLinePunct w:val="0"/>
        <w:autoSpaceDE/>
        <w:autoSpaceDN/>
        <w:bidi w:val="0"/>
        <w:adjustRightInd/>
        <w:snapToGrid/>
        <w:spacing w:line="360" w:lineRule="auto"/>
        <w:textAlignment w:val="auto"/>
        <w:outlineLvl w:val="0"/>
        <w:rPr>
          <w:rFonts w:hint="default" w:ascii="Times New Roman" w:hAnsi="Times New Roman" w:eastAsia="宋体" w:cs="Times New Roman"/>
          <w:b/>
          <w:bCs/>
          <w:color w:val="000000"/>
          <w:sz w:val="24"/>
          <w:szCs w:val="22"/>
          <w:lang w:val="en-US" w:eastAsia="zh-CN"/>
        </w:rPr>
      </w:pPr>
      <w:r>
        <w:rPr>
          <w:rFonts w:hint="default" w:ascii="Times New Roman" w:hAnsi="Times New Roman" w:eastAsia="宋体" w:cs="Times New Roman"/>
          <w:b/>
          <w:bCs/>
          <w:color w:val="000000"/>
          <w:sz w:val="24"/>
          <w:szCs w:val="22"/>
          <w:lang w:val="en-US" w:eastAsia="zh-CN"/>
        </w:rPr>
        <w:t>附图：</w:t>
      </w:r>
    </w:p>
    <w:p w14:paraId="250444FA">
      <w:pPr>
        <w:widowControl/>
        <w:spacing w:line="360" w:lineRule="auto"/>
        <w:rPr>
          <w:rFonts w:hint="default" w:ascii="Times New Roman" w:hAnsi="Times New Roman" w:eastAsia="宋体" w:cs="Times New Roman"/>
          <w:b w:val="0"/>
          <w:bCs w:val="0"/>
          <w:color w:val="000000"/>
          <w:sz w:val="24"/>
          <w:szCs w:val="22"/>
          <w:lang w:val="en-US" w:eastAsia="zh-CN"/>
        </w:rPr>
      </w:pPr>
      <w:r>
        <w:rPr>
          <w:rFonts w:hint="eastAsia" w:eastAsia="宋体" w:cs="Times New Roman"/>
          <w:b w:val="0"/>
          <w:bCs w:val="0"/>
          <w:color w:val="000000"/>
          <w:sz w:val="24"/>
          <w:szCs w:val="22"/>
          <w:lang w:val="en-US" w:eastAsia="zh-CN"/>
        </w:rPr>
        <w:t>附图1</w:t>
      </w:r>
      <w:r>
        <w:rPr>
          <w:rFonts w:hint="eastAsia" w:ascii="Times New Roman" w:hAnsi="Times New Roman" w:eastAsia="宋体" w:cs="Times New Roman"/>
          <w:b w:val="0"/>
          <w:bCs w:val="0"/>
          <w:color w:val="000000"/>
          <w:sz w:val="24"/>
          <w:szCs w:val="22"/>
          <w:lang w:val="en-US" w:eastAsia="zh-CN"/>
        </w:rPr>
        <w:t>、</w:t>
      </w:r>
      <w:r>
        <w:rPr>
          <w:rFonts w:hint="default" w:ascii="Times New Roman" w:hAnsi="Times New Roman" w:eastAsia="宋体" w:cs="Times New Roman"/>
          <w:b w:val="0"/>
          <w:bCs w:val="0"/>
          <w:color w:val="000000"/>
          <w:sz w:val="24"/>
          <w:szCs w:val="22"/>
          <w:lang w:val="en-US" w:eastAsia="zh-CN"/>
        </w:rPr>
        <w:t>项目</w:t>
      </w:r>
      <w:r>
        <w:rPr>
          <w:rFonts w:hint="eastAsia" w:eastAsia="宋体" w:cs="Times New Roman"/>
          <w:b w:val="0"/>
          <w:bCs w:val="0"/>
          <w:color w:val="000000"/>
          <w:sz w:val="24"/>
          <w:szCs w:val="22"/>
          <w:lang w:val="en-US" w:eastAsia="zh-CN"/>
        </w:rPr>
        <w:t>地理位置图</w:t>
      </w:r>
    </w:p>
    <w:p w14:paraId="0E9A7911">
      <w:pPr>
        <w:widowControl/>
        <w:spacing w:line="360" w:lineRule="auto"/>
        <w:rPr>
          <w:rFonts w:hint="default" w:ascii="Times New Roman" w:hAnsi="Times New Roman" w:eastAsia="宋体" w:cs="Times New Roman"/>
          <w:b w:val="0"/>
          <w:bCs w:val="0"/>
          <w:color w:val="000000"/>
          <w:sz w:val="24"/>
          <w:szCs w:val="22"/>
          <w:lang w:val="en-US" w:eastAsia="zh-CN"/>
        </w:rPr>
      </w:pPr>
      <w:r>
        <w:rPr>
          <w:rFonts w:hint="eastAsia" w:eastAsia="宋体" w:cs="Times New Roman"/>
          <w:b w:val="0"/>
          <w:bCs w:val="0"/>
          <w:color w:val="000000"/>
          <w:sz w:val="24"/>
          <w:szCs w:val="22"/>
          <w:lang w:val="en-US" w:eastAsia="zh-CN"/>
        </w:rPr>
        <w:t>附图</w:t>
      </w:r>
      <w:r>
        <w:rPr>
          <w:rFonts w:hint="eastAsia" w:ascii="Times New Roman" w:hAnsi="Times New Roman" w:eastAsia="宋体" w:cs="Times New Roman"/>
          <w:b w:val="0"/>
          <w:bCs w:val="0"/>
          <w:color w:val="000000"/>
          <w:sz w:val="24"/>
          <w:szCs w:val="22"/>
          <w:lang w:val="en-US" w:eastAsia="zh-CN"/>
        </w:rPr>
        <w:t>2、</w:t>
      </w:r>
      <w:r>
        <w:rPr>
          <w:rFonts w:hint="eastAsia" w:ascii="Times New Roman" w:hAnsi="Times New Roman" w:eastAsia="宋体" w:cs="Times New Roman"/>
          <w:b w:val="0"/>
          <w:bCs w:val="0"/>
          <w:kern w:val="2"/>
          <w:sz w:val="24"/>
          <w:szCs w:val="22"/>
          <w:lang w:val="en-US" w:eastAsia="zh-CN" w:bidi="ar-SA"/>
        </w:rPr>
        <w:t>项目环境保护目标图</w:t>
      </w:r>
    </w:p>
    <w:p w14:paraId="1AFB2732">
      <w:pPr>
        <w:widowControl/>
        <w:spacing w:line="360" w:lineRule="auto"/>
        <w:rPr>
          <w:rFonts w:hint="eastAsia" w:ascii="Times New Roman" w:hAnsi="Times New Roman" w:eastAsia="宋体" w:cs="Times New Roman"/>
          <w:b w:val="0"/>
          <w:bCs w:val="0"/>
          <w:color w:val="000000"/>
          <w:sz w:val="24"/>
          <w:szCs w:val="22"/>
          <w:lang w:val="en-US" w:eastAsia="zh-CN"/>
        </w:rPr>
      </w:pPr>
      <w:r>
        <w:rPr>
          <w:rFonts w:hint="eastAsia" w:eastAsia="宋体" w:cs="Times New Roman"/>
          <w:b w:val="0"/>
          <w:bCs w:val="0"/>
          <w:color w:val="000000"/>
          <w:sz w:val="24"/>
          <w:szCs w:val="22"/>
          <w:lang w:val="en-US" w:eastAsia="zh-CN"/>
        </w:rPr>
        <w:t>附图</w:t>
      </w:r>
      <w:r>
        <w:rPr>
          <w:rFonts w:hint="eastAsia" w:ascii="Times New Roman" w:hAnsi="Times New Roman" w:eastAsia="宋体" w:cs="Times New Roman"/>
          <w:b w:val="0"/>
          <w:bCs w:val="0"/>
          <w:color w:val="000000"/>
          <w:sz w:val="24"/>
          <w:szCs w:val="22"/>
          <w:lang w:val="en-US" w:eastAsia="zh-CN"/>
        </w:rPr>
        <w:t>3、</w:t>
      </w:r>
      <w:r>
        <w:rPr>
          <w:rFonts w:hint="eastAsia" w:eastAsia="宋体" w:cs="Times New Roman"/>
          <w:b w:val="0"/>
          <w:bCs w:val="0"/>
          <w:color w:val="000000"/>
          <w:sz w:val="24"/>
          <w:szCs w:val="22"/>
          <w:lang w:val="en-US" w:eastAsia="zh-CN"/>
        </w:rPr>
        <w:t>项目周边关系图</w:t>
      </w:r>
    </w:p>
    <w:p w14:paraId="04978412">
      <w:pPr>
        <w:widowControl/>
        <w:spacing w:line="360" w:lineRule="auto"/>
        <w:rPr>
          <w:rFonts w:hint="default" w:ascii="Times New Roman" w:hAnsi="Times New Roman" w:eastAsia="宋体" w:cs="Times New Roman"/>
          <w:b w:val="0"/>
          <w:bCs w:val="0"/>
          <w:color w:val="000000"/>
          <w:sz w:val="24"/>
          <w:szCs w:val="22"/>
          <w:lang w:val="en-US" w:eastAsia="zh-CN"/>
        </w:rPr>
      </w:pPr>
      <w:r>
        <w:rPr>
          <w:rFonts w:hint="eastAsia" w:eastAsia="宋体" w:cs="Times New Roman"/>
          <w:b w:val="0"/>
          <w:bCs w:val="0"/>
          <w:color w:val="000000"/>
          <w:sz w:val="24"/>
          <w:szCs w:val="22"/>
          <w:lang w:val="en-US" w:eastAsia="zh-CN"/>
        </w:rPr>
        <w:t>附图</w:t>
      </w:r>
      <w:r>
        <w:rPr>
          <w:rFonts w:hint="eastAsia" w:ascii="Times New Roman" w:hAnsi="Times New Roman" w:eastAsia="宋体" w:cs="Times New Roman"/>
          <w:b w:val="0"/>
          <w:bCs w:val="0"/>
          <w:color w:val="000000"/>
          <w:sz w:val="24"/>
          <w:szCs w:val="22"/>
          <w:lang w:val="en-US" w:eastAsia="zh-CN"/>
        </w:rPr>
        <w:t>4、</w:t>
      </w:r>
      <w:r>
        <w:rPr>
          <w:rFonts w:hint="default" w:ascii="Times New Roman" w:hAnsi="Times New Roman" w:eastAsia="宋体" w:cs="Times New Roman"/>
          <w:b w:val="0"/>
          <w:bCs w:val="0"/>
          <w:color w:val="000000"/>
          <w:sz w:val="24"/>
          <w:szCs w:val="22"/>
          <w:lang w:val="en-US" w:eastAsia="zh-CN"/>
        </w:rPr>
        <w:t>项目</w:t>
      </w:r>
      <w:r>
        <w:rPr>
          <w:rFonts w:hint="eastAsia" w:eastAsia="宋体" w:cs="Times New Roman"/>
          <w:b w:val="0"/>
          <w:bCs w:val="0"/>
          <w:color w:val="000000"/>
          <w:sz w:val="24"/>
          <w:szCs w:val="22"/>
          <w:lang w:val="en-US" w:eastAsia="zh-CN"/>
        </w:rPr>
        <w:t>平面布置图</w:t>
      </w:r>
    </w:p>
    <w:p w14:paraId="2B56A39D">
      <w:pPr>
        <w:widowControl/>
        <w:spacing w:line="360" w:lineRule="auto"/>
        <w:rPr>
          <w:rFonts w:hint="default" w:ascii="Times New Roman" w:hAnsi="Times New Roman" w:eastAsia="宋体" w:cs="Times New Roman"/>
          <w:b w:val="0"/>
          <w:bCs w:val="0"/>
          <w:color w:val="000000"/>
          <w:sz w:val="24"/>
          <w:szCs w:val="22"/>
          <w:lang w:val="en-US" w:eastAsia="zh-CN"/>
        </w:rPr>
      </w:pPr>
      <w:r>
        <w:rPr>
          <w:rFonts w:hint="eastAsia" w:eastAsia="宋体" w:cs="Times New Roman"/>
          <w:b w:val="0"/>
          <w:bCs w:val="0"/>
          <w:color w:val="000000"/>
          <w:sz w:val="24"/>
          <w:szCs w:val="22"/>
          <w:lang w:val="en-US" w:eastAsia="zh-CN"/>
        </w:rPr>
        <w:t>附图</w:t>
      </w:r>
      <w:r>
        <w:rPr>
          <w:rFonts w:hint="eastAsia" w:ascii="Times New Roman" w:hAnsi="Times New Roman" w:eastAsia="宋体" w:cs="Times New Roman"/>
          <w:b w:val="0"/>
          <w:bCs w:val="0"/>
          <w:color w:val="000000"/>
          <w:sz w:val="24"/>
          <w:szCs w:val="22"/>
          <w:lang w:val="en-US" w:eastAsia="zh-CN"/>
        </w:rPr>
        <w:t>5、</w:t>
      </w:r>
      <w:r>
        <w:rPr>
          <w:rFonts w:hint="eastAsia" w:ascii="Times New Roman" w:hAnsi="Times New Roman" w:eastAsia="宋体" w:cs="Times New Roman"/>
          <w:b w:val="0"/>
          <w:bCs w:val="0"/>
          <w:kern w:val="2"/>
          <w:sz w:val="24"/>
          <w:szCs w:val="22"/>
          <w:lang w:val="en-US" w:eastAsia="zh-CN" w:bidi="ar-SA"/>
        </w:rPr>
        <w:t>项目废气收集管线示意图</w:t>
      </w:r>
    </w:p>
    <w:p w14:paraId="4FFC6840">
      <w:pPr>
        <w:widowControl/>
        <w:spacing w:line="360" w:lineRule="auto"/>
        <w:rPr>
          <w:rFonts w:hint="default" w:ascii="Times New Roman" w:hAnsi="Times New Roman" w:eastAsia="宋体" w:cs="Times New Roman"/>
          <w:b w:val="0"/>
          <w:bCs w:val="0"/>
          <w:color w:val="000000"/>
          <w:sz w:val="24"/>
          <w:szCs w:val="22"/>
          <w:lang w:val="en-US" w:eastAsia="zh-CN"/>
        </w:rPr>
      </w:pPr>
      <w:r>
        <w:rPr>
          <w:rFonts w:hint="eastAsia" w:eastAsia="宋体" w:cs="Times New Roman"/>
          <w:b w:val="0"/>
          <w:bCs w:val="0"/>
          <w:color w:val="000000"/>
          <w:sz w:val="24"/>
          <w:szCs w:val="22"/>
          <w:lang w:val="en-US" w:eastAsia="zh-CN"/>
        </w:rPr>
        <w:t>附图6</w:t>
      </w:r>
      <w:r>
        <w:rPr>
          <w:rFonts w:hint="eastAsia" w:ascii="Times New Roman" w:hAnsi="Times New Roman" w:eastAsia="宋体" w:cs="Times New Roman"/>
          <w:b w:val="0"/>
          <w:bCs w:val="0"/>
          <w:color w:val="000000"/>
          <w:sz w:val="24"/>
          <w:szCs w:val="22"/>
          <w:lang w:val="en-US" w:eastAsia="zh-CN"/>
        </w:rPr>
        <w:t>、</w:t>
      </w:r>
      <w:r>
        <w:rPr>
          <w:rFonts w:hint="eastAsia" w:eastAsia="宋体" w:cs="Times New Roman"/>
          <w:b w:val="0"/>
          <w:bCs w:val="0"/>
          <w:color w:val="auto"/>
          <w:sz w:val="24"/>
          <w:szCs w:val="22"/>
          <w:lang w:val="en-US" w:eastAsia="zh-CN"/>
        </w:rPr>
        <w:t>项目</w:t>
      </w:r>
      <w:r>
        <w:rPr>
          <w:rFonts w:hint="eastAsia" w:ascii="Times New Roman" w:hAnsi="Times New Roman" w:eastAsia="宋体" w:cs="Times New Roman"/>
          <w:b w:val="0"/>
          <w:bCs w:val="0"/>
          <w:color w:val="auto"/>
          <w:sz w:val="24"/>
          <w:szCs w:val="22"/>
          <w:lang w:val="en-US" w:eastAsia="zh-CN"/>
        </w:rPr>
        <w:t>分区防渗</w:t>
      </w:r>
      <w:r>
        <w:rPr>
          <w:rFonts w:hint="default" w:ascii="Times New Roman" w:hAnsi="Times New Roman" w:eastAsia="宋体" w:cs="Times New Roman"/>
          <w:b w:val="0"/>
          <w:bCs w:val="0"/>
          <w:color w:val="auto"/>
          <w:sz w:val="24"/>
          <w:szCs w:val="22"/>
          <w:lang w:val="en-US" w:eastAsia="zh-CN"/>
        </w:rPr>
        <w:t>图</w:t>
      </w:r>
    </w:p>
    <w:p w14:paraId="0556F9E5">
      <w:pPr>
        <w:widowControl/>
        <w:spacing w:line="360" w:lineRule="auto"/>
        <w:rPr>
          <w:rFonts w:hint="default" w:ascii="Times New Roman" w:hAnsi="Times New Roman" w:eastAsia="宋体" w:cs="Times New Roman"/>
          <w:b w:val="0"/>
          <w:bCs w:val="0"/>
          <w:color w:val="auto"/>
          <w:sz w:val="24"/>
          <w:szCs w:val="22"/>
          <w:lang w:val="en-US" w:eastAsia="zh-CN"/>
        </w:rPr>
      </w:pPr>
      <w:r>
        <w:rPr>
          <w:rFonts w:hint="eastAsia" w:eastAsia="宋体" w:cs="Times New Roman"/>
          <w:b w:val="0"/>
          <w:bCs w:val="0"/>
          <w:color w:val="auto"/>
          <w:sz w:val="24"/>
          <w:szCs w:val="22"/>
          <w:lang w:val="en-US" w:eastAsia="zh-CN"/>
        </w:rPr>
        <w:t>附图</w:t>
      </w:r>
      <w:r>
        <w:rPr>
          <w:rFonts w:hint="eastAsia" w:ascii="Times New Roman" w:hAnsi="Times New Roman" w:eastAsia="宋体" w:cs="Times New Roman"/>
          <w:b w:val="0"/>
          <w:bCs w:val="0"/>
          <w:color w:val="auto"/>
          <w:sz w:val="24"/>
          <w:szCs w:val="22"/>
          <w:lang w:val="en-US" w:eastAsia="zh-CN"/>
        </w:rPr>
        <w:t>7、</w:t>
      </w:r>
      <w:r>
        <w:rPr>
          <w:rFonts w:hint="eastAsia" w:eastAsia="宋体" w:cs="Times New Roman"/>
          <w:b w:val="0"/>
          <w:bCs w:val="0"/>
          <w:color w:val="000000"/>
          <w:sz w:val="24"/>
          <w:szCs w:val="22"/>
          <w:lang w:val="en-US" w:eastAsia="zh-CN"/>
        </w:rPr>
        <w:t>项目</w:t>
      </w:r>
      <w:r>
        <w:rPr>
          <w:rFonts w:hint="eastAsia" w:cs="Times New Roman"/>
          <w:b w:val="0"/>
          <w:bCs w:val="0"/>
          <w:color w:val="000000"/>
          <w:sz w:val="24"/>
          <w:szCs w:val="22"/>
          <w:lang w:val="en-US" w:eastAsia="zh-CN"/>
        </w:rPr>
        <w:t>厂区</w:t>
      </w:r>
      <w:r>
        <w:rPr>
          <w:rFonts w:hint="eastAsia" w:eastAsia="宋体" w:cs="Times New Roman"/>
          <w:b w:val="0"/>
          <w:bCs w:val="0"/>
          <w:color w:val="000000"/>
          <w:sz w:val="24"/>
          <w:szCs w:val="22"/>
          <w:lang w:val="en-US" w:eastAsia="zh-CN"/>
        </w:rPr>
        <w:t>雨污管网图</w:t>
      </w:r>
    </w:p>
    <w:p w14:paraId="0EC0E9C0">
      <w:pPr>
        <w:widowControl/>
        <w:spacing w:line="360" w:lineRule="auto"/>
        <w:rPr>
          <w:rFonts w:hint="default" w:ascii="Times New Roman" w:hAnsi="Times New Roman" w:eastAsia="宋体" w:cs="Times New Roman"/>
          <w:b w:val="0"/>
          <w:bCs w:val="0"/>
          <w:color w:val="auto"/>
          <w:sz w:val="24"/>
          <w:szCs w:val="22"/>
          <w:lang w:val="en-US" w:eastAsia="zh-CN"/>
        </w:rPr>
      </w:pPr>
      <w:r>
        <w:rPr>
          <w:rFonts w:hint="eastAsia" w:eastAsia="宋体" w:cs="Times New Roman"/>
          <w:b w:val="0"/>
          <w:bCs w:val="0"/>
          <w:color w:val="auto"/>
          <w:sz w:val="24"/>
          <w:szCs w:val="22"/>
          <w:lang w:val="en-US" w:eastAsia="zh-CN"/>
        </w:rPr>
        <w:t>附图</w:t>
      </w:r>
      <w:r>
        <w:rPr>
          <w:rFonts w:hint="eastAsia" w:ascii="Times New Roman" w:hAnsi="Times New Roman" w:eastAsia="宋体" w:cs="Times New Roman"/>
          <w:b w:val="0"/>
          <w:bCs w:val="0"/>
          <w:color w:val="auto"/>
          <w:sz w:val="24"/>
          <w:szCs w:val="22"/>
          <w:lang w:val="en-US" w:eastAsia="zh-CN"/>
        </w:rPr>
        <w:t>8、项目与六安市环境管控单元图的相对位置</w:t>
      </w:r>
    </w:p>
    <w:p w14:paraId="3EC96D2C">
      <w:pPr>
        <w:rPr>
          <w:rFonts w:hint="default"/>
          <w:b/>
          <w:bCs/>
          <w:sz w:val="24"/>
          <w:szCs w:val="24"/>
          <w:lang w:val="en-US" w:eastAsia="zh-CN"/>
        </w:rPr>
      </w:pPr>
      <w:r>
        <w:rPr>
          <w:rFonts w:hint="eastAsia" w:eastAsia="宋体" w:cs="Times New Roman"/>
          <w:b w:val="0"/>
          <w:bCs w:val="0"/>
          <w:color w:val="auto"/>
          <w:sz w:val="24"/>
          <w:szCs w:val="22"/>
          <w:lang w:val="en-US" w:eastAsia="zh-CN"/>
        </w:rPr>
        <w:t>附图</w:t>
      </w:r>
      <w:r>
        <w:rPr>
          <w:rFonts w:hint="eastAsia" w:cs="Times New Roman"/>
          <w:b w:val="0"/>
          <w:bCs w:val="0"/>
          <w:color w:val="auto"/>
          <w:sz w:val="24"/>
          <w:szCs w:val="22"/>
          <w:lang w:val="en-US" w:eastAsia="zh-CN"/>
        </w:rPr>
        <w:t>9</w:t>
      </w:r>
      <w:r>
        <w:rPr>
          <w:rFonts w:hint="eastAsia" w:ascii="Times New Roman" w:hAnsi="Times New Roman" w:eastAsia="宋体" w:cs="Times New Roman"/>
          <w:b w:val="0"/>
          <w:bCs w:val="0"/>
          <w:color w:val="auto"/>
          <w:sz w:val="24"/>
          <w:szCs w:val="22"/>
          <w:lang w:val="en-US" w:eastAsia="zh-CN"/>
        </w:rPr>
        <w:t>、项目在安徽省“三线一单”环境管控单元中的位置</w:t>
      </w:r>
    </w:p>
    <w:sectPr>
      <w:footerReference r:id="rId6" w:type="default"/>
      <w:pgSz w:w="11906" w:h="16838"/>
      <w:pgMar w:top="1134" w:right="1134" w:bottom="1134" w:left="1134" w:header="851" w:footer="737" w:gutter="0"/>
      <w:pgNumType w:fmt="decimal"/>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Times New Roman;Symbol;Arial;婼">
    <w:altName w:val="黑体"/>
    <w:panose1 w:val="00000000000000000000"/>
    <w:charset w:val="86"/>
    <w:family w:val="auto"/>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MS Mincho">
    <w:altName w:val="Yu Gothic UI"/>
    <w:panose1 w:val="02020609040205080304"/>
    <w:charset w:val="80"/>
    <w:family w:val="modern"/>
    <w:pitch w:val="default"/>
    <w:sig w:usb0="00000000" w:usb1="00000000" w:usb2="00000012" w:usb3="00000000" w:csb0="4002009F" w:csb1="DFD70000"/>
  </w:font>
  <w:font w:name="Arial Unicode MS">
    <w:altName w:val="宋体"/>
    <w:panose1 w:val="020B0604020202020204"/>
    <w:charset w:val="86"/>
    <w:family w:val="auto"/>
    <w:pitch w:val="default"/>
    <w:sig w:usb0="00000000" w:usb1="00000000" w:usb2="0000003F" w:usb3="00000000" w:csb0="603F01FF" w:csb1="FFFF0000"/>
  </w:font>
  <w:font w:name="楷体_GB2312">
    <w:altName w:val="楷体"/>
    <w:panose1 w:val="02010609030101010101"/>
    <w:charset w:val="86"/>
    <w:family w:val="modern"/>
    <w:pitch w:val="default"/>
    <w:sig w:usb0="00000000" w:usb1="00000000" w:usb2="00000000" w:usb3="00000000" w:csb0="00040000" w:csb1="00000000"/>
  </w:font>
  <w:font w:name="新宋体">
    <w:panose1 w:val="02010609030101010101"/>
    <w:charset w:val="86"/>
    <w:family w:val="auto"/>
    <w:pitch w:val="default"/>
    <w:sig w:usb0="00000283" w:usb1="288F0000" w:usb2="00000006" w:usb3="00000000" w:csb0="00040001" w:csb1="00000000"/>
  </w:font>
  <w:font w:name="Wingdings 2">
    <w:altName w:val="Wingdings"/>
    <w:panose1 w:val="05020102010507070707"/>
    <w:charset w:val="02"/>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Wingdings">
    <w:panose1 w:val="05000000000000000000"/>
    <w:charset w:val="00"/>
    <w:family w:val="auto"/>
    <w:pitch w:val="default"/>
    <w:sig w:usb0="00000000" w:usb1="00000000" w:usb2="00000000" w:usb3="00000000" w:csb0="80000000" w:csb1="00000000"/>
  </w:font>
  <w:font w:name="Kingsoft UE">
    <w:panose1 w:val="02000100010000000000"/>
    <w:charset w:val="00"/>
    <w:family w:val="auto"/>
    <w:pitch w:val="default"/>
    <w:sig w:usb0="00000001" w:usb1="00004000" w:usb2="00000000" w:usb3="00000000" w:csb0="00000001" w:csb1="00000000"/>
  </w:font>
  <w:font w:name="仿宋">
    <w:panose1 w:val="02010609060101010101"/>
    <w:charset w:val="86"/>
    <w:family w:val="auto"/>
    <w:pitch w:val="default"/>
    <w:sig w:usb0="800002BF" w:usb1="38CF7CFA" w:usb2="00000016" w:usb3="00000000" w:csb0="00040001"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10EC8D">
    <w:pPr>
      <w:pStyle w:val="17"/>
      <w:tabs>
        <w:tab w:val="center" w:pos="4536"/>
        <w:tab w:val="clear" w:pos="4153"/>
      </w:tabs>
    </w:pPr>
    <w:r>
      <w:rPr>
        <w:rFonts w:hint="eastAsia"/>
        <w:lang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DC7CC3">
    <w:pPr>
      <w:pStyle w:val="17"/>
      <w:tabs>
        <w:tab w:val="center" w:pos="4536"/>
        <w:tab w:val="clear" w:pos="4153"/>
      </w:tabs>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 name="文本框 1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5CC039">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MCLg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VzAi4NAIAAGUEAAAOAAAAAAAAAAEAIAAAAB8BAABkcnMvZTJvRG9jLnhtbFBL&#10;BQYAAAAABgAGAFkBAADFBQAAAAA=&#10;">
              <v:fill on="f" focussize="0,0"/>
              <v:stroke on="f" weight="0.5pt"/>
              <v:imagedata o:title=""/>
              <o:lock v:ext="edit" aspectratio="f"/>
              <v:textbox inset="0mm,0mm,0mm,0mm" style="mso-fit-shape-to-text:t;">
                <w:txbxContent>
                  <w:p w14:paraId="2E5CC039">
                    <w:pPr>
                      <w:pStyle w:val="17"/>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C54C94">
    <w:pPr>
      <w:pStyle w:val="1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 name="文本框 1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7FA189">
                          <w:pPr>
                            <w:pStyle w:val="17"/>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kO2sYz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lydMLNlBLNFEp++fH9&#10;8vP35dc3Eg8hUW39HJE7i9jQvDMNwodzj8PIvCmcil9wIvBD4PNVYNEEwuOl2WQ2S+Hi8A0b4CdP&#10;163z4b0wikQjow4VbIVlp60PXegQErNps6mkbKsoNakzOr15m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kO2sYzAgAAZQQAAA4AAAAAAAAAAQAgAAAAHwEAAGRycy9lMm9Eb2MueG1sUEsF&#10;BgAAAAAGAAYAWQEAAMQFAAAAAA==&#10;">
              <v:fill on="f" focussize="0,0"/>
              <v:stroke on="f" weight="0.5pt"/>
              <v:imagedata o:title=""/>
              <o:lock v:ext="edit" aspectratio="f"/>
              <v:textbox inset="0mm,0mm,0mm,0mm" style="mso-fit-shape-to-text:t;">
                <w:txbxContent>
                  <w:p w14:paraId="467FA189">
                    <w:pPr>
                      <w:pStyle w:val="17"/>
                    </w:pPr>
                    <w:r>
                      <w:fldChar w:fldCharType="begin"/>
                    </w:r>
                    <w:r>
                      <w:instrText xml:space="preserve"> PAGE  \* MERGEFORMAT </w:instrText>
                    </w:r>
                    <w:r>
                      <w:fldChar w:fldCharType="separate"/>
                    </w:r>
                    <w:r>
                      <w:t>12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A16A66">
    <w:pPr>
      <w:pStyle w:val="1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6947BC7"/>
    <w:multiLevelType w:val="multilevel"/>
    <w:tmpl w:val="06947BC7"/>
    <w:lvl w:ilvl="0" w:tentative="0">
      <w:start w:val="1"/>
      <w:numFmt w:val="bullet"/>
      <w:lvlText w:val=""/>
      <w:lvlJc w:val="left"/>
      <w:pPr>
        <w:ind w:left="735" w:hanging="420"/>
      </w:pPr>
      <w:rPr>
        <w:rFonts w:hint="default" w:ascii="Wingdings" w:hAnsi="Wingdings"/>
      </w:rPr>
    </w:lvl>
    <w:lvl w:ilvl="1" w:tentative="0">
      <w:start w:val="1"/>
      <w:numFmt w:val="bullet"/>
      <w:lvlText w:val=""/>
      <w:lvlJc w:val="left"/>
      <w:pPr>
        <w:ind w:left="1155" w:hanging="420"/>
      </w:pPr>
      <w:rPr>
        <w:rFonts w:hint="default" w:ascii="Wingdings" w:hAnsi="Wingdings"/>
      </w:rPr>
    </w:lvl>
    <w:lvl w:ilvl="2" w:tentative="0">
      <w:start w:val="1"/>
      <w:numFmt w:val="bullet"/>
      <w:lvlText w:val=""/>
      <w:lvlJc w:val="left"/>
      <w:pPr>
        <w:ind w:left="1575" w:hanging="420"/>
      </w:pPr>
      <w:rPr>
        <w:rFonts w:hint="default" w:ascii="Wingdings" w:hAnsi="Wingdings"/>
      </w:rPr>
    </w:lvl>
    <w:lvl w:ilvl="3" w:tentative="0">
      <w:start w:val="1"/>
      <w:numFmt w:val="bullet"/>
      <w:lvlText w:val=""/>
      <w:lvlJc w:val="left"/>
      <w:pPr>
        <w:ind w:left="1995" w:hanging="420"/>
      </w:pPr>
      <w:rPr>
        <w:rFonts w:hint="default" w:ascii="Wingdings" w:hAnsi="Wingdings"/>
      </w:rPr>
    </w:lvl>
    <w:lvl w:ilvl="4" w:tentative="0">
      <w:start w:val="1"/>
      <w:numFmt w:val="bullet"/>
      <w:lvlText w:val=""/>
      <w:lvlJc w:val="left"/>
      <w:pPr>
        <w:ind w:left="2415" w:hanging="420"/>
      </w:pPr>
      <w:rPr>
        <w:rFonts w:hint="default" w:ascii="Wingdings" w:hAnsi="Wingdings"/>
      </w:rPr>
    </w:lvl>
    <w:lvl w:ilvl="5" w:tentative="0">
      <w:start w:val="1"/>
      <w:numFmt w:val="bullet"/>
      <w:lvlText w:val=""/>
      <w:lvlJc w:val="left"/>
      <w:pPr>
        <w:ind w:left="2835" w:hanging="420"/>
      </w:pPr>
      <w:rPr>
        <w:rFonts w:hint="default" w:ascii="Wingdings" w:hAnsi="Wingdings"/>
      </w:rPr>
    </w:lvl>
    <w:lvl w:ilvl="6" w:tentative="0">
      <w:start w:val="1"/>
      <w:numFmt w:val="bullet"/>
      <w:lvlText w:val=""/>
      <w:lvlJc w:val="left"/>
      <w:pPr>
        <w:ind w:left="3255" w:hanging="420"/>
      </w:pPr>
      <w:rPr>
        <w:rFonts w:hint="default" w:ascii="Wingdings" w:hAnsi="Wingdings"/>
      </w:rPr>
    </w:lvl>
    <w:lvl w:ilvl="7" w:tentative="0">
      <w:start w:val="1"/>
      <w:numFmt w:val="bullet"/>
      <w:lvlText w:val=""/>
      <w:lvlJc w:val="left"/>
      <w:pPr>
        <w:ind w:left="3675" w:hanging="420"/>
      </w:pPr>
      <w:rPr>
        <w:rFonts w:hint="default" w:ascii="Wingdings" w:hAnsi="Wingdings"/>
      </w:rPr>
    </w:lvl>
    <w:lvl w:ilvl="8" w:tentative="0">
      <w:start w:val="1"/>
      <w:numFmt w:val="bullet"/>
      <w:lvlText w:val=""/>
      <w:lvlJc w:val="left"/>
      <w:pPr>
        <w:ind w:left="4095" w:hanging="420"/>
      </w:pPr>
      <w:rPr>
        <w:rFonts w:hint="default" w:ascii="Wingdings" w:hAnsi="Wingdings"/>
      </w:rPr>
    </w:lvl>
  </w:abstractNum>
  <w:abstractNum w:abstractNumId="1">
    <w:nsid w:val="41862CA9"/>
    <w:multiLevelType w:val="multilevel"/>
    <w:tmpl w:val="41862CA9"/>
    <w:lvl w:ilvl="0" w:tentative="0">
      <w:start w:val="1"/>
      <w:numFmt w:val="decimal"/>
      <w:suff w:val="space"/>
      <w:lvlText w:val="%1"/>
      <w:lvlJc w:val="left"/>
      <w:pPr>
        <w:ind w:left="0" w:firstLine="0"/>
      </w:pPr>
      <w:rPr>
        <w:rFonts w:hint="eastAsia"/>
        <w:sz w:val="30"/>
        <w:szCs w:val="30"/>
      </w:rPr>
    </w:lvl>
    <w:lvl w:ilvl="1" w:tentative="0">
      <w:start w:val="1"/>
      <w:numFmt w:val="decimal"/>
      <w:pStyle w:val="34"/>
      <w:suff w:val="space"/>
      <w:lvlText w:val="%1.%2"/>
      <w:lvlJc w:val="left"/>
      <w:pPr>
        <w:ind w:left="1560" w:firstLine="0"/>
      </w:pPr>
      <w:rPr>
        <w:rFonts w:hint="default" w:ascii="Arial" w:hAnsi="Arial"/>
      </w:rPr>
    </w:lvl>
    <w:lvl w:ilvl="2" w:tentative="0">
      <w:start w:val="1"/>
      <w:numFmt w:val="decimal"/>
      <w:suff w:val="space"/>
      <w:lvlText w:val="%1.%2.%3"/>
      <w:lvlJc w:val="left"/>
      <w:pPr>
        <w:ind w:left="994" w:hanging="426"/>
      </w:pPr>
      <w:rPr>
        <w:rFonts w:hint="default" w:ascii="Arial" w:hAnsi="Arial"/>
      </w:rPr>
    </w:lvl>
    <w:lvl w:ilvl="3" w:tentative="0">
      <w:start w:val="1"/>
      <w:numFmt w:val="decimal"/>
      <w:suff w:val="nothing"/>
      <w:lvlText w:val="%1.%2.%3.%4"/>
      <w:lvlJc w:val="left"/>
      <w:pPr>
        <w:ind w:left="851" w:hanging="851"/>
      </w:pPr>
      <w:rPr>
        <w:rFonts w:hint="eastAsia" w:ascii="Arial" w:hAnsi="Arial"/>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documentProtection w:enforcement="0"/>
  <w:defaultTabStop w:val="420"/>
  <w:hyphenationZone w:val="360"/>
  <w:drawingGridVerticalSpacing w:val="163"/>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ZlOThkOWIyODNhNzg1MTA2NzljNzBmNTgzZjRkZWUifQ=="/>
  </w:docVars>
  <w:rsids>
    <w:rsidRoot w:val="59534AFA"/>
    <w:rsid w:val="002B7F80"/>
    <w:rsid w:val="006714B7"/>
    <w:rsid w:val="00704336"/>
    <w:rsid w:val="00B30BFA"/>
    <w:rsid w:val="00CB5A10"/>
    <w:rsid w:val="00E46AD2"/>
    <w:rsid w:val="00F1191B"/>
    <w:rsid w:val="01187135"/>
    <w:rsid w:val="014F219D"/>
    <w:rsid w:val="01626374"/>
    <w:rsid w:val="018646FA"/>
    <w:rsid w:val="01973B44"/>
    <w:rsid w:val="01A36F1C"/>
    <w:rsid w:val="01AA3877"/>
    <w:rsid w:val="01BE060D"/>
    <w:rsid w:val="01E97A16"/>
    <w:rsid w:val="027728BA"/>
    <w:rsid w:val="02D352AB"/>
    <w:rsid w:val="030A3F71"/>
    <w:rsid w:val="03173132"/>
    <w:rsid w:val="036A19BD"/>
    <w:rsid w:val="037F0E46"/>
    <w:rsid w:val="03B17EEE"/>
    <w:rsid w:val="03BD78DA"/>
    <w:rsid w:val="03BF19CF"/>
    <w:rsid w:val="03C62C46"/>
    <w:rsid w:val="03E272F9"/>
    <w:rsid w:val="03E65E46"/>
    <w:rsid w:val="03EF6984"/>
    <w:rsid w:val="04155920"/>
    <w:rsid w:val="043155AC"/>
    <w:rsid w:val="044007C9"/>
    <w:rsid w:val="04564616"/>
    <w:rsid w:val="0465327E"/>
    <w:rsid w:val="046607D3"/>
    <w:rsid w:val="0467582A"/>
    <w:rsid w:val="04795523"/>
    <w:rsid w:val="04931E29"/>
    <w:rsid w:val="04AF6FA2"/>
    <w:rsid w:val="04D41288"/>
    <w:rsid w:val="04FB2943"/>
    <w:rsid w:val="051802FB"/>
    <w:rsid w:val="0568445E"/>
    <w:rsid w:val="056E0E76"/>
    <w:rsid w:val="057667D8"/>
    <w:rsid w:val="05B9052D"/>
    <w:rsid w:val="05BC61F1"/>
    <w:rsid w:val="05CB200E"/>
    <w:rsid w:val="05CD5D86"/>
    <w:rsid w:val="05E5304E"/>
    <w:rsid w:val="05EE7CDA"/>
    <w:rsid w:val="05F56414"/>
    <w:rsid w:val="06011DB5"/>
    <w:rsid w:val="06186679"/>
    <w:rsid w:val="06620BC5"/>
    <w:rsid w:val="0665774C"/>
    <w:rsid w:val="06BD2796"/>
    <w:rsid w:val="06C66496"/>
    <w:rsid w:val="06DC67E6"/>
    <w:rsid w:val="07043A2A"/>
    <w:rsid w:val="07107BC6"/>
    <w:rsid w:val="07402518"/>
    <w:rsid w:val="074C2CB3"/>
    <w:rsid w:val="07C67E4A"/>
    <w:rsid w:val="07DC06AE"/>
    <w:rsid w:val="07E92A57"/>
    <w:rsid w:val="080A233D"/>
    <w:rsid w:val="08191757"/>
    <w:rsid w:val="081B5540"/>
    <w:rsid w:val="082F77ED"/>
    <w:rsid w:val="0835162C"/>
    <w:rsid w:val="086E6028"/>
    <w:rsid w:val="08760957"/>
    <w:rsid w:val="087E0E21"/>
    <w:rsid w:val="088650D2"/>
    <w:rsid w:val="08A13B4A"/>
    <w:rsid w:val="08C937D7"/>
    <w:rsid w:val="08D37B58"/>
    <w:rsid w:val="09042164"/>
    <w:rsid w:val="09336848"/>
    <w:rsid w:val="09374251"/>
    <w:rsid w:val="0939701B"/>
    <w:rsid w:val="09617E80"/>
    <w:rsid w:val="09665C01"/>
    <w:rsid w:val="0973230E"/>
    <w:rsid w:val="09912FD4"/>
    <w:rsid w:val="09914781"/>
    <w:rsid w:val="099F2248"/>
    <w:rsid w:val="09A17C56"/>
    <w:rsid w:val="09A53E28"/>
    <w:rsid w:val="09B47989"/>
    <w:rsid w:val="09CB6244"/>
    <w:rsid w:val="09E010FC"/>
    <w:rsid w:val="0A0F696E"/>
    <w:rsid w:val="0A3B59B5"/>
    <w:rsid w:val="0AA07B94"/>
    <w:rsid w:val="0AA52AC2"/>
    <w:rsid w:val="0ABF0394"/>
    <w:rsid w:val="0AD52E85"/>
    <w:rsid w:val="0ADE474B"/>
    <w:rsid w:val="0B554710"/>
    <w:rsid w:val="0B61144B"/>
    <w:rsid w:val="0B670CD9"/>
    <w:rsid w:val="0B7750AD"/>
    <w:rsid w:val="0BD037E1"/>
    <w:rsid w:val="0C05627A"/>
    <w:rsid w:val="0C2C48DD"/>
    <w:rsid w:val="0C30006E"/>
    <w:rsid w:val="0C56372E"/>
    <w:rsid w:val="0C61547A"/>
    <w:rsid w:val="0C7271E8"/>
    <w:rsid w:val="0C794DA7"/>
    <w:rsid w:val="0C871385"/>
    <w:rsid w:val="0C9E699C"/>
    <w:rsid w:val="0CEB1945"/>
    <w:rsid w:val="0CF758F9"/>
    <w:rsid w:val="0D092848"/>
    <w:rsid w:val="0D125146"/>
    <w:rsid w:val="0D153A38"/>
    <w:rsid w:val="0D166098"/>
    <w:rsid w:val="0D3A776C"/>
    <w:rsid w:val="0D481FC8"/>
    <w:rsid w:val="0D4A16EE"/>
    <w:rsid w:val="0D60591B"/>
    <w:rsid w:val="0D7F0E26"/>
    <w:rsid w:val="0D807953"/>
    <w:rsid w:val="0E085AEA"/>
    <w:rsid w:val="0E455D33"/>
    <w:rsid w:val="0E694A7B"/>
    <w:rsid w:val="0E715598"/>
    <w:rsid w:val="0E7E51DC"/>
    <w:rsid w:val="0EA3256B"/>
    <w:rsid w:val="0EB97B7A"/>
    <w:rsid w:val="0EC72A54"/>
    <w:rsid w:val="0EF15FF9"/>
    <w:rsid w:val="0EF4446C"/>
    <w:rsid w:val="0F436867"/>
    <w:rsid w:val="0F657030"/>
    <w:rsid w:val="0F941583"/>
    <w:rsid w:val="0FA3149C"/>
    <w:rsid w:val="0FAF608D"/>
    <w:rsid w:val="0FBC0ED4"/>
    <w:rsid w:val="0FDC3796"/>
    <w:rsid w:val="0FFF2191"/>
    <w:rsid w:val="10050D42"/>
    <w:rsid w:val="10234FF5"/>
    <w:rsid w:val="10306CD3"/>
    <w:rsid w:val="10380596"/>
    <w:rsid w:val="103B675D"/>
    <w:rsid w:val="104D2E82"/>
    <w:rsid w:val="10802373"/>
    <w:rsid w:val="10816EB5"/>
    <w:rsid w:val="109127D2"/>
    <w:rsid w:val="1091305C"/>
    <w:rsid w:val="10BB0342"/>
    <w:rsid w:val="10C94C79"/>
    <w:rsid w:val="11286879"/>
    <w:rsid w:val="114F7F97"/>
    <w:rsid w:val="11625F1D"/>
    <w:rsid w:val="11762AB2"/>
    <w:rsid w:val="118A0FD0"/>
    <w:rsid w:val="11A35EB9"/>
    <w:rsid w:val="11AF750F"/>
    <w:rsid w:val="11B430C1"/>
    <w:rsid w:val="11C7003B"/>
    <w:rsid w:val="11F707CD"/>
    <w:rsid w:val="12040D82"/>
    <w:rsid w:val="120926B0"/>
    <w:rsid w:val="120D6C84"/>
    <w:rsid w:val="1226519C"/>
    <w:rsid w:val="12340A42"/>
    <w:rsid w:val="123B7EAD"/>
    <w:rsid w:val="123C1A6D"/>
    <w:rsid w:val="12655CC4"/>
    <w:rsid w:val="12986104"/>
    <w:rsid w:val="12C2259F"/>
    <w:rsid w:val="12D961DD"/>
    <w:rsid w:val="12FC1D19"/>
    <w:rsid w:val="1321657D"/>
    <w:rsid w:val="133A6F68"/>
    <w:rsid w:val="133B4C77"/>
    <w:rsid w:val="13542023"/>
    <w:rsid w:val="13723297"/>
    <w:rsid w:val="13946135"/>
    <w:rsid w:val="13F54834"/>
    <w:rsid w:val="13FA1C04"/>
    <w:rsid w:val="13FC53EC"/>
    <w:rsid w:val="13FE1DAC"/>
    <w:rsid w:val="144E0338"/>
    <w:rsid w:val="14613A8A"/>
    <w:rsid w:val="1468336F"/>
    <w:rsid w:val="146928CB"/>
    <w:rsid w:val="147351BC"/>
    <w:rsid w:val="147E4E1C"/>
    <w:rsid w:val="14B6095C"/>
    <w:rsid w:val="153F4579"/>
    <w:rsid w:val="15894446"/>
    <w:rsid w:val="158D16D2"/>
    <w:rsid w:val="15981F0D"/>
    <w:rsid w:val="159822B4"/>
    <w:rsid w:val="15E96C0C"/>
    <w:rsid w:val="15ED08B7"/>
    <w:rsid w:val="15FD7FC2"/>
    <w:rsid w:val="16070E41"/>
    <w:rsid w:val="160D04F7"/>
    <w:rsid w:val="162F7AC9"/>
    <w:rsid w:val="16565924"/>
    <w:rsid w:val="165F4CB9"/>
    <w:rsid w:val="1666003C"/>
    <w:rsid w:val="16785B49"/>
    <w:rsid w:val="16864214"/>
    <w:rsid w:val="168B1A72"/>
    <w:rsid w:val="169056B1"/>
    <w:rsid w:val="16966EDF"/>
    <w:rsid w:val="16AE1A74"/>
    <w:rsid w:val="16CF5B9A"/>
    <w:rsid w:val="17204973"/>
    <w:rsid w:val="17710C52"/>
    <w:rsid w:val="177C1ED3"/>
    <w:rsid w:val="17A67C94"/>
    <w:rsid w:val="17B86896"/>
    <w:rsid w:val="17D82A47"/>
    <w:rsid w:val="17E53404"/>
    <w:rsid w:val="17E75AE8"/>
    <w:rsid w:val="17E851AF"/>
    <w:rsid w:val="17E94ACC"/>
    <w:rsid w:val="17FA3762"/>
    <w:rsid w:val="17FC6D4E"/>
    <w:rsid w:val="184150E7"/>
    <w:rsid w:val="184D5FAE"/>
    <w:rsid w:val="187350D3"/>
    <w:rsid w:val="18762FD9"/>
    <w:rsid w:val="187C1429"/>
    <w:rsid w:val="18AD1606"/>
    <w:rsid w:val="18B30656"/>
    <w:rsid w:val="18B50FE4"/>
    <w:rsid w:val="18D3325C"/>
    <w:rsid w:val="18FC305F"/>
    <w:rsid w:val="190D208D"/>
    <w:rsid w:val="19205183"/>
    <w:rsid w:val="19295175"/>
    <w:rsid w:val="193347E5"/>
    <w:rsid w:val="193C37AA"/>
    <w:rsid w:val="199B0F62"/>
    <w:rsid w:val="19A12038"/>
    <w:rsid w:val="19A40BD7"/>
    <w:rsid w:val="19D01F2A"/>
    <w:rsid w:val="1A166959"/>
    <w:rsid w:val="1A2D03E4"/>
    <w:rsid w:val="1A4334AB"/>
    <w:rsid w:val="1A4D521D"/>
    <w:rsid w:val="1A7809A6"/>
    <w:rsid w:val="1A957C8B"/>
    <w:rsid w:val="1ADA4909"/>
    <w:rsid w:val="1AEC5E09"/>
    <w:rsid w:val="1AF64029"/>
    <w:rsid w:val="1AF80208"/>
    <w:rsid w:val="1AFC6A9A"/>
    <w:rsid w:val="1B132036"/>
    <w:rsid w:val="1B207A5A"/>
    <w:rsid w:val="1B2C6201"/>
    <w:rsid w:val="1B4D4DB6"/>
    <w:rsid w:val="1B52211D"/>
    <w:rsid w:val="1B726753"/>
    <w:rsid w:val="1BAD3423"/>
    <w:rsid w:val="1BB04A04"/>
    <w:rsid w:val="1BBD1204"/>
    <w:rsid w:val="1BBE1FA1"/>
    <w:rsid w:val="1BE834C2"/>
    <w:rsid w:val="1BFC2ACA"/>
    <w:rsid w:val="1C0D26CA"/>
    <w:rsid w:val="1C273FEB"/>
    <w:rsid w:val="1C4C6CEB"/>
    <w:rsid w:val="1C6C43CF"/>
    <w:rsid w:val="1C6F1257"/>
    <w:rsid w:val="1C8C0008"/>
    <w:rsid w:val="1C8C424C"/>
    <w:rsid w:val="1CA06A08"/>
    <w:rsid w:val="1CA23671"/>
    <w:rsid w:val="1CA9134B"/>
    <w:rsid w:val="1CAB729A"/>
    <w:rsid w:val="1CBC0C1E"/>
    <w:rsid w:val="1CCB6654"/>
    <w:rsid w:val="1D106F2D"/>
    <w:rsid w:val="1D1B6C68"/>
    <w:rsid w:val="1D510531"/>
    <w:rsid w:val="1D5F5991"/>
    <w:rsid w:val="1D6442A4"/>
    <w:rsid w:val="1D864D41"/>
    <w:rsid w:val="1DCF57C6"/>
    <w:rsid w:val="1DD44768"/>
    <w:rsid w:val="1DDD07CB"/>
    <w:rsid w:val="1DED3012"/>
    <w:rsid w:val="1DFB572F"/>
    <w:rsid w:val="1E0D0FBE"/>
    <w:rsid w:val="1E1E6850"/>
    <w:rsid w:val="1EA1731E"/>
    <w:rsid w:val="1EA272B7"/>
    <w:rsid w:val="1EBE31F7"/>
    <w:rsid w:val="1EBF1BBB"/>
    <w:rsid w:val="1ECC01DA"/>
    <w:rsid w:val="1F3A4035"/>
    <w:rsid w:val="1F40231C"/>
    <w:rsid w:val="1F417AEB"/>
    <w:rsid w:val="1F680BA2"/>
    <w:rsid w:val="1FC50940"/>
    <w:rsid w:val="1FEE540B"/>
    <w:rsid w:val="1FFF4D76"/>
    <w:rsid w:val="20036F50"/>
    <w:rsid w:val="20541191"/>
    <w:rsid w:val="207B2B57"/>
    <w:rsid w:val="208E6C32"/>
    <w:rsid w:val="20903643"/>
    <w:rsid w:val="20C06B32"/>
    <w:rsid w:val="20C8504D"/>
    <w:rsid w:val="20E372A7"/>
    <w:rsid w:val="210717BD"/>
    <w:rsid w:val="2115549C"/>
    <w:rsid w:val="214B3CDC"/>
    <w:rsid w:val="21650A0A"/>
    <w:rsid w:val="21806E67"/>
    <w:rsid w:val="21AB131F"/>
    <w:rsid w:val="21D05AAF"/>
    <w:rsid w:val="21DB5DB3"/>
    <w:rsid w:val="22017037"/>
    <w:rsid w:val="22081361"/>
    <w:rsid w:val="223E64F8"/>
    <w:rsid w:val="224D407F"/>
    <w:rsid w:val="225200BA"/>
    <w:rsid w:val="22564FF3"/>
    <w:rsid w:val="228D34EE"/>
    <w:rsid w:val="22A567B9"/>
    <w:rsid w:val="22B02893"/>
    <w:rsid w:val="22B42A8C"/>
    <w:rsid w:val="22EF66FA"/>
    <w:rsid w:val="2302176C"/>
    <w:rsid w:val="230E4E3B"/>
    <w:rsid w:val="231D1B23"/>
    <w:rsid w:val="232D17BC"/>
    <w:rsid w:val="2335124E"/>
    <w:rsid w:val="23355512"/>
    <w:rsid w:val="235C028A"/>
    <w:rsid w:val="2372162E"/>
    <w:rsid w:val="23826D78"/>
    <w:rsid w:val="23952977"/>
    <w:rsid w:val="239C6D05"/>
    <w:rsid w:val="23AE43C8"/>
    <w:rsid w:val="23AE55B0"/>
    <w:rsid w:val="23BA7B8F"/>
    <w:rsid w:val="23C07DBA"/>
    <w:rsid w:val="23D81EA0"/>
    <w:rsid w:val="23E40A13"/>
    <w:rsid w:val="23E80503"/>
    <w:rsid w:val="24206A34"/>
    <w:rsid w:val="24274E22"/>
    <w:rsid w:val="244C574D"/>
    <w:rsid w:val="245B5428"/>
    <w:rsid w:val="2490748A"/>
    <w:rsid w:val="2513252D"/>
    <w:rsid w:val="25416B4F"/>
    <w:rsid w:val="254A6B5C"/>
    <w:rsid w:val="25781E37"/>
    <w:rsid w:val="259C6FF0"/>
    <w:rsid w:val="25AF331D"/>
    <w:rsid w:val="25B51880"/>
    <w:rsid w:val="25F77242"/>
    <w:rsid w:val="25F815D4"/>
    <w:rsid w:val="25FA2FA7"/>
    <w:rsid w:val="262C537D"/>
    <w:rsid w:val="26382790"/>
    <w:rsid w:val="264F6618"/>
    <w:rsid w:val="266A1781"/>
    <w:rsid w:val="2672580F"/>
    <w:rsid w:val="267E5BE1"/>
    <w:rsid w:val="26A1293F"/>
    <w:rsid w:val="26A60202"/>
    <w:rsid w:val="26B40119"/>
    <w:rsid w:val="26BC58A5"/>
    <w:rsid w:val="26BD7E68"/>
    <w:rsid w:val="26C90DC8"/>
    <w:rsid w:val="26CD1C32"/>
    <w:rsid w:val="26F70ADE"/>
    <w:rsid w:val="26FF0BAA"/>
    <w:rsid w:val="27196197"/>
    <w:rsid w:val="27301259"/>
    <w:rsid w:val="273D2914"/>
    <w:rsid w:val="273F6FDA"/>
    <w:rsid w:val="27450A35"/>
    <w:rsid w:val="27595274"/>
    <w:rsid w:val="275D7EEF"/>
    <w:rsid w:val="27677991"/>
    <w:rsid w:val="27DE2AD0"/>
    <w:rsid w:val="27FC2BB9"/>
    <w:rsid w:val="280D33A0"/>
    <w:rsid w:val="28210F07"/>
    <w:rsid w:val="282D0BDB"/>
    <w:rsid w:val="283D6944"/>
    <w:rsid w:val="284249A6"/>
    <w:rsid w:val="284578AA"/>
    <w:rsid w:val="284C403F"/>
    <w:rsid w:val="285C3CAA"/>
    <w:rsid w:val="28C01BB3"/>
    <w:rsid w:val="28EF7C3E"/>
    <w:rsid w:val="291476A5"/>
    <w:rsid w:val="291A2CE5"/>
    <w:rsid w:val="291A7335"/>
    <w:rsid w:val="291E0C65"/>
    <w:rsid w:val="294613F5"/>
    <w:rsid w:val="29657F00"/>
    <w:rsid w:val="296C7386"/>
    <w:rsid w:val="29705B8D"/>
    <w:rsid w:val="29A56F03"/>
    <w:rsid w:val="29B57FF4"/>
    <w:rsid w:val="29F448DC"/>
    <w:rsid w:val="2A442176"/>
    <w:rsid w:val="2A566999"/>
    <w:rsid w:val="2A834AE2"/>
    <w:rsid w:val="2A847BC3"/>
    <w:rsid w:val="2A8500C6"/>
    <w:rsid w:val="2AC340D4"/>
    <w:rsid w:val="2AC86261"/>
    <w:rsid w:val="2ADA66CC"/>
    <w:rsid w:val="2B397896"/>
    <w:rsid w:val="2B4D5E22"/>
    <w:rsid w:val="2BAD25BD"/>
    <w:rsid w:val="2BB346AD"/>
    <w:rsid w:val="2BCC2939"/>
    <w:rsid w:val="2BD10F44"/>
    <w:rsid w:val="2BDD62C6"/>
    <w:rsid w:val="2BFE3CB2"/>
    <w:rsid w:val="2C215C08"/>
    <w:rsid w:val="2C42580D"/>
    <w:rsid w:val="2C5865F5"/>
    <w:rsid w:val="2C715C20"/>
    <w:rsid w:val="2C8D1999"/>
    <w:rsid w:val="2C9F7BCD"/>
    <w:rsid w:val="2CAC7EF6"/>
    <w:rsid w:val="2CC87124"/>
    <w:rsid w:val="2CC91630"/>
    <w:rsid w:val="2D0A3299"/>
    <w:rsid w:val="2D0F2BD3"/>
    <w:rsid w:val="2D1728EF"/>
    <w:rsid w:val="2D744825"/>
    <w:rsid w:val="2D993347"/>
    <w:rsid w:val="2DA51213"/>
    <w:rsid w:val="2DC07372"/>
    <w:rsid w:val="2E222864"/>
    <w:rsid w:val="2E297534"/>
    <w:rsid w:val="2E3146E1"/>
    <w:rsid w:val="2E5566BD"/>
    <w:rsid w:val="2E577184"/>
    <w:rsid w:val="2E617973"/>
    <w:rsid w:val="2E7E2B53"/>
    <w:rsid w:val="2E7F66AB"/>
    <w:rsid w:val="2EB12461"/>
    <w:rsid w:val="2EB2469E"/>
    <w:rsid w:val="2EB77731"/>
    <w:rsid w:val="2EBE07DF"/>
    <w:rsid w:val="2EF579BE"/>
    <w:rsid w:val="2F087BFB"/>
    <w:rsid w:val="2F4F05BC"/>
    <w:rsid w:val="2F4F4DBB"/>
    <w:rsid w:val="2FAA537B"/>
    <w:rsid w:val="30116FD9"/>
    <w:rsid w:val="302208F9"/>
    <w:rsid w:val="302B7229"/>
    <w:rsid w:val="303B4AFC"/>
    <w:rsid w:val="304A52DC"/>
    <w:rsid w:val="3071362F"/>
    <w:rsid w:val="308C0468"/>
    <w:rsid w:val="308F4732"/>
    <w:rsid w:val="30C84BF8"/>
    <w:rsid w:val="30FA1F94"/>
    <w:rsid w:val="3125593A"/>
    <w:rsid w:val="313446F1"/>
    <w:rsid w:val="31440D43"/>
    <w:rsid w:val="31837ABD"/>
    <w:rsid w:val="31A66C1C"/>
    <w:rsid w:val="31BB3917"/>
    <w:rsid w:val="31CD326B"/>
    <w:rsid w:val="31E7630B"/>
    <w:rsid w:val="31EA4E21"/>
    <w:rsid w:val="31F13C7C"/>
    <w:rsid w:val="322C3D5B"/>
    <w:rsid w:val="32343B2A"/>
    <w:rsid w:val="325D3E6B"/>
    <w:rsid w:val="326B08AF"/>
    <w:rsid w:val="327F1B76"/>
    <w:rsid w:val="32987720"/>
    <w:rsid w:val="32997781"/>
    <w:rsid w:val="32A36DA2"/>
    <w:rsid w:val="32EB3949"/>
    <w:rsid w:val="331D10D1"/>
    <w:rsid w:val="335377D2"/>
    <w:rsid w:val="3356734B"/>
    <w:rsid w:val="33572FB0"/>
    <w:rsid w:val="338B10A1"/>
    <w:rsid w:val="339A4EDD"/>
    <w:rsid w:val="33CB5EC6"/>
    <w:rsid w:val="33FE10AB"/>
    <w:rsid w:val="340D12A1"/>
    <w:rsid w:val="342568D0"/>
    <w:rsid w:val="342677C4"/>
    <w:rsid w:val="343141FD"/>
    <w:rsid w:val="343A7E80"/>
    <w:rsid w:val="344B0F1F"/>
    <w:rsid w:val="345D3F41"/>
    <w:rsid w:val="346F2601"/>
    <w:rsid w:val="347A24AD"/>
    <w:rsid w:val="349C39BF"/>
    <w:rsid w:val="34A47DF3"/>
    <w:rsid w:val="34AF16A5"/>
    <w:rsid w:val="34D759C7"/>
    <w:rsid w:val="34E95165"/>
    <w:rsid w:val="34EF0FC6"/>
    <w:rsid w:val="350C5C16"/>
    <w:rsid w:val="354C573E"/>
    <w:rsid w:val="358B4025"/>
    <w:rsid w:val="35BC17F0"/>
    <w:rsid w:val="35E06A14"/>
    <w:rsid w:val="3605325B"/>
    <w:rsid w:val="36353E73"/>
    <w:rsid w:val="364B71D0"/>
    <w:rsid w:val="36515ED4"/>
    <w:rsid w:val="3652129D"/>
    <w:rsid w:val="368F10CE"/>
    <w:rsid w:val="36CB3977"/>
    <w:rsid w:val="36F61341"/>
    <w:rsid w:val="374C6B66"/>
    <w:rsid w:val="37532F0D"/>
    <w:rsid w:val="3778230F"/>
    <w:rsid w:val="377C617A"/>
    <w:rsid w:val="378161A3"/>
    <w:rsid w:val="378264F9"/>
    <w:rsid w:val="37967058"/>
    <w:rsid w:val="37983C52"/>
    <w:rsid w:val="37A2475A"/>
    <w:rsid w:val="37C3052D"/>
    <w:rsid w:val="37D30833"/>
    <w:rsid w:val="37E24893"/>
    <w:rsid w:val="37ED163A"/>
    <w:rsid w:val="38063430"/>
    <w:rsid w:val="38163439"/>
    <w:rsid w:val="38284F1B"/>
    <w:rsid w:val="388C732B"/>
    <w:rsid w:val="38B62526"/>
    <w:rsid w:val="38BF2042"/>
    <w:rsid w:val="38DD12D8"/>
    <w:rsid w:val="39072B5C"/>
    <w:rsid w:val="395D2841"/>
    <w:rsid w:val="397B240E"/>
    <w:rsid w:val="39AC1F8D"/>
    <w:rsid w:val="39C944DB"/>
    <w:rsid w:val="39DA1E63"/>
    <w:rsid w:val="3A0C782D"/>
    <w:rsid w:val="3A161247"/>
    <w:rsid w:val="3A192D6D"/>
    <w:rsid w:val="3A1F40FB"/>
    <w:rsid w:val="3A230127"/>
    <w:rsid w:val="3A2C628E"/>
    <w:rsid w:val="3A327C7A"/>
    <w:rsid w:val="3A3927B7"/>
    <w:rsid w:val="3A6E4D36"/>
    <w:rsid w:val="3A726160"/>
    <w:rsid w:val="3AA66A9D"/>
    <w:rsid w:val="3AB36E7F"/>
    <w:rsid w:val="3AB60A25"/>
    <w:rsid w:val="3AEC7524"/>
    <w:rsid w:val="3B023010"/>
    <w:rsid w:val="3B1C7231"/>
    <w:rsid w:val="3B291D75"/>
    <w:rsid w:val="3B2B6BC5"/>
    <w:rsid w:val="3B3559B4"/>
    <w:rsid w:val="3B356D2A"/>
    <w:rsid w:val="3B5960C5"/>
    <w:rsid w:val="3B6251B3"/>
    <w:rsid w:val="3B7010B2"/>
    <w:rsid w:val="3BA7084C"/>
    <w:rsid w:val="3BCA2062"/>
    <w:rsid w:val="3BCB09DF"/>
    <w:rsid w:val="3BD80B43"/>
    <w:rsid w:val="3BFB7461"/>
    <w:rsid w:val="3C190223"/>
    <w:rsid w:val="3C2423DC"/>
    <w:rsid w:val="3C312B4E"/>
    <w:rsid w:val="3C807D06"/>
    <w:rsid w:val="3CD379D0"/>
    <w:rsid w:val="3CF950D8"/>
    <w:rsid w:val="3D0F66A9"/>
    <w:rsid w:val="3D1E681E"/>
    <w:rsid w:val="3D4C5A19"/>
    <w:rsid w:val="3D624A2B"/>
    <w:rsid w:val="3D74577A"/>
    <w:rsid w:val="3D7D1865"/>
    <w:rsid w:val="3D8C44AB"/>
    <w:rsid w:val="3D9A57E8"/>
    <w:rsid w:val="3D9E2096"/>
    <w:rsid w:val="3DA51546"/>
    <w:rsid w:val="3DA861D8"/>
    <w:rsid w:val="3DB944DE"/>
    <w:rsid w:val="3DE82D59"/>
    <w:rsid w:val="3DEE028C"/>
    <w:rsid w:val="3DF45942"/>
    <w:rsid w:val="3E0B1F8D"/>
    <w:rsid w:val="3E355B75"/>
    <w:rsid w:val="3E5F5B6F"/>
    <w:rsid w:val="3E796183"/>
    <w:rsid w:val="3E990A11"/>
    <w:rsid w:val="3EA80133"/>
    <w:rsid w:val="3ED035DB"/>
    <w:rsid w:val="3ED81055"/>
    <w:rsid w:val="3EF31CC7"/>
    <w:rsid w:val="3EF616FD"/>
    <w:rsid w:val="3F060986"/>
    <w:rsid w:val="3F0946F6"/>
    <w:rsid w:val="3F0E4FE2"/>
    <w:rsid w:val="3F3855C7"/>
    <w:rsid w:val="3F3946A1"/>
    <w:rsid w:val="3F527060"/>
    <w:rsid w:val="3FA77FBD"/>
    <w:rsid w:val="3FD323A1"/>
    <w:rsid w:val="40176AA4"/>
    <w:rsid w:val="40381FE1"/>
    <w:rsid w:val="404B67E3"/>
    <w:rsid w:val="40655B09"/>
    <w:rsid w:val="40850AF6"/>
    <w:rsid w:val="40A22482"/>
    <w:rsid w:val="40B17962"/>
    <w:rsid w:val="40D64581"/>
    <w:rsid w:val="40F2750E"/>
    <w:rsid w:val="41060AEA"/>
    <w:rsid w:val="41112D93"/>
    <w:rsid w:val="41121B67"/>
    <w:rsid w:val="41126768"/>
    <w:rsid w:val="412E3B2C"/>
    <w:rsid w:val="415D3190"/>
    <w:rsid w:val="41C01B34"/>
    <w:rsid w:val="41DB6F8F"/>
    <w:rsid w:val="41EA43EB"/>
    <w:rsid w:val="42072F7D"/>
    <w:rsid w:val="420909DE"/>
    <w:rsid w:val="420E0EA5"/>
    <w:rsid w:val="42116435"/>
    <w:rsid w:val="42213106"/>
    <w:rsid w:val="424F4FB2"/>
    <w:rsid w:val="42630D9F"/>
    <w:rsid w:val="42664E9F"/>
    <w:rsid w:val="426D6019"/>
    <w:rsid w:val="42892A5A"/>
    <w:rsid w:val="42984AD5"/>
    <w:rsid w:val="42AB2EA7"/>
    <w:rsid w:val="430635A6"/>
    <w:rsid w:val="432B7427"/>
    <w:rsid w:val="434F15AD"/>
    <w:rsid w:val="43500820"/>
    <w:rsid w:val="43B254E8"/>
    <w:rsid w:val="43BE4985"/>
    <w:rsid w:val="43C46838"/>
    <w:rsid w:val="43E50164"/>
    <w:rsid w:val="43E6024D"/>
    <w:rsid w:val="43F10917"/>
    <w:rsid w:val="43FF7A8A"/>
    <w:rsid w:val="44116024"/>
    <w:rsid w:val="4421038E"/>
    <w:rsid w:val="442A00A6"/>
    <w:rsid w:val="442C0B16"/>
    <w:rsid w:val="44397A2A"/>
    <w:rsid w:val="4473791B"/>
    <w:rsid w:val="44782D86"/>
    <w:rsid w:val="44843FA1"/>
    <w:rsid w:val="44882FDB"/>
    <w:rsid w:val="449063CD"/>
    <w:rsid w:val="44D0772C"/>
    <w:rsid w:val="44ED4AD7"/>
    <w:rsid w:val="44FD01B2"/>
    <w:rsid w:val="45595946"/>
    <w:rsid w:val="45852502"/>
    <w:rsid w:val="45871E21"/>
    <w:rsid w:val="45E55AA0"/>
    <w:rsid w:val="45F70820"/>
    <w:rsid w:val="45F8193C"/>
    <w:rsid w:val="462F7D81"/>
    <w:rsid w:val="46622D25"/>
    <w:rsid w:val="469A44F2"/>
    <w:rsid w:val="46C92A66"/>
    <w:rsid w:val="46D1677D"/>
    <w:rsid w:val="46E06812"/>
    <w:rsid w:val="46FD389F"/>
    <w:rsid w:val="4703102D"/>
    <w:rsid w:val="470D5A07"/>
    <w:rsid w:val="470F0E71"/>
    <w:rsid w:val="471871E7"/>
    <w:rsid w:val="471A2B65"/>
    <w:rsid w:val="471A64AA"/>
    <w:rsid w:val="475660A7"/>
    <w:rsid w:val="475766B2"/>
    <w:rsid w:val="476664E1"/>
    <w:rsid w:val="4774766F"/>
    <w:rsid w:val="478C6171"/>
    <w:rsid w:val="478D5A61"/>
    <w:rsid w:val="479C02A8"/>
    <w:rsid w:val="47DB0D69"/>
    <w:rsid w:val="480C51E0"/>
    <w:rsid w:val="482B396C"/>
    <w:rsid w:val="48375BA2"/>
    <w:rsid w:val="48461DCB"/>
    <w:rsid w:val="484D62D8"/>
    <w:rsid w:val="484E0A7A"/>
    <w:rsid w:val="48574E46"/>
    <w:rsid w:val="48693111"/>
    <w:rsid w:val="487F790E"/>
    <w:rsid w:val="48844747"/>
    <w:rsid w:val="488C6E00"/>
    <w:rsid w:val="48B12D0A"/>
    <w:rsid w:val="48CC6FBF"/>
    <w:rsid w:val="48D559EF"/>
    <w:rsid w:val="48F2314D"/>
    <w:rsid w:val="48F70083"/>
    <w:rsid w:val="48FF3A76"/>
    <w:rsid w:val="491413DE"/>
    <w:rsid w:val="491D3EFC"/>
    <w:rsid w:val="49205DBC"/>
    <w:rsid w:val="494B6CBB"/>
    <w:rsid w:val="496375B4"/>
    <w:rsid w:val="49CE70ED"/>
    <w:rsid w:val="49F522EE"/>
    <w:rsid w:val="4A0310D9"/>
    <w:rsid w:val="4A137751"/>
    <w:rsid w:val="4A1F33E2"/>
    <w:rsid w:val="4A2D4613"/>
    <w:rsid w:val="4A3F7C1A"/>
    <w:rsid w:val="4A4F5359"/>
    <w:rsid w:val="4A782793"/>
    <w:rsid w:val="4A785F06"/>
    <w:rsid w:val="4A7F6E97"/>
    <w:rsid w:val="4A80186C"/>
    <w:rsid w:val="4A991541"/>
    <w:rsid w:val="4A9E7381"/>
    <w:rsid w:val="4AA63883"/>
    <w:rsid w:val="4AC210F2"/>
    <w:rsid w:val="4AD2726D"/>
    <w:rsid w:val="4AD61AA4"/>
    <w:rsid w:val="4AE44CD1"/>
    <w:rsid w:val="4B150F4D"/>
    <w:rsid w:val="4B15132F"/>
    <w:rsid w:val="4B317AB5"/>
    <w:rsid w:val="4B334488"/>
    <w:rsid w:val="4B3F675E"/>
    <w:rsid w:val="4BA91A77"/>
    <w:rsid w:val="4BE90277"/>
    <w:rsid w:val="4C1D2836"/>
    <w:rsid w:val="4C3C7D3F"/>
    <w:rsid w:val="4C5B0307"/>
    <w:rsid w:val="4CE13820"/>
    <w:rsid w:val="4CE904EB"/>
    <w:rsid w:val="4CEC682C"/>
    <w:rsid w:val="4D0D47D1"/>
    <w:rsid w:val="4D2112A5"/>
    <w:rsid w:val="4D22624F"/>
    <w:rsid w:val="4D253A54"/>
    <w:rsid w:val="4D471EEE"/>
    <w:rsid w:val="4D5428FF"/>
    <w:rsid w:val="4D637F33"/>
    <w:rsid w:val="4D7357D6"/>
    <w:rsid w:val="4D926C66"/>
    <w:rsid w:val="4D9964EA"/>
    <w:rsid w:val="4D9F6104"/>
    <w:rsid w:val="4DAC4487"/>
    <w:rsid w:val="4DF04305"/>
    <w:rsid w:val="4DFC6B6A"/>
    <w:rsid w:val="4E04568A"/>
    <w:rsid w:val="4E056DB5"/>
    <w:rsid w:val="4E057A5F"/>
    <w:rsid w:val="4E0707AC"/>
    <w:rsid w:val="4E2921AA"/>
    <w:rsid w:val="4E2A77A0"/>
    <w:rsid w:val="4E3D5F4C"/>
    <w:rsid w:val="4E5B34FC"/>
    <w:rsid w:val="4E5C4170"/>
    <w:rsid w:val="4E7D4C18"/>
    <w:rsid w:val="4E8209C3"/>
    <w:rsid w:val="4E866351"/>
    <w:rsid w:val="4E9E2CAC"/>
    <w:rsid w:val="4EAA20D9"/>
    <w:rsid w:val="4ED85AE1"/>
    <w:rsid w:val="4ED96B17"/>
    <w:rsid w:val="4EE74D90"/>
    <w:rsid w:val="4F0D6D0F"/>
    <w:rsid w:val="4F12783F"/>
    <w:rsid w:val="4F3567DD"/>
    <w:rsid w:val="4F6F72B5"/>
    <w:rsid w:val="4F7A317B"/>
    <w:rsid w:val="4F921E82"/>
    <w:rsid w:val="4FD7064C"/>
    <w:rsid w:val="4FDB79C1"/>
    <w:rsid w:val="4FEA768C"/>
    <w:rsid w:val="501620BF"/>
    <w:rsid w:val="502A6461"/>
    <w:rsid w:val="504E0C5B"/>
    <w:rsid w:val="505001DB"/>
    <w:rsid w:val="505E5526"/>
    <w:rsid w:val="50633B2E"/>
    <w:rsid w:val="50956197"/>
    <w:rsid w:val="5099030C"/>
    <w:rsid w:val="50FD5278"/>
    <w:rsid w:val="516C329E"/>
    <w:rsid w:val="516E126B"/>
    <w:rsid w:val="51852E8D"/>
    <w:rsid w:val="51A65D94"/>
    <w:rsid w:val="51B20865"/>
    <w:rsid w:val="51B73AEB"/>
    <w:rsid w:val="51CB29DF"/>
    <w:rsid w:val="51E067CA"/>
    <w:rsid w:val="51FF2A2C"/>
    <w:rsid w:val="52480C83"/>
    <w:rsid w:val="52484447"/>
    <w:rsid w:val="52726D02"/>
    <w:rsid w:val="52864F85"/>
    <w:rsid w:val="52C41B74"/>
    <w:rsid w:val="52FE4FB7"/>
    <w:rsid w:val="53051C89"/>
    <w:rsid w:val="530B0716"/>
    <w:rsid w:val="530C262F"/>
    <w:rsid w:val="532540D9"/>
    <w:rsid w:val="5335579A"/>
    <w:rsid w:val="53734875"/>
    <w:rsid w:val="538434F5"/>
    <w:rsid w:val="53A539DB"/>
    <w:rsid w:val="53AC5A3B"/>
    <w:rsid w:val="53F6754E"/>
    <w:rsid w:val="541753B7"/>
    <w:rsid w:val="542C5C75"/>
    <w:rsid w:val="546918E2"/>
    <w:rsid w:val="547148FC"/>
    <w:rsid w:val="548B0716"/>
    <w:rsid w:val="54D1231B"/>
    <w:rsid w:val="550B06F3"/>
    <w:rsid w:val="55212432"/>
    <w:rsid w:val="55546E44"/>
    <w:rsid w:val="55592760"/>
    <w:rsid w:val="556660B8"/>
    <w:rsid w:val="556F2F20"/>
    <w:rsid w:val="557650C0"/>
    <w:rsid w:val="55820654"/>
    <w:rsid w:val="55972106"/>
    <w:rsid w:val="55A75E67"/>
    <w:rsid w:val="55AD3C64"/>
    <w:rsid w:val="55C04947"/>
    <w:rsid w:val="55E9023B"/>
    <w:rsid w:val="56086CA2"/>
    <w:rsid w:val="56282140"/>
    <w:rsid w:val="563E2642"/>
    <w:rsid w:val="564B78FF"/>
    <w:rsid w:val="564E7D4A"/>
    <w:rsid w:val="565D4CDE"/>
    <w:rsid w:val="56634178"/>
    <w:rsid w:val="569213CD"/>
    <w:rsid w:val="56992E65"/>
    <w:rsid w:val="569C5C71"/>
    <w:rsid w:val="56A57230"/>
    <w:rsid w:val="56B55BB2"/>
    <w:rsid w:val="56B714EC"/>
    <w:rsid w:val="56C700A4"/>
    <w:rsid w:val="56C7297A"/>
    <w:rsid w:val="56CE204F"/>
    <w:rsid w:val="56D36709"/>
    <w:rsid w:val="56DB4EEC"/>
    <w:rsid w:val="57325016"/>
    <w:rsid w:val="5741432E"/>
    <w:rsid w:val="574B60D8"/>
    <w:rsid w:val="57697B72"/>
    <w:rsid w:val="57743881"/>
    <w:rsid w:val="57771405"/>
    <w:rsid w:val="57C97479"/>
    <w:rsid w:val="57DD0290"/>
    <w:rsid w:val="57E4364A"/>
    <w:rsid w:val="57E919C7"/>
    <w:rsid w:val="581733B2"/>
    <w:rsid w:val="5819779A"/>
    <w:rsid w:val="582A3F3F"/>
    <w:rsid w:val="584658BF"/>
    <w:rsid w:val="584F3ACF"/>
    <w:rsid w:val="58861B20"/>
    <w:rsid w:val="58AC5AC4"/>
    <w:rsid w:val="58E03E92"/>
    <w:rsid w:val="590314DC"/>
    <w:rsid w:val="591A50B0"/>
    <w:rsid w:val="593037D7"/>
    <w:rsid w:val="59433CC3"/>
    <w:rsid w:val="594B0FDB"/>
    <w:rsid w:val="59534AFA"/>
    <w:rsid w:val="595474C6"/>
    <w:rsid w:val="59735F89"/>
    <w:rsid w:val="598547C2"/>
    <w:rsid w:val="59870C2E"/>
    <w:rsid w:val="5987789B"/>
    <w:rsid w:val="5996188C"/>
    <w:rsid w:val="599A7B66"/>
    <w:rsid w:val="59AA3003"/>
    <w:rsid w:val="59C51D1E"/>
    <w:rsid w:val="59D015DB"/>
    <w:rsid w:val="59D5044C"/>
    <w:rsid w:val="59D83487"/>
    <w:rsid w:val="59DF4F30"/>
    <w:rsid w:val="59EF30A8"/>
    <w:rsid w:val="5A3207FA"/>
    <w:rsid w:val="5A41113F"/>
    <w:rsid w:val="5A4D1F71"/>
    <w:rsid w:val="5A5B00B4"/>
    <w:rsid w:val="5A6251EC"/>
    <w:rsid w:val="5AD824E1"/>
    <w:rsid w:val="5B257C1B"/>
    <w:rsid w:val="5B2C13B7"/>
    <w:rsid w:val="5BC05EF6"/>
    <w:rsid w:val="5BC11595"/>
    <w:rsid w:val="5BC87CF7"/>
    <w:rsid w:val="5BD84C53"/>
    <w:rsid w:val="5BEB53B8"/>
    <w:rsid w:val="5BF01928"/>
    <w:rsid w:val="5BF94355"/>
    <w:rsid w:val="5C4371FC"/>
    <w:rsid w:val="5C4B6CC8"/>
    <w:rsid w:val="5C6040D1"/>
    <w:rsid w:val="5C954DB9"/>
    <w:rsid w:val="5CCB3F43"/>
    <w:rsid w:val="5CCC1A69"/>
    <w:rsid w:val="5D0A52A7"/>
    <w:rsid w:val="5D4879A9"/>
    <w:rsid w:val="5D4A2F31"/>
    <w:rsid w:val="5D6B252A"/>
    <w:rsid w:val="5D6E48CE"/>
    <w:rsid w:val="5D872255"/>
    <w:rsid w:val="5D8A594A"/>
    <w:rsid w:val="5DA47510"/>
    <w:rsid w:val="5DAC3A56"/>
    <w:rsid w:val="5DAE4240"/>
    <w:rsid w:val="5DB40730"/>
    <w:rsid w:val="5DD23FED"/>
    <w:rsid w:val="5DE849F0"/>
    <w:rsid w:val="5DE93431"/>
    <w:rsid w:val="5E510E7D"/>
    <w:rsid w:val="5E5B22EC"/>
    <w:rsid w:val="5E5E2B95"/>
    <w:rsid w:val="5E753E54"/>
    <w:rsid w:val="5E8B46FA"/>
    <w:rsid w:val="5E8D7FDA"/>
    <w:rsid w:val="5EAC3900"/>
    <w:rsid w:val="5EB708DA"/>
    <w:rsid w:val="5EC74941"/>
    <w:rsid w:val="5EE66E12"/>
    <w:rsid w:val="5EED6F7E"/>
    <w:rsid w:val="5F123A97"/>
    <w:rsid w:val="5F335961"/>
    <w:rsid w:val="5F4104EC"/>
    <w:rsid w:val="5F476E59"/>
    <w:rsid w:val="5F5E7B36"/>
    <w:rsid w:val="5F6479CF"/>
    <w:rsid w:val="5F7E34EF"/>
    <w:rsid w:val="5F882773"/>
    <w:rsid w:val="5F887772"/>
    <w:rsid w:val="5F9C39B9"/>
    <w:rsid w:val="5FB65C45"/>
    <w:rsid w:val="5FBF0F0E"/>
    <w:rsid w:val="5FCC24AC"/>
    <w:rsid w:val="5FD21C2C"/>
    <w:rsid w:val="5FD633BE"/>
    <w:rsid w:val="60065C4A"/>
    <w:rsid w:val="603451D7"/>
    <w:rsid w:val="60453078"/>
    <w:rsid w:val="605B630B"/>
    <w:rsid w:val="609657E6"/>
    <w:rsid w:val="60B759A6"/>
    <w:rsid w:val="60D333C6"/>
    <w:rsid w:val="60DE6B1A"/>
    <w:rsid w:val="60FA6BA5"/>
    <w:rsid w:val="610D60C2"/>
    <w:rsid w:val="611B712C"/>
    <w:rsid w:val="612E58B2"/>
    <w:rsid w:val="612F7116"/>
    <w:rsid w:val="61395D69"/>
    <w:rsid w:val="616F767E"/>
    <w:rsid w:val="61897F29"/>
    <w:rsid w:val="619807B2"/>
    <w:rsid w:val="61A56B7F"/>
    <w:rsid w:val="61D457FB"/>
    <w:rsid w:val="61E849F7"/>
    <w:rsid w:val="621C3C3C"/>
    <w:rsid w:val="621F7D06"/>
    <w:rsid w:val="624858D6"/>
    <w:rsid w:val="62504962"/>
    <w:rsid w:val="6261761D"/>
    <w:rsid w:val="627668F2"/>
    <w:rsid w:val="628C518C"/>
    <w:rsid w:val="62A51FFE"/>
    <w:rsid w:val="62D47306"/>
    <w:rsid w:val="62D6259F"/>
    <w:rsid w:val="62D6719E"/>
    <w:rsid w:val="62F93EDF"/>
    <w:rsid w:val="62FC4FC1"/>
    <w:rsid w:val="632B3CC0"/>
    <w:rsid w:val="63316ACA"/>
    <w:rsid w:val="63775EFE"/>
    <w:rsid w:val="638B21D9"/>
    <w:rsid w:val="63F11CA6"/>
    <w:rsid w:val="63FE69AC"/>
    <w:rsid w:val="640A51D8"/>
    <w:rsid w:val="64265F03"/>
    <w:rsid w:val="643F6C3F"/>
    <w:rsid w:val="647749E8"/>
    <w:rsid w:val="64857F53"/>
    <w:rsid w:val="64881087"/>
    <w:rsid w:val="6488692F"/>
    <w:rsid w:val="64A137DB"/>
    <w:rsid w:val="64CC6AAA"/>
    <w:rsid w:val="64DD0CB7"/>
    <w:rsid w:val="64E45F80"/>
    <w:rsid w:val="64FC7C17"/>
    <w:rsid w:val="653012E0"/>
    <w:rsid w:val="65332685"/>
    <w:rsid w:val="65694280"/>
    <w:rsid w:val="657467A8"/>
    <w:rsid w:val="65914E14"/>
    <w:rsid w:val="659C16C7"/>
    <w:rsid w:val="659E26E6"/>
    <w:rsid w:val="65B5337B"/>
    <w:rsid w:val="65CC5E25"/>
    <w:rsid w:val="65CD0E73"/>
    <w:rsid w:val="65F0017C"/>
    <w:rsid w:val="66221530"/>
    <w:rsid w:val="662621EA"/>
    <w:rsid w:val="667629E0"/>
    <w:rsid w:val="66F54263"/>
    <w:rsid w:val="66F84475"/>
    <w:rsid w:val="66FF2C18"/>
    <w:rsid w:val="670A3CCD"/>
    <w:rsid w:val="670B1A13"/>
    <w:rsid w:val="67245EA9"/>
    <w:rsid w:val="67323E94"/>
    <w:rsid w:val="6742045F"/>
    <w:rsid w:val="67650AF0"/>
    <w:rsid w:val="67966EFB"/>
    <w:rsid w:val="67B1299B"/>
    <w:rsid w:val="67DD6572"/>
    <w:rsid w:val="67FC0D2C"/>
    <w:rsid w:val="685F7FCA"/>
    <w:rsid w:val="686A5F5A"/>
    <w:rsid w:val="686B0388"/>
    <w:rsid w:val="68906041"/>
    <w:rsid w:val="68941A30"/>
    <w:rsid w:val="68983F79"/>
    <w:rsid w:val="68A105B0"/>
    <w:rsid w:val="68AF64C7"/>
    <w:rsid w:val="68BA6981"/>
    <w:rsid w:val="68BD110E"/>
    <w:rsid w:val="68D75A1D"/>
    <w:rsid w:val="68DC3345"/>
    <w:rsid w:val="68E06239"/>
    <w:rsid w:val="68E64616"/>
    <w:rsid w:val="68F67D55"/>
    <w:rsid w:val="69085BD7"/>
    <w:rsid w:val="691310EB"/>
    <w:rsid w:val="69203525"/>
    <w:rsid w:val="692D021E"/>
    <w:rsid w:val="69646B5E"/>
    <w:rsid w:val="69684D9A"/>
    <w:rsid w:val="69885B84"/>
    <w:rsid w:val="69C441F4"/>
    <w:rsid w:val="69D548EF"/>
    <w:rsid w:val="69D94566"/>
    <w:rsid w:val="6A0600AE"/>
    <w:rsid w:val="6A2409DD"/>
    <w:rsid w:val="6A3F1970"/>
    <w:rsid w:val="6A447D82"/>
    <w:rsid w:val="6A7A2B04"/>
    <w:rsid w:val="6AC86C64"/>
    <w:rsid w:val="6AD16691"/>
    <w:rsid w:val="6AD2581B"/>
    <w:rsid w:val="6B12670E"/>
    <w:rsid w:val="6B165F77"/>
    <w:rsid w:val="6B7E1BC6"/>
    <w:rsid w:val="6B7F4D5C"/>
    <w:rsid w:val="6B9A2446"/>
    <w:rsid w:val="6BA8470E"/>
    <w:rsid w:val="6BAE1FFF"/>
    <w:rsid w:val="6BD15C49"/>
    <w:rsid w:val="6C104441"/>
    <w:rsid w:val="6C1D0529"/>
    <w:rsid w:val="6C315445"/>
    <w:rsid w:val="6C473C7F"/>
    <w:rsid w:val="6C9619A0"/>
    <w:rsid w:val="6CC71E74"/>
    <w:rsid w:val="6CCB4EE5"/>
    <w:rsid w:val="6D294600"/>
    <w:rsid w:val="6D2E7511"/>
    <w:rsid w:val="6D331D60"/>
    <w:rsid w:val="6D702F92"/>
    <w:rsid w:val="6D7A201A"/>
    <w:rsid w:val="6D845630"/>
    <w:rsid w:val="6DC347C2"/>
    <w:rsid w:val="6DF130DE"/>
    <w:rsid w:val="6DFB2481"/>
    <w:rsid w:val="6E001573"/>
    <w:rsid w:val="6E1F67A8"/>
    <w:rsid w:val="6E285A21"/>
    <w:rsid w:val="6E3662C2"/>
    <w:rsid w:val="6E3A025A"/>
    <w:rsid w:val="6E453456"/>
    <w:rsid w:val="6E7D0905"/>
    <w:rsid w:val="6E875563"/>
    <w:rsid w:val="6E9F4AF2"/>
    <w:rsid w:val="6ED6157C"/>
    <w:rsid w:val="6EDC1FE0"/>
    <w:rsid w:val="6EDE271B"/>
    <w:rsid w:val="6EFE2197"/>
    <w:rsid w:val="6F14710D"/>
    <w:rsid w:val="6F3A0AB4"/>
    <w:rsid w:val="6F54601A"/>
    <w:rsid w:val="6F5D49E0"/>
    <w:rsid w:val="6F6A7CB4"/>
    <w:rsid w:val="6FCC3B68"/>
    <w:rsid w:val="6FFF4392"/>
    <w:rsid w:val="70455963"/>
    <w:rsid w:val="70C27732"/>
    <w:rsid w:val="70D53711"/>
    <w:rsid w:val="70D94139"/>
    <w:rsid w:val="70D95985"/>
    <w:rsid w:val="70F66181"/>
    <w:rsid w:val="71193077"/>
    <w:rsid w:val="71507C1D"/>
    <w:rsid w:val="715215C0"/>
    <w:rsid w:val="716F0775"/>
    <w:rsid w:val="71960F98"/>
    <w:rsid w:val="71A77FFF"/>
    <w:rsid w:val="71CB0FFB"/>
    <w:rsid w:val="71D85855"/>
    <w:rsid w:val="71F36972"/>
    <w:rsid w:val="71FE596B"/>
    <w:rsid w:val="720D5442"/>
    <w:rsid w:val="721271D0"/>
    <w:rsid w:val="723107FC"/>
    <w:rsid w:val="72543D9A"/>
    <w:rsid w:val="728F3F45"/>
    <w:rsid w:val="72934F99"/>
    <w:rsid w:val="72D6553A"/>
    <w:rsid w:val="73062345"/>
    <w:rsid w:val="730805F5"/>
    <w:rsid w:val="734A7774"/>
    <w:rsid w:val="738930F9"/>
    <w:rsid w:val="738B600F"/>
    <w:rsid w:val="738F5872"/>
    <w:rsid w:val="7391343C"/>
    <w:rsid w:val="744102A7"/>
    <w:rsid w:val="74603708"/>
    <w:rsid w:val="748C1DB2"/>
    <w:rsid w:val="74B8445B"/>
    <w:rsid w:val="74C52CCA"/>
    <w:rsid w:val="74DA192E"/>
    <w:rsid w:val="74F040EF"/>
    <w:rsid w:val="74F62BB2"/>
    <w:rsid w:val="75403042"/>
    <w:rsid w:val="75A11EC2"/>
    <w:rsid w:val="75BC17E0"/>
    <w:rsid w:val="75CB690A"/>
    <w:rsid w:val="75D2590E"/>
    <w:rsid w:val="75DC336F"/>
    <w:rsid w:val="75E55C1E"/>
    <w:rsid w:val="75F75EB1"/>
    <w:rsid w:val="760750FB"/>
    <w:rsid w:val="763224E5"/>
    <w:rsid w:val="763C323C"/>
    <w:rsid w:val="763D41F6"/>
    <w:rsid w:val="766801C3"/>
    <w:rsid w:val="76A35E31"/>
    <w:rsid w:val="76A80432"/>
    <w:rsid w:val="76B63116"/>
    <w:rsid w:val="76BB072D"/>
    <w:rsid w:val="76F53804"/>
    <w:rsid w:val="76FE28E3"/>
    <w:rsid w:val="770E1343"/>
    <w:rsid w:val="771D5E14"/>
    <w:rsid w:val="7750356B"/>
    <w:rsid w:val="776A77B9"/>
    <w:rsid w:val="77C879E1"/>
    <w:rsid w:val="77D522BC"/>
    <w:rsid w:val="78144CA2"/>
    <w:rsid w:val="781F558F"/>
    <w:rsid w:val="78393FFF"/>
    <w:rsid w:val="783B338F"/>
    <w:rsid w:val="7885256C"/>
    <w:rsid w:val="788C08A3"/>
    <w:rsid w:val="788F655B"/>
    <w:rsid w:val="789D0237"/>
    <w:rsid w:val="78B17EA7"/>
    <w:rsid w:val="78BF2340"/>
    <w:rsid w:val="78C32E1B"/>
    <w:rsid w:val="78C82CAB"/>
    <w:rsid w:val="7901664B"/>
    <w:rsid w:val="790269B2"/>
    <w:rsid w:val="79386620"/>
    <w:rsid w:val="795B1435"/>
    <w:rsid w:val="796C0DB6"/>
    <w:rsid w:val="79B06543"/>
    <w:rsid w:val="79DF4119"/>
    <w:rsid w:val="79FB3904"/>
    <w:rsid w:val="7A1B7E60"/>
    <w:rsid w:val="7A282246"/>
    <w:rsid w:val="7A650736"/>
    <w:rsid w:val="7A8F1FA9"/>
    <w:rsid w:val="7AFF4087"/>
    <w:rsid w:val="7B0D7117"/>
    <w:rsid w:val="7B16195B"/>
    <w:rsid w:val="7B2F002B"/>
    <w:rsid w:val="7B4F58E7"/>
    <w:rsid w:val="7B643141"/>
    <w:rsid w:val="7B68345F"/>
    <w:rsid w:val="7B6E5D6D"/>
    <w:rsid w:val="7B850B4A"/>
    <w:rsid w:val="7B8E2E38"/>
    <w:rsid w:val="7BC41024"/>
    <w:rsid w:val="7BCC55EF"/>
    <w:rsid w:val="7BCE4A5E"/>
    <w:rsid w:val="7C015CA2"/>
    <w:rsid w:val="7C1E6788"/>
    <w:rsid w:val="7C2A02E3"/>
    <w:rsid w:val="7C2D283D"/>
    <w:rsid w:val="7C38637B"/>
    <w:rsid w:val="7C606D66"/>
    <w:rsid w:val="7C664584"/>
    <w:rsid w:val="7C673175"/>
    <w:rsid w:val="7C6A0C2B"/>
    <w:rsid w:val="7C936578"/>
    <w:rsid w:val="7CB37868"/>
    <w:rsid w:val="7CC0222D"/>
    <w:rsid w:val="7CD6759C"/>
    <w:rsid w:val="7D252DA4"/>
    <w:rsid w:val="7D474AC8"/>
    <w:rsid w:val="7D966716"/>
    <w:rsid w:val="7D995326"/>
    <w:rsid w:val="7D9B3455"/>
    <w:rsid w:val="7DA34D4D"/>
    <w:rsid w:val="7DC409A9"/>
    <w:rsid w:val="7DDA3220"/>
    <w:rsid w:val="7DDA7AFF"/>
    <w:rsid w:val="7DE70059"/>
    <w:rsid w:val="7E1E65CC"/>
    <w:rsid w:val="7E2D26C4"/>
    <w:rsid w:val="7E5C5697"/>
    <w:rsid w:val="7E6B47E6"/>
    <w:rsid w:val="7E7F22EF"/>
    <w:rsid w:val="7E865AC4"/>
    <w:rsid w:val="7EB84490"/>
    <w:rsid w:val="7EFE3C58"/>
    <w:rsid w:val="7F03257B"/>
    <w:rsid w:val="7F0D3312"/>
    <w:rsid w:val="7F532551"/>
    <w:rsid w:val="7F581804"/>
    <w:rsid w:val="7F58739D"/>
    <w:rsid w:val="7F7C790D"/>
    <w:rsid w:val="7F947D6D"/>
    <w:rsid w:val="7FA416E0"/>
    <w:rsid w:val="7FA501CC"/>
    <w:rsid w:val="7FB7114A"/>
    <w:rsid w:val="7FBC1E54"/>
    <w:rsid w:val="7FC112BE"/>
    <w:rsid w:val="7FD21E45"/>
    <w:rsid w:val="7FEC5B4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qFormat="1" w:unhideWhenUsed="0" w:uiPriority="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iPriority="99"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iPriority="99" w:semiHidden="0" w:name="Body Text Indent 2"/>
    <w:lsdException w:unhideWhenUsed="0" w:uiPriority="0" w:semiHidden="0" w:name="Body Text Indent 3"/>
    <w:lsdException w:qFormat="1"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qFormat="1" w:uiPriority="99"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qFormat="1"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Times New Roman" w:hAnsi="Times New Roman" w:eastAsia="宋体" w:cs="Times New Roman"/>
      <w:sz w:val="24"/>
      <w:szCs w:val="22"/>
      <w:lang w:val="en-US" w:eastAsia="en-US" w:bidi="ar-SA"/>
    </w:rPr>
  </w:style>
  <w:style w:type="paragraph" w:styleId="2">
    <w:name w:val="heading 1"/>
    <w:basedOn w:val="1"/>
    <w:next w:val="1"/>
    <w:link w:val="36"/>
    <w:qFormat/>
    <w:uiPriority w:val="0"/>
    <w:pPr>
      <w:keepNext/>
      <w:keepLines/>
      <w:spacing w:before="100" w:beforeLines="0" w:beforeAutospacing="0" w:after="100" w:afterLines="0" w:afterAutospacing="0" w:line="360" w:lineRule="auto"/>
      <w:jc w:val="center"/>
      <w:outlineLvl w:val="0"/>
    </w:pPr>
    <w:rPr>
      <w:rFonts w:eastAsia="黑体"/>
      <w:b/>
      <w:kern w:val="44"/>
      <w:sz w:val="36"/>
      <w:szCs w:val="24"/>
      <w:lang w:eastAsia="zh-CN"/>
    </w:rPr>
  </w:style>
  <w:style w:type="paragraph" w:styleId="3">
    <w:name w:val="heading 2"/>
    <w:basedOn w:val="1"/>
    <w:next w:val="1"/>
    <w:unhideWhenUsed/>
    <w:qFormat/>
    <w:uiPriority w:val="0"/>
    <w:pPr>
      <w:keepNext/>
      <w:keepLines/>
      <w:spacing w:before="60" w:beforeLines="0" w:beforeAutospacing="0" w:after="60" w:afterLines="0" w:afterAutospacing="0" w:line="360" w:lineRule="auto"/>
      <w:jc w:val="left"/>
      <w:outlineLvl w:val="1"/>
    </w:pPr>
    <w:rPr>
      <w:rFonts w:ascii="Arial" w:hAnsi="Arial" w:eastAsia="宋体" w:cs="Times New Roman"/>
      <w:b/>
      <w:kern w:val="2"/>
      <w:sz w:val="32"/>
      <w:szCs w:val="24"/>
      <w:lang w:eastAsia="zh-CN"/>
    </w:rPr>
  </w:style>
  <w:style w:type="paragraph" w:styleId="4">
    <w:name w:val="heading 3"/>
    <w:basedOn w:val="1"/>
    <w:next w:val="1"/>
    <w:unhideWhenUsed/>
    <w:qFormat/>
    <w:uiPriority w:val="0"/>
    <w:pPr>
      <w:keepNext/>
      <w:keepLines/>
      <w:spacing w:beforeLines="0" w:beforeAutospacing="0" w:afterLines="0" w:afterAutospacing="0" w:line="360" w:lineRule="auto"/>
      <w:outlineLvl w:val="2"/>
    </w:pPr>
    <w:rPr>
      <w:rFonts w:ascii="Times New Roman" w:hAnsi="Times New Roman" w:cs="Times New Roman"/>
      <w:b/>
      <w:kern w:val="2"/>
      <w:sz w:val="32"/>
      <w:szCs w:val="24"/>
      <w:lang w:eastAsia="zh-CN"/>
    </w:rPr>
  </w:style>
  <w:style w:type="paragraph" w:styleId="5">
    <w:name w:val="heading 4"/>
    <w:basedOn w:val="1"/>
    <w:next w:val="1"/>
    <w:unhideWhenUsed/>
    <w:qFormat/>
    <w:uiPriority w:val="0"/>
    <w:pPr>
      <w:spacing w:before="60" w:after="60"/>
      <w:ind w:left="1393" w:leftChars="200" w:hanging="913"/>
      <w:outlineLvl w:val="3"/>
    </w:pPr>
    <w:rPr>
      <w:b/>
      <w:bCs/>
      <w:sz w:val="28"/>
      <w:szCs w:val="28"/>
    </w:rPr>
  </w:style>
  <w:style w:type="paragraph" w:styleId="6">
    <w:name w:val="heading 5"/>
    <w:basedOn w:val="1"/>
    <w:next w:val="1"/>
    <w:link w:val="37"/>
    <w:unhideWhenUsed/>
    <w:qFormat/>
    <w:uiPriority w:val="0"/>
    <w:pPr>
      <w:outlineLvl w:val="4"/>
    </w:pPr>
    <w:rPr>
      <w:rFonts w:ascii="Times New Roman" w:hAnsi="Times New Roman" w:eastAsia="宋体" w:cs="Times New Roman"/>
      <w:b/>
      <w:kern w:val="2"/>
      <w:lang w:eastAsia="zh-CN"/>
    </w:rPr>
  </w:style>
  <w:style w:type="character" w:default="1" w:styleId="29">
    <w:name w:val="Default Paragraph Font"/>
    <w:semiHidden/>
    <w:qFormat/>
    <w:uiPriority w:val="0"/>
  </w:style>
  <w:style w:type="table" w:default="1" w:styleId="26">
    <w:name w:val="Normal Table"/>
    <w:semiHidden/>
    <w:qFormat/>
    <w:uiPriority w:val="0"/>
    <w:tblPr>
      <w:tblCellMar>
        <w:top w:w="0" w:type="dxa"/>
        <w:left w:w="108" w:type="dxa"/>
        <w:bottom w:w="0" w:type="dxa"/>
        <w:right w:w="108" w:type="dxa"/>
      </w:tblCellMar>
    </w:tblPr>
  </w:style>
  <w:style w:type="paragraph" w:styleId="7">
    <w:name w:val="E-mail Signature"/>
    <w:basedOn w:val="1"/>
    <w:next w:val="8"/>
    <w:unhideWhenUsed/>
    <w:qFormat/>
    <w:uiPriority w:val="99"/>
    <w:pPr>
      <w:widowControl w:val="0"/>
      <w:spacing w:line="460" w:lineRule="exact"/>
      <w:ind w:firstLine="200"/>
      <w:jc w:val="both"/>
    </w:pPr>
    <w:rPr>
      <w:rFonts w:ascii="Times New Roman" w:hAnsi="Times New Roman" w:eastAsia="宋体" w:cs="Times New Roman"/>
      <w:kern w:val="2"/>
      <w:sz w:val="21"/>
      <w:szCs w:val="24"/>
      <w:lang w:val="en-US" w:eastAsia="zh-CN" w:bidi="ar-SA"/>
    </w:rPr>
  </w:style>
  <w:style w:type="paragraph" w:customStyle="1" w:styleId="8">
    <w:name w:val="文章"/>
    <w:next w:val="9"/>
    <w:qFormat/>
    <w:uiPriority w:val="0"/>
    <w:pPr>
      <w:widowControl w:val="0"/>
      <w:spacing w:line="360" w:lineRule="auto"/>
      <w:ind w:firstLine="480" w:firstLineChars="200"/>
      <w:jc w:val="center"/>
    </w:pPr>
    <w:rPr>
      <w:rFonts w:ascii="Times New Roman" w:hAnsi="Times New Roman" w:eastAsia="宋体" w:cs="Times New Roman"/>
      <w:b/>
      <w:bCs/>
      <w:kern w:val="2"/>
      <w:sz w:val="26"/>
      <w:szCs w:val="22"/>
      <w:lang w:val="en-US" w:eastAsia="zh-CN" w:bidi="ar-SA"/>
    </w:rPr>
  </w:style>
  <w:style w:type="paragraph" w:styleId="9">
    <w:name w:val="List"/>
    <w:basedOn w:val="1"/>
    <w:qFormat/>
    <w:uiPriority w:val="0"/>
    <w:pPr>
      <w:ind w:left="200" w:hanging="200" w:hangingChars="200"/>
    </w:pPr>
  </w:style>
  <w:style w:type="paragraph" w:styleId="10">
    <w:name w:val="Normal Indent"/>
    <w:basedOn w:val="1"/>
    <w:next w:val="11"/>
    <w:qFormat/>
    <w:uiPriority w:val="0"/>
    <w:pPr>
      <w:spacing w:line="324" w:lineRule="auto"/>
      <w:ind w:left="420"/>
    </w:pPr>
    <w:rPr>
      <w:rFonts w:ascii="宋体" w:hAnsi="宋体" w:eastAsia="宋体"/>
      <w:kern w:val="2"/>
      <w:sz w:val="24"/>
      <w:szCs w:val="28"/>
      <w:lang w:val="en-US" w:eastAsia="zh-CN" w:bidi="ar-SA"/>
    </w:rPr>
  </w:style>
  <w:style w:type="paragraph" w:styleId="11">
    <w:name w:val="Body Text First Indent 2"/>
    <w:basedOn w:val="12"/>
    <w:next w:val="1"/>
    <w:qFormat/>
    <w:uiPriority w:val="0"/>
    <w:pPr>
      <w:ind w:firstLine="420"/>
    </w:pPr>
    <w:rPr>
      <w:rFonts w:ascii="Calibri" w:hAnsi="Calibri"/>
      <w:sz w:val="21"/>
      <w:szCs w:val="24"/>
    </w:rPr>
  </w:style>
  <w:style w:type="paragraph" w:styleId="12">
    <w:name w:val="Body Text Indent"/>
    <w:basedOn w:val="1"/>
    <w:next w:val="13"/>
    <w:qFormat/>
    <w:uiPriority w:val="0"/>
    <w:pPr>
      <w:spacing w:before="60" w:line="360" w:lineRule="auto"/>
      <w:ind w:firstLine="0" w:firstLineChars="0"/>
    </w:pPr>
    <w:rPr>
      <w:rFonts w:ascii="仿宋_GB2312" w:hAnsi="仿宋_GB2312" w:eastAsia="宋体" w:cs="Times New Roman"/>
      <w:sz w:val="72"/>
    </w:rPr>
  </w:style>
  <w:style w:type="paragraph" w:styleId="13">
    <w:name w:val="Body Text Indent 2"/>
    <w:basedOn w:val="1"/>
    <w:next w:val="11"/>
    <w:unhideWhenUsed/>
    <w:qFormat/>
    <w:uiPriority w:val="99"/>
    <w:pPr>
      <w:spacing w:after="120" w:line="480" w:lineRule="auto"/>
      <w:ind w:left="420" w:leftChars="200"/>
    </w:pPr>
  </w:style>
  <w:style w:type="paragraph" w:styleId="14">
    <w:name w:val="caption"/>
    <w:basedOn w:val="1"/>
    <w:next w:val="1"/>
    <w:qFormat/>
    <w:uiPriority w:val="0"/>
    <w:pPr>
      <w:adjustRightInd/>
      <w:spacing w:line="440" w:lineRule="exact"/>
      <w:ind w:firstLine="200" w:firstLineChars="200"/>
      <w:textAlignment w:val="auto"/>
    </w:pPr>
    <w:rPr>
      <w:rFonts w:ascii="Arial" w:hAnsi="Arial" w:eastAsia="黑体"/>
      <w:spacing w:val="20"/>
      <w:sz w:val="20"/>
      <w:szCs w:val="20"/>
    </w:rPr>
  </w:style>
  <w:style w:type="paragraph" w:styleId="15">
    <w:name w:val="annotation text"/>
    <w:basedOn w:val="1"/>
    <w:semiHidden/>
    <w:qFormat/>
    <w:uiPriority w:val="0"/>
    <w:pPr>
      <w:jc w:val="left"/>
    </w:pPr>
    <w:rPr>
      <w:kern w:val="0"/>
      <w:sz w:val="24"/>
      <w:szCs w:val="20"/>
    </w:rPr>
  </w:style>
  <w:style w:type="paragraph" w:styleId="16">
    <w:name w:val="Body Text"/>
    <w:basedOn w:val="1"/>
    <w:qFormat/>
    <w:uiPriority w:val="1"/>
    <w:pPr>
      <w:ind w:left="243"/>
    </w:pPr>
    <w:rPr>
      <w:rFonts w:ascii="宋体" w:hAnsi="宋体" w:eastAsia="宋体"/>
      <w:sz w:val="21"/>
      <w:szCs w:val="21"/>
    </w:rPr>
  </w:style>
  <w:style w:type="paragraph" w:styleId="17">
    <w:name w:val="footer"/>
    <w:basedOn w:val="1"/>
    <w:qFormat/>
    <w:uiPriority w:val="99"/>
    <w:pPr>
      <w:tabs>
        <w:tab w:val="center" w:pos="4153"/>
        <w:tab w:val="right" w:pos="8306"/>
      </w:tabs>
      <w:snapToGrid w:val="0"/>
      <w:jc w:val="left"/>
    </w:pPr>
    <w:rPr>
      <w:sz w:val="18"/>
    </w:rPr>
  </w:style>
  <w:style w:type="paragraph" w:styleId="18">
    <w:name w:val="envelope return"/>
    <w:basedOn w:val="1"/>
    <w:unhideWhenUsed/>
    <w:qFormat/>
    <w:uiPriority w:val="99"/>
    <w:pPr>
      <w:snapToGrid w:val="0"/>
    </w:pPr>
    <w:rPr>
      <w:rFonts w:ascii="Arial" w:hAnsi="Arial"/>
    </w:rPr>
  </w:style>
  <w:style w:type="paragraph" w:styleId="1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20">
    <w:name w:val="toc 1"/>
    <w:basedOn w:val="1"/>
    <w:next w:val="1"/>
    <w:qFormat/>
    <w:uiPriority w:val="0"/>
  </w:style>
  <w:style w:type="paragraph" w:styleId="21">
    <w:name w:val="toc 2"/>
    <w:basedOn w:val="1"/>
    <w:next w:val="7"/>
    <w:qFormat/>
    <w:uiPriority w:val="0"/>
    <w:pPr>
      <w:ind w:left="280"/>
      <w:jc w:val="left"/>
    </w:pPr>
    <w:rPr>
      <w:smallCaps/>
      <w:sz w:val="20"/>
      <w:szCs w:val="20"/>
    </w:rPr>
  </w:style>
  <w:style w:type="paragraph" w:styleId="22">
    <w:name w:val="Body Text 2"/>
    <w:basedOn w:val="1"/>
    <w:qFormat/>
    <w:uiPriority w:val="0"/>
    <w:pPr>
      <w:spacing w:after="120" w:line="480" w:lineRule="auto"/>
    </w:pPr>
    <w:rPr>
      <w:sz w:val="28"/>
    </w:rPr>
  </w:style>
  <w:style w:type="paragraph" w:styleId="23">
    <w:name w:val="Normal (Web)"/>
    <w:basedOn w:val="1"/>
    <w:qFormat/>
    <w:uiPriority w:val="0"/>
    <w:pPr>
      <w:spacing w:before="0" w:beforeAutospacing="1" w:after="0" w:afterAutospacing="1"/>
      <w:ind w:left="0" w:right="0"/>
      <w:jc w:val="left"/>
    </w:pPr>
    <w:rPr>
      <w:kern w:val="0"/>
      <w:sz w:val="24"/>
      <w:lang w:val="en-US" w:eastAsia="zh-CN" w:bidi="ar"/>
    </w:rPr>
  </w:style>
  <w:style w:type="paragraph" w:styleId="24">
    <w:name w:val="Title"/>
    <w:basedOn w:val="20"/>
    <w:next w:val="20"/>
    <w:qFormat/>
    <w:uiPriority w:val="0"/>
    <w:pPr>
      <w:spacing w:beforeLines="0" w:beforeAutospacing="0" w:afterLines="0" w:afterAutospacing="0" w:line="360" w:lineRule="auto"/>
      <w:jc w:val="center"/>
      <w:outlineLvl w:val="0"/>
    </w:pPr>
    <w:rPr>
      <w:rFonts w:ascii="Arial" w:hAnsi="Arial"/>
      <w:b/>
      <w:sz w:val="72"/>
    </w:rPr>
  </w:style>
  <w:style w:type="paragraph" w:styleId="25">
    <w:name w:val="annotation subject"/>
    <w:basedOn w:val="15"/>
    <w:next w:val="15"/>
    <w:semiHidden/>
    <w:qFormat/>
    <w:uiPriority w:val="0"/>
    <w:rPr>
      <w:b/>
      <w:sz w:val="24"/>
      <w:szCs w:val="20"/>
    </w:rPr>
  </w:style>
  <w:style w:type="table" w:styleId="27">
    <w:name w:val="Table Grid"/>
    <w:basedOn w:val="2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8">
    <w:name w:val="Table Theme"/>
    <w:basedOn w:val="26"/>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Hyperlink"/>
    <w:unhideWhenUsed/>
    <w:qFormat/>
    <w:uiPriority w:val="99"/>
    <w:rPr>
      <w:color w:val="0000FF"/>
      <w:u w:val="single"/>
    </w:rPr>
  </w:style>
  <w:style w:type="character" w:styleId="31">
    <w:name w:val="annotation reference"/>
    <w:qFormat/>
    <w:uiPriority w:val="0"/>
    <w:rPr>
      <w:sz w:val="21"/>
      <w:szCs w:val="21"/>
    </w:rPr>
  </w:style>
  <w:style w:type="paragraph" w:customStyle="1" w:styleId="32">
    <w:name w:val="Default"/>
    <w:basedOn w:val="33"/>
    <w:next w:val="17"/>
    <w:unhideWhenUsed/>
    <w:qFormat/>
    <w:uiPriority w:val="0"/>
    <w:pPr>
      <w:widowControl w:val="0"/>
      <w:autoSpaceDE w:val="0"/>
      <w:autoSpaceDN w:val="0"/>
      <w:adjustRightInd w:val="0"/>
    </w:pPr>
    <w:rPr>
      <w:rFonts w:hint="eastAsia" w:ascii="宋体" w:hAnsi="宋体"/>
      <w:color w:val="000000"/>
      <w:sz w:val="24"/>
      <w:lang w:val="en-US" w:eastAsia="zh-CN" w:bidi="ar-SA"/>
    </w:rPr>
  </w:style>
  <w:style w:type="paragraph" w:customStyle="1" w:styleId="33">
    <w:name w:val="文本"/>
    <w:basedOn w:val="1"/>
    <w:next w:val="1"/>
    <w:qFormat/>
    <w:uiPriority w:val="0"/>
    <w:pPr>
      <w:autoSpaceDE w:val="0"/>
      <w:autoSpaceDN w:val="0"/>
      <w:ind w:firstLine="480"/>
    </w:pPr>
    <w:rPr>
      <w:szCs w:val="24"/>
      <w:lang w:val="zh-CN"/>
    </w:rPr>
  </w:style>
  <w:style w:type="paragraph" w:customStyle="1" w:styleId="34">
    <w:name w:val="标题2"/>
    <w:basedOn w:val="3"/>
    <w:next w:val="1"/>
    <w:qFormat/>
    <w:uiPriority w:val="0"/>
    <w:pPr>
      <w:numPr>
        <w:ilvl w:val="1"/>
        <w:numId w:val="1"/>
      </w:numPr>
      <w:spacing w:before="0" w:after="0" w:line="440" w:lineRule="exact"/>
    </w:pPr>
    <w:rPr>
      <w:kern w:val="0"/>
      <w:sz w:val="28"/>
    </w:rPr>
  </w:style>
  <w:style w:type="paragraph" w:customStyle="1" w:styleId="35">
    <w:name w:val="Char Char Char Char Char Char1 Char Char Char Char"/>
    <w:basedOn w:val="1"/>
    <w:next w:val="1"/>
    <w:semiHidden/>
    <w:qFormat/>
    <w:uiPriority w:val="0"/>
    <w:pPr>
      <w:spacing w:line="360" w:lineRule="auto"/>
      <w:ind w:firstLine="200" w:firstLineChars="200"/>
    </w:pPr>
    <w:rPr>
      <w:rFonts w:ascii="宋体" w:hAnsi="宋体" w:cs="宋体"/>
      <w:szCs w:val="21"/>
    </w:rPr>
  </w:style>
  <w:style w:type="character" w:customStyle="1" w:styleId="36">
    <w:name w:val="标题 1 Char1"/>
    <w:link w:val="2"/>
    <w:qFormat/>
    <w:uiPriority w:val="0"/>
    <w:rPr>
      <w:rFonts w:ascii="Times New Roman" w:hAnsi="Times New Roman" w:eastAsia="黑体" w:cs="Times New Roman"/>
      <w:b/>
      <w:kern w:val="44"/>
      <w:sz w:val="36"/>
      <w:szCs w:val="24"/>
      <w:lang w:eastAsia="zh-CN"/>
    </w:rPr>
  </w:style>
  <w:style w:type="character" w:customStyle="1" w:styleId="37">
    <w:name w:val="标题 5 字符"/>
    <w:link w:val="6"/>
    <w:qFormat/>
    <w:uiPriority w:val="9"/>
    <w:rPr>
      <w:rFonts w:ascii="Times New Roman" w:hAnsi="Times New Roman" w:eastAsia="宋体"/>
      <w:b/>
      <w:kern w:val="2"/>
      <w:sz w:val="24"/>
      <w:szCs w:val="22"/>
      <w:lang w:eastAsia="zh-CN"/>
    </w:rPr>
  </w:style>
  <w:style w:type="paragraph" w:customStyle="1" w:styleId="38">
    <w:name w:val="正文."/>
    <w:qFormat/>
    <w:uiPriority w:val="0"/>
    <w:pPr>
      <w:widowControl w:val="0"/>
      <w:autoSpaceDE w:val="0"/>
      <w:autoSpaceDN w:val="0"/>
      <w:adjustRightInd w:val="0"/>
      <w:spacing w:line="480" w:lineRule="exact"/>
      <w:jc w:val="both"/>
    </w:pPr>
    <w:rPr>
      <w:rFonts w:ascii="Times New Roman;Symbol;Arial;婼" w:hAnsi="Times New Roman" w:eastAsia="Times New Roman;Symbol;Arial;婼" w:cs="Times New Roman"/>
      <w:sz w:val="21"/>
      <w:szCs w:val="21"/>
      <w:lang w:val="en-US" w:eastAsia="zh-CN" w:bidi="ar-SA"/>
    </w:rPr>
  </w:style>
  <w:style w:type="paragraph" w:customStyle="1" w:styleId="39">
    <w:name w:val="表格"/>
    <w:basedOn w:val="40"/>
    <w:next w:val="1"/>
    <w:link w:val="42"/>
    <w:qFormat/>
    <w:uiPriority w:val="0"/>
    <w:pPr>
      <w:ind w:left="0"/>
    </w:pPr>
    <w:rPr>
      <w:rFonts w:ascii="Times New Roman" w:hAnsi="Times New Roman"/>
      <w:sz w:val="21"/>
    </w:rPr>
  </w:style>
  <w:style w:type="paragraph" w:customStyle="1" w:styleId="40">
    <w:name w:val="表格式"/>
    <w:basedOn w:val="9"/>
    <w:qFormat/>
    <w:uiPriority w:val="0"/>
    <w:pPr>
      <w:spacing w:line="440" w:lineRule="exact"/>
      <w:jc w:val="center"/>
      <w:textAlignment w:val="center"/>
    </w:pPr>
    <w:rPr>
      <w:rFonts w:ascii="宋体" w:hAnsi="华文中宋"/>
      <w:color w:val="000000"/>
    </w:rPr>
  </w:style>
  <w:style w:type="paragraph" w:customStyle="1" w:styleId="41">
    <w:name w:val="样式1"/>
    <w:basedOn w:val="1"/>
    <w:next w:val="1"/>
    <w:autoRedefine/>
    <w:qFormat/>
    <w:uiPriority w:val="0"/>
    <w:pPr>
      <w:spacing w:line="360" w:lineRule="auto"/>
      <w:jc w:val="left"/>
    </w:pPr>
    <w:rPr>
      <w:rFonts w:hint="eastAsia" w:ascii="Times New Roman" w:hAnsi="Times New Roman"/>
      <w:sz w:val="24"/>
    </w:rPr>
  </w:style>
  <w:style w:type="character" w:customStyle="1" w:styleId="42">
    <w:name w:val="表格 Char"/>
    <w:basedOn w:val="29"/>
    <w:link w:val="39"/>
    <w:qFormat/>
    <w:uiPriority w:val="0"/>
    <w:rPr>
      <w:rFonts w:ascii="Times New Roman" w:hAnsi="Times New Roman"/>
      <w:sz w:val="21"/>
    </w:rPr>
  </w:style>
  <w:style w:type="paragraph" w:customStyle="1" w:styleId="43">
    <w:name w:val="表格文字"/>
    <w:next w:val="1"/>
    <w:qFormat/>
    <w:uiPriority w:val="0"/>
    <w:pPr>
      <w:spacing w:before="10" w:beforeLines="10" w:after="10" w:afterLines="10" w:line="0" w:lineRule="atLeast"/>
      <w:jc w:val="center"/>
    </w:pPr>
    <w:rPr>
      <w:rFonts w:ascii="Times New Roman" w:hAnsi="Times New Roman" w:eastAsia="宋体" w:cs="Times New Roman"/>
      <w:kern w:val="2"/>
      <w:sz w:val="18"/>
      <w:szCs w:val="21"/>
      <w:lang w:val="en-US" w:eastAsia="zh-CN" w:bidi="ar-SA"/>
    </w:rPr>
  </w:style>
  <w:style w:type="paragraph" w:customStyle="1" w:styleId="44">
    <w:name w:val="表格文字-书"/>
    <w:qFormat/>
    <w:uiPriority w:val="0"/>
    <w:pPr>
      <w:jc w:val="center"/>
    </w:pPr>
    <w:rPr>
      <w:rFonts w:ascii="Calibri" w:hAnsi="Calibri" w:eastAsia="宋体" w:cs="Times New Roman"/>
      <w:sz w:val="21"/>
      <w:szCs w:val="22"/>
      <w:lang w:val="en-US" w:eastAsia="zh-CN" w:bidi="ar-SA"/>
    </w:rPr>
  </w:style>
  <w:style w:type="paragraph" w:customStyle="1" w:styleId="45">
    <w:name w:val="11正文"/>
    <w:qFormat/>
    <w:uiPriority w:val="0"/>
    <w:pPr>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table" w:customStyle="1" w:styleId="46">
    <w:name w:val="刘文自定义表格1"/>
    <w:basedOn w:val="28"/>
    <w:qFormat/>
    <w:uiPriority w:val="0"/>
    <w:rPr>
      <w:rFonts w:ascii="Times New Roman" w:hAnsi="Times New Roman" w:eastAsia="宋体" w:cs="Times New Roman"/>
      <w:kern w:val="2"/>
      <w:sz w:val="21"/>
      <w:szCs w:val="22"/>
    </w:rPr>
  </w:style>
  <w:style w:type="paragraph" w:customStyle="1" w:styleId="47">
    <w:name w:val="Table Paragraph"/>
    <w:basedOn w:val="1"/>
    <w:qFormat/>
    <w:uiPriority w:val="1"/>
  </w:style>
  <w:style w:type="character" w:customStyle="1" w:styleId="48">
    <w:name w:val="font11"/>
    <w:basedOn w:val="29"/>
    <w:qFormat/>
    <w:uiPriority w:val="0"/>
    <w:rPr>
      <w:rFonts w:hint="default" w:ascii="Times New Roman" w:hAnsi="Times New Roman" w:cs="Times New Roman"/>
      <w:b/>
      <w:bCs/>
      <w:color w:val="000000"/>
      <w:sz w:val="21"/>
      <w:szCs w:val="21"/>
      <w:u w:val="none"/>
    </w:rPr>
  </w:style>
  <w:style w:type="character" w:customStyle="1" w:styleId="49">
    <w:name w:val="font21"/>
    <w:basedOn w:val="29"/>
    <w:qFormat/>
    <w:uiPriority w:val="0"/>
    <w:rPr>
      <w:rFonts w:hint="eastAsia" w:ascii="宋体" w:hAnsi="宋体" w:eastAsia="宋体" w:cs="宋体"/>
      <w:color w:val="000000"/>
      <w:sz w:val="21"/>
      <w:szCs w:val="21"/>
      <w:u w:val="none"/>
    </w:rPr>
  </w:style>
  <w:style w:type="paragraph" w:customStyle="1" w:styleId="50">
    <w:name w:val="标号正文"/>
    <w:basedOn w:val="1"/>
    <w:next w:val="1"/>
    <w:qFormat/>
    <w:uiPriority w:val="0"/>
    <w:pPr>
      <w:tabs>
        <w:tab w:val="left" w:pos="1540"/>
      </w:tabs>
      <w:overflowPunct w:val="0"/>
      <w:snapToGrid w:val="0"/>
      <w:spacing w:line="360" w:lineRule="auto"/>
      <w:ind w:left="0" w:firstLine="1040"/>
      <w:jc w:val="left"/>
    </w:pPr>
    <w:rPr>
      <w:rFonts w:ascii="Arial" w:hAnsi="Arial" w:eastAsia="宋体"/>
      <w:sz w:val="24"/>
      <w:szCs w:val="20"/>
    </w:rPr>
  </w:style>
  <w:style w:type="paragraph" w:customStyle="1" w:styleId="51">
    <w:name w:val="表格正文"/>
    <w:basedOn w:val="10"/>
    <w:qFormat/>
    <w:uiPriority w:val="0"/>
    <w:pPr>
      <w:spacing w:line="360" w:lineRule="exact"/>
      <w:jc w:val="center"/>
    </w:pPr>
    <w:rPr>
      <w:rFonts w:ascii="Times New Roman" w:hAnsi="Times New Roman"/>
      <w:kern w:val="2"/>
      <w:sz w:val="21"/>
      <w:szCs w:val="24"/>
      <w:lang w:eastAsia="zh-CN"/>
    </w:rPr>
  </w:style>
  <w:style w:type="character" w:customStyle="1" w:styleId="52">
    <w:name w:val="font61"/>
    <w:basedOn w:val="29"/>
    <w:qFormat/>
    <w:uiPriority w:val="0"/>
    <w:rPr>
      <w:rFonts w:hint="default" w:ascii="Times New Roman" w:hAnsi="Times New Roman" w:cs="Times New Roman"/>
      <w:color w:val="000000"/>
      <w:sz w:val="24"/>
      <w:szCs w:val="24"/>
      <w:u w:val="none"/>
      <w:vertAlign w:val="subscript"/>
    </w:rPr>
  </w:style>
  <w:style w:type="paragraph" w:customStyle="1" w:styleId="53">
    <w:name w:val="报告正文"/>
    <w:basedOn w:val="1"/>
    <w:qFormat/>
    <w:uiPriority w:val="0"/>
    <w:pPr>
      <w:spacing w:line="360" w:lineRule="auto"/>
      <w:ind w:firstLine="200" w:firstLineChars="200"/>
    </w:pPr>
    <w:rPr>
      <w:sz w:val="24"/>
      <w:szCs w:val="24"/>
    </w:rPr>
  </w:style>
  <w:style w:type="paragraph" w:customStyle="1" w:styleId="54">
    <w:name w:val="正文部分"/>
    <w:qFormat/>
    <w:uiPriority w:val="0"/>
    <w:pPr>
      <w:spacing w:line="360" w:lineRule="auto"/>
      <w:ind w:firstLine="1440" w:firstLineChars="200"/>
    </w:pPr>
    <w:rPr>
      <w:rFonts w:ascii="Times New Roman" w:hAnsi="Times New Roman" w:eastAsia="宋体" w:cs="Times New Roman"/>
      <w:sz w:val="24"/>
    </w:rPr>
  </w:style>
  <w:style w:type="paragraph" w:customStyle="1" w:styleId="55">
    <w:name w:val="表头"/>
    <w:next w:val="1"/>
    <w:qFormat/>
    <w:uiPriority w:val="0"/>
    <w:pPr>
      <w:jc w:val="center"/>
    </w:pPr>
    <w:rPr>
      <w:rFonts w:ascii="Times New Roman" w:hAnsi="Times New Roman" w:eastAsia="宋体" w:cs="Times New Roman"/>
      <w:b/>
      <w:sz w:val="24"/>
      <w:lang w:val="en-US" w:eastAsia="zh-CN" w:bidi="ar-SA"/>
    </w:rPr>
  </w:style>
  <w:style w:type="table" w:customStyle="1" w:styleId="56">
    <w:name w:val="Table Normal"/>
    <w:unhideWhenUsed/>
    <w:qFormat/>
    <w:uiPriority w:val="0"/>
    <w:tblPr>
      <w:tblCellMar>
        <w:top w:w="0" w:type="dxa"/>
        <w:left w:w="0" w:type="dxa"/>
        <w:bottom w:w="0" w:type="dxa"/>
        <w:right w:w="0" w:type="dxa"/>
      </w:tblCellMar>
    </w:tblPr>
  </w:style>
  <w:style w:type="paragraph" w:customStyle="1" w:styleId="57">
    <w:name w:val="D正文"/>
    <w:basedOn w:val="1"/>
    <w:qFormat/>
    <w:uiPriority w:val="0"/>
    <w:pPr>
      <w:ind w:firstLineChars="200"/>
    </w:pPr>
    <w:rPr>
      <w:rFonts w:ascii="宋体" w:hAnsi="宋体" w:cs="宋体"/>
      <w:sz w:val="24"/>
    </w:rPr>
  </w:style>
  <w:style w:type="paragraph" w:customStyle="1" w:styleId="58">
    <w:name w:val="样式35"/>
    <w:basedOn w:val="59"/>
    <w:next w:val="64"/>
    <w:qFormat/>
    <w:uiPriority w:val="0"/>
    <w:pPr>
      <w:tabs>
        <w:tab w:val="left" w:pos="0"/>
        <w:tab w:val="left" w:pos="360"/>
        <w:tab w:val="left" w:pos="540"/>
        <w:tab w:val="left" w:pos="567"/>
        <w:tab w:val="left" w:pos="840"/>
        <w:tab w:val="left" w:pos="960"/>
        <w:tab w:val="left" w:pos="4140"/>
        <w:tab w:val="center" w:pos="4153"/>
        <w:tab w:val="right" w:pos="8306"/>
        <w:tab w:val="left" w:pos="8715"/>
      </w:tabs>
      <w:adjustRightInd w:val="0"/>
      <w:spacing w:line="312" w:lineRule="auto"/>
      <w:ind w:firstLine="567"/>
    </w:pPr>
    <w:rPr>
      <w:rFonts w:ascii="宋体"/>
      <w:kern w:val="0"/>
      <w:sz w:val="28"/>
    </w:rPr>
  </w:style>
  <w:style w:type="paragraph" w:customStyle="1" w:styleId="59">
    <w:name w:val="样式26"/>
    <w:basedOn w:val="60"/>
    <w:qFormat/>
    <w:uiPriority w:val="0"/>
    <w:pPr>
      <w:keepNext/>
      <w:keepLines/>
      <w:widowControl w:val="0"/>
      <w:numPr>
        <w:ilvl w:val="0"/>
        <w:numId w:val="0"/>
      </w:numPr>
      <w:tabs>
        <w:tab w:val="left" w:pos="0"/>
        <w:tab w:val="left" w:pos="360"/>
        <w:tab w:val="left" w:pos="540"/>
        <w:tab w:val="left" w:pos="567"/>
        <w:tab w:val="left" w:pos="840"/>
        <w:tab w:val="left" w:pos="960"/>
        <w:tab w:val="left" w:pos="4140"/>
        <w:tab w:val="center" w:pos="4153"/>
        <w:tab w:val="right" w:pos="8306"/>
        <w:tab w:val="left" w:pos="8715"/>
      </w:tabs>
      <w:adjustRightInd w:val="0"/>
      <w:spacing w:before="120" w:beforeLines="0" w:beforeAutospacing="0" w:after="120" w:afterLines="0" w:afterAutospacing="0" w:line="360" w:lineRule="auto"/>
      <w:ind w:left="840" w:hanging="992"/>
      <w:jc w:val="left"/>
      <w:outlineLvl w:val="1"/>
    </w:pPr>
    <w:rPr>
      <w:rFonts w:ascii="Arial" w:hAnsi="Arial" w:eastAsia="黑体" w:cs="Times New Roman"/>
      <w:snapToGrid w:val="0"/>
      <w:color w:val="FF0000"/>
      <w:kern w:val="0"/>
      <w:sz w:val="28"/>
      <w:szCs w:val="32"/>
      <w:lang w:val="en-US" w:eastAsia="zh-CN" w:bidi="ar-SA"/>
    </w:rPr>
  </w:style>
  <w:style w:type="paragraph" w:customStyle="1" w:styleId="60">
    <w:name w:val="样式21"/>
    <w:basedOn w:val="61"/>
    <w:qFormat/>
    <w:uiPriority w:val="0"/>
    <w:pPr>
      <w:keepNext/>
      <w:keepLines/>
      <w:widowControl w:val="0"/>
      <w:numPr>
        <w:ilvl w:val="0"/>
        <w:numId w:val="0"/>
      </w:numPr>
      <w:tabs>
        <w:tab w:val="left" w:pos="360"/>
        <w:tab w:val="left" w:pos="567"/>
        <w:tab w:val="left" w:pos="840"/>
        <w:tab w:val="left" w:pos="960"/>
        <w:tab w:val="left" w:pos="4140"/>
        <w:tab w:val="center" w:pos="4153"/>
        <w:tab w:val="right" w:pos="8306"/>
        <w:tab w:val="left" w:pos="8715"/>
      </w:tabs>
      <w:adjustRightInd w:val="0"/>
      <w:spacing w:before="120" w:beforeLines="0" w:beforeAutospacing="0" w:after="120" w:afterLines="0" w:afterAutospacing="0" w:line="360" w:lineRule="auto"/>
      <w:ind w:left="840" w:hanging="992"/>
      <w:jc w:val="left"/>
      <w:outlineLvl w:val="1"/>
    </w:pPr>
    <w:rPr>
      <w:rFonts w:ascii="Arial" w:hAnsi="Arial" w:eastAsia="黑体" w:cs="Times New Roman"/>
      <w:snapToGrid w:val="0"/>
      <w:color w:val="FF0000"/>
      <w:kern w:val="0"/>
      <w:sz w:val="28"/>
      <w:szCs w:val="32"/>
      <w:lang w:val="en-US" w:eastAsia="zh-CN" w:bidi="ar-SA"/>
    </w:rPr>
  </w:style>
  <w:style w:type="paragraph" w:customStyle="1" w:styleId="61">
    <w:name w:val="样式5"/>
    <w:basedOn w:val="62"/>
    <w:qFormat/>
    <w:uiPriority w:val="0"/>
    <w:pPr>
      <w:tabs>
        <w:tab w:val="left" w:pos="360"/>
        <w:tab w:val="left" w:pos="4140"/>
        <w:tab w:val="center" w:pos="4153"/>
        <w:tab w:val="right" w:pos="8306"/>
      </w:tabs>
      <w:snapToGrid w:val="0"/>
    </w:pPr>
    <w:rPr>
      <w:rFonts w:ascii="Times New Roman" w:hAnsi="Times New Roman" w:eastAsia="宋体" w:cs="Times New Roman"/>
      <w:sz w:val="18"/>
      <w:lang w:val="en-US" w:eastAsia="zh-CN" w:bidi="ar-SA"/>
    </w:rPr>
  </w:style>
  <w:style w:type="paragraph" w:customStyle="1" w:styleId="62">
    <w:name w:val="样式12"/>
    <w:basedOn w:val="63"/>
    <w:qFormat/>
    <w:uiPriority w:val="0"/>
    <w:pPr>
      <w:keepNext/>
      <w:keepLines/>
      <w:widowControl w:val="0"/>
      <w:numPr>
        <w:ilvl w:val="0"/>
        <w:numId w:val="0"/>
      </w:numPr>
      <w:tabs>
        <w:tab w:val="left" w:pos="360"/>
        <w:tab w:val="left" w:pos="4140"/>
      </w:tabs>
      <w:adjustRightInd w:val="0"/>
      <w:spacing w:before="156" w:beforeLines="50" w:beforeAutospacing="0" w:after="156" w:afterLines="50" w:afterAutospacing="0" w:line="360" w:lineRule="auto"/>
      <w:ind w:left="567" w:hanging="567"/>
      <w:jc w:val="both"/>
      <w:outlineLvl w:val="1"/>
    </w:pPr>
    <w:rPr>
      <w:rFonts w:ascii="Times New Roman" w:hAnsi="Times New Roman" w:eastAsia="MS Mincho" w:cs="Times New Roman"/>
      <w:color w:val="FF0000"/>
      <w:kern w:val="0"/>
      <w:sz w:val="28"/>
      <w:szCs w:val="28"/>
      <w:lang w:val="en-US" w:eastAsia="zh-CN" w:bidi="ar-SA"/>
    </w:rPr>
  </w:style>
  <w:style w:type="paragraph" w:customStyle="1" w:styleId="63">
    <w:name w:val="样式 标题 3标题 3 Char标题3H3h33rd level第二层条三级标题ReHead 3 WSA头..."/>
    <w:qFormat/>
    <w:uiPriority w:val="0"/>
    <w:pPr>
      <w:keepNext/>
      <w:keepLines/>
      <w:widowControl w:val="0"/>
      <w:numPr>
        <w:ilvl w:val="0"/>
        <w:numId w:val="0"/>
      </w:numPr>
      <w:tabs>
        <w:tab w:val="left" w:pos="4140"/>
      </w:tabs>
      <w:adjustRightInd w:val="0"/>
      <w:spacing w:before="260" w:beforeLines="50" w:beforeAutospacing="0" w:after="260" w:afterLines="50" w:afterAutospacing="0" w:line="416" w:lineRule="auto"/>
      <w:ind w:left="4140" w:hanging="720"/>
      <w:jc w:val="both"/>
      <w:outlineLvl w:val="2"/>
    </w:pPr>
    <w:rPr>
      <w:rFonts w:ascii="Times New Roman" w:hAnsi="Times New Roman" w:eastAsia="黑体" w:cs="Times New Roman"/>
      <w:bCs/>
      <w:color w:val="FF0000"/>
      <w:kern w:val="0"/>
      <w:sz w:val="24"/>
      <w:szCs w:val="32"/>
      <w:lang w:val="en-US" w:eastAsia="zh-CN" w:bidi="ar-SA"/>
    </w:rPr>
  </w:style>
  <w:style w:type="paragraph" w:customStyle="1" w:styleId="64">
    <w:name w:val="font6"/>
    <w:next w:val="21"/>
    <w:qFormat/>
    <w:uiPriority w:val="0"/>
    <w:pPr>
      <w:widowControl/>
      <w:spacing w:before="100" w:beforeAutospacing="1" w:after="100" w:afterAutospacing="1"/>
      <w:jc w:val="left"/>
    </w:pPr>
    <w:rPr>
      <w:rFonts w:ascii="宋体" w:hAnsi="宋体" w:eastAsia="宋体" w:cs="Arial Unicode MS"/>
      <w:kern w:val="0"/>
      <w:sz w:val="18"/>
      <w:szCs w:val="18"/>
      <w:lang w:val="en-US" w:eastAsia="zh-CN" w:bidi="ar-SA"/>
    </w:rPr>
  </w:style>
  <w:style w:type="paragraph" w:customStyle="1" w:styleId="65">
    <w:name w:val="表格格式1-2"/>
    <w:basedOn w:val="1"/>
    <w:qFormat/>
    <w:uiPriority w:val="0"/>
    <w:pPr>
      <w:jc w:val="center"/>
    </w:pPr>
    <w:rPr>
      <w:szCs w:val="21"/>
    </w:rPr>
  </w:style>
  <w:style w:type="paragraph" w:customStyle="1" w:styleId="66">
    <w:name w:val="引用1"/>
    <w:basedOn w:val="1"/>
    <w:next w:val="1"/>
    <w:qFormat/>
    <w:uiPriority w:val="0"/>
    <w:pPr>
      <w:widowControl/>
      <w:spacing w:line="360" w:lineRule="exact"/>
      <w:jc w:val="center"/>
    </w:pPr>
    <w:rPr>
      <w:iCs/>
      <w:color w:val="000000"/>
      <w:szCs w:val="21"/>
    </w:rPr>
  </w:style>
  <w:style w:type="paragraph" w:customStyle="1" w:styleId="67">
    <w:name w:val="表格内容自定"/>
    <w:basedOn w:val="1"/>
    <w:qFormat/>
    <w:uiPriority w:val="0"/>
    <w:pPr>
      <w:spacing w:line="280" w:lineRule="exact"/>
      <w:jc w:val="center"/>
    </w:pPr>
    <w:rPr>
      <w:kern w:val="0"/>
      <w:sz w:val="18"/>
      <w:szCs w:val="21"/>
    </w:rPr>
  </w:style>
  <w:style w:type="paragraph" w:customStyle="1" w:styleId="68">
    <w:name w:val="表格标题"/>
    <w:basedOn w:val="14"/>
    <w:next w:val="1"/>
    <w:qFormat/>
    <w:uiPriority w:val="0"/>
    <w:pPr>
      <w:spacing w:before="120"/>
      <w:jc w:val="center"/>
    </w:pPr>
    <w:rPr>
      <w:sz w:val="24"/>
      <w:szCs w:val="20"/>
    </w:rPr>
  </w:style>
  <w:style w:type="paragraph" w:customStyle="1" w:styleId="69">
    <w:name w:val="表蕊"/>
    <w:basedOn w:val="1"/>
    <w:qFormat/>
    <w:uiPriority w:val="0"/>
    <w:pPr>
      <w:adjustRightInd w:val="0"/>
      <w:spacing w:line="320" w:lineRule="atLeast"/>
      <w:jc w:val="left"/>
      <w:textAlignment w:val="baseline"/>
    </w:pPr>
    <w:rPr>
      <w:rFonts w:eastAsia="楷体_GB2312"/>
      <w:spacing w:val="-10"/>
      <w:kern w:val="0"/>
      <w:szCs w:val="20"/>
    </w:rPr>
  </w:style>
  <w:style w:type="paragraph" w:customStyle="1" w:styleId="70">
    <w:name w:val="表标题"/>
    <w:basedOn w:val="1"/>
    <w:qFormat/>
    <w:uiPriority w:val="0"/>
    <w:pPr>
      <w:spacing w:line="500" w:lineRule="exact"/>
      <w:ind w:firstLine="0" w:firstLineChars="0"/>
      <w:jc w:val="center"/>
    </w:pPr>
    <w:rPr>
      <w:rFonts w:ascii="Times New Roman" w:hAnsi="Times New Roman" w:eastAsia="宋体"/>
      <w:b/>
    </w:rPr>
  </w:style>
  <w:style w:type="paragraph" w:customStyle="1" w:styleId="71">
    <w:name w:val="正宋小四"/>
    <w:basedOn w:val="1"/>
    <w:qFormat/>
    <w:uiPriority w:val="0"/>
    <w:pPr>
      <w:spacing w:line="360" w:lineRule="auto"/>
      <w:ind w:firstLine="1205" w:firstLineChars="200"/>
    </w:pPr>
  </w:style>
  <w:style w:type="paragraph" w:styleId="72">
    <w:name w:val="List Paragraph"/>
    <w:basedOn w:val="1"/>
    <w:qFormat/>
    <w:uiPriority w:val="34"/>
    <w:pPr>
      <w:widowControl/>
      <w:adjustRightInd/>
      <w:spacing w:line="240" w:lineRule="auto"/>
      <w:ind w:firstLine="420" w:firstLineChars="200"/>
      <w:jc w:val="left"/>
      <w:textAlignment w:val="auto"/>
    </w:pPr>
    <w:rPr>
      <w:kern w:val="0"/>
      <w:sz w:val="20"/>
      <w:szCs w:val="20"/>
    </w:rPr>
  </w:style>
  <w:style w:type="paragraph" w:customStyle="1" w:styleId="73">
    <w:name w:val="正文文本 21"/>
    <w:basedOn w:val="1"/>
    <w:qFormat/>
    <w:uiPriority w:val="0"/>
    <w:pPr>
      <w:adjustRightInd w:val="0"/>
      <w:jc w:val="center"/>
      <w:textAlignment w:val="baseline"/>
    </w:pPr>
    <w:rPr>
      <w:sz w:val="24"/>
      <w:szCs w:val="20"/>
    </w:rPr>
  </w:style>
  <w:style w:type="paragraph" w:customStyle="1" w:styleId="74">
    <w:name w:val="表内文字"/>
    <w:basedOn w:val="1"/>
    <w:next w:val="1"/>
    <w:qFormat/>
    <w:uiPriority w:val="0"/>
    <w:pPr>
      <w:spacing w:line="240" w:lineRule="auto"/>
      <w:jc w:val="center"/>
    </w:pPr>
    <w:rPr>
      <w:rFonts w:ascii="Calibri" w:hAnsi="Calibri"/>
      <w:sz w:val="21"/>
      <w:szCs w:val="18"/>
    </w:rPr>
  </w:style>
  <w:style w:type="paragraph" w:customStyle="1" w:styleId="75">
    <w:name w:val="1正文段落"/>
    <w:basedOn w:val="1"/>
    <w:autoRedefine/>
    <w:qFormat/>
    <w:uiPriority w:val="0"/>
    <w:pPr>
      <w:spacing w:line="360" w:lineRule="auto"/>
      <w:ind w:firstLine="200" w:firstLineChars="200"/>
    </w:pPr>
    <w:rPr>
      <w:rFonts w:ascii="Times New Roman" w:hAnsi="Times New Roman" w:eastAsia="宋体"/>
      <w:snapToGrid w:val="0"/>
      <w:kern w:val="0"/>
      <w:sz w:val="24"/>
      <w:szCs w:val="21"/>
    </w:rPr>
  </w:style>
  <w:style w:type="paragraph" w:customStyle="1" w:styleId="76">
    <w:name w:val="表头22"/>
    <w:basedOn w:val="1"/>
    <w:autoRedefine/>
    <w:qFormat/>
    <w:uiPriority w:val="0"/>
    <w:pPr>
      <w:jc w:val="center"/>
    </w:pPr>
    <w:rPr>
      <w:rFonts w:ascii="Times New Roman" w:hAnsi="Times New Roman" w:eastAsia="宋体" w:cs="Times New Roman"/>
      <w:b/>
      <w:kern w:val="0"/>
      <w:sz w:val="24"/>
      <w:szCs w:val="24"/>
    </w:rPr>
  </w:style>
  <w:style w:type="table" w:customStyle="1" w:styleId="77">
    <w:name w:val="表格样式1"/>
    <w:basedOn w:val="26"/>
    <w:autoRedefine/>
    <w:qFormat/>
    <w:uiPriority w:val="0"/>
    <w:rPr>
      <w:rFonts w:ascii="Times New Roman" w:hAnsi="Times New Roman" w:eastAsia="宋体" w:cs="Times New Roman"/>
      <w:kern w:val="0"/>
      <w:sz w:val="20"/>
      <w:szCs w:val="20"/>
    </w:r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5" Type="http://schemas.openxmlformats.org/officeDocument/2006/relationships/fontTable" Target="fontTable.xml"/><Relationship Id="rId64" Type="http://schemas.openxmlformats.org/officeDocument/2006/relationships/customXml" Target="../customXml/item2.xml"/><Relationship Id="rId63" Type="http://schemas.openxmlformats.org/officeDocument/2006/relationships/numbering" Target="numbering.xml"/><Relationship Id="rId62" Type="http://schemas.openxmlformats.org/officeDocument/2006/relationships/customXml" Target="../customXml/item1.xml"/><Relationship Id="rId61" Type="http://schemas.openxmlformats.org/officeDocument/2006/relationships/image" Target="media/image49.png"/><Relationship Id="rId60" Type="http://schemas.openxmlformats.org/officeDocument/2006/relationships/image" Target="media/image48.png"/><Relationship Id="rId6" Type="http://schemas.openxmlformats.org/officeDocument/2006/relationships/footer" Target="footer4.xml"/><Relationship Id="rId59" Type="http://schemas.openxmlformats.org/officeDocument/2006/relationships/image" Target="media/image47.emf"/><Relationship Id="rId58" Type="http://schemas.openxmlformats.org/officeDocument/2006/relationships/image" Target="media/image46.emf"/><Relationship Id="rId57" Type="http://schemas.openxmlformats.org/officeDocument/2006/relationships/image" Target="media/image45.emf"/><Relationship Id="rId56" Type="http://schemas.openxmlformats.org/officeDocument/2006/relationships/image" Target="media/image44.emf"/><Relationship Id="rId55" Type="http://schemas.openxmlformats.org/officeDocument/2006/relationships/image" Target="media/image43.emf"/><Relationship Id="rId54" Type="http://schemas.openxmlformats.org/officeDocument/2006/relationships/image" Target="media/image42.emf"/><Relationship Id="rId53" Type="http://schemas.openxmlformats.org/officeDocument/2006/relationships/image" Target="media/image41.emf"/><Relationship Id="rId52" Type="http://schemas.openxmlformats.org/officeDocument/2006/relationships/image" Target="media/image40.emf"/><Relationship Id="rId51" Type="http://schemas.openxmlformats.org/officeDocument/2006/relationships/image" Target="media/image39.wmf"/><Relationship Id="rId50" Type="http://schemas.openxmlformats.org/officeDocument/2006/relationships/oleObject" Target="embeddings/oleObject5.bin"/><Relationship Id="rId5" Type="http://schemas.openxmlformats.org/officeDocument/2006/relationships/footer" Target="footer3.xml"/><Relationship Id="rId49" Type="http://schemas.openxmlformats.org/officeDocument/2006/relationships/image" Target="media/image38.wmf"/><Relationship Id="rId48" Type="http://schemas.openxmlformats.org/officeDocument/2006/relationships/image" Target="media/image37.wmf"/><Relationship Id="rId47" Type="http://schemas.openxmlformats.org/officeDocument/2006/relationships/image" Target="media/image36.wmf"/><Relationship Id="rId46" Type="http://schemas.openxmlformats.org/officeDocument/2006/relationships/image" Target="media/image35.wmf"/><Relationship Id="rId45" Type="http://schemas.openxmlformats.org/officeDocument/2006/relationships/image" Target="media/image34.wmf"/><Relationship Id="rId44" Type="http://schemas.openxmlformats.org/officeDocument/2006/relationships/image" Target="media/image33.wmf"/><Relationship Id="rId43" Type="http://schemas.openxmlformats.org/officeDocument/2006/relationships/image" Target="media/image32.wmf"/><Relationship Id="rId42" Type="http://schemas.openxmlformats.org/officeDocument/2006/relationships/image" Target="media/image31.wmf"/><Relationship Id="rId41" Type="http://schemas.openxmlformats.org/officeDocument/2006/relationships/image" Target="media/image30.wmf"/><Relationship Id="rId40" Type="http://schemas.openxmlformats.org/officeDocument/2006/relationships/image" Target="media/image29.wmf"/><Relationship Id="rId4" Type="http://schemas.openxmlformats.org/officeDocument/2006/relationships/footer" Target="footer2.xml"/><Relationship Id="rId39" Type="http://schemas.openxmlformats.org/officeDocument/2006/relationships/image" Target="media/image28.wmf"/><Relationship Id="rId38" Type="http://schemas.openxmlformats.org/officeDocument/2006/relationships/image" Target="media/image27.wmf"/><Relationship Id="rId37" Type="http://schemas.openxmlformats.org/officeDocument/2006/relationships/image" Target="media/image26.wmf"/><Relationship Id="rId36" Type="http://schemas.openxmlformats.org/officeDocument/2006/relationships/image" Target="media/image25.wmf"/><Relationship Id="rId35" Type="http://schemas.openxmlformats.org/officeDocument/2006/relationships/image" Target="media/image24.wmf"/><Relationship Id="rId34" Type="http://schemas.openxmlformats.org/officeDocument/2006/relationships/image" Target="media/image23.wmf"/><Relationship Id="rId33" Type="http://schemas.openxmlformats.org/officeDocument/2006/relationships/image" Target="media/image22.wmf"/><Relationship Id="rId32" Type="http://schemas.openxmlformats.org/officeDocument/2006/relationships/image" Target="media/image21.wmf"/><Relationship Id="rId31" Type="http://schemas.openxmlformats.org/officeDocument/2006/relationships/image" Target="media/image20.wmf"/><Relationship Id="rId30" Type="http://schemas.openxmlformats.org/officeDocument/2006/relationships/image" Target="media/image19.wmf"/><Relationship Id="rId3" Type="http://schemas.openxmlformats.org/officeDocument/2006/relationships/footer" Target="footer1.xml"/><Relationship Id="rId29" Type="http://schemas.openxmlformats.org/officeDocument/2006/relationships/image" Target="media/image18.wmf"/><Relationship Id="rId28" Type="http://schemas.openxmlformats.org/officeDocument/2006/relationships/image" Target="media/image17.wmf"/><Relationship Id="rId27" Type="http://schemas.openxmlformats.org/officeDocument/2006/relationships/image" Target="media/image16.wmf"/><Relationship Id="rId26" Type="http://schemas.openxmlformats.org/officeDocument/2006/relationships/image" Target="media/image15.wmf"/><Relationship Id="rId25" Type="http://schemas.openxmlformats.org/officeDocument/2006/relationships/image" Target="media/image14.wmf"/><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emf"/><Relationship Id="rId21" Type="http://schemas.openxmlformats.org/officeDocument/2006/relationships/oleObject" Target="embeddings/oleObject4.bin"/><Relationship Id="rId20" Type="http://schemas.openxmlformats.org/officeDocument/2006/relationships/image" Target="media/image10.e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9.emf"/><Relationship Id="rId17" Type="http://schemas.openxmlformats.org/officeDocument/2006/relationships/oleObject" Target="embeddings/oleObject2.bin"/><Relationship Id="rId16" Type="http://schemas.openxmlformats.org/officeDocument/2006/relationships/image" Target="media/image8.emf"/><Relationship Id="rId15" Type="http://schemas.openxmlformats.org/officeDocument/2006/relationships/oleObject" Target="embeddings/oleObject1.bin"/><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d5a7d037-e918-465d-8e1c-0b2366cc07df</errorID>
      <errorWord>和在</errorWord>
      <group>L1_Word</group>
      <groupName>字词问题</groupName>
      <ability>L2_Typo</ability>
      <abilityName>字词错误</abilityName>
      <candidateList>
        <item>和</item>
      </candidateList>
      <explain>〈量〉用于洗东西换水的次数或一剂药煎的次数：衣裳已经洗了三～｜二～药。</explain>
      <paraID>5B55156F</paraID>
      <start>58</start>
      <end>60</end>
      <status>unmodified</status>
      <modifiedWord/>
      <trackRevisions>false</trackRevisions>
    </reviewItem>
    <reviewItem>
      <errorID>bb2560a0-bfce-4234-a565-e14380e37941</errorID>
      <errorWord>巩固脱贫攻坚成果</errorWord>
      <group>L1_Word</group>
      <groupName>字词问题</groupName>
      <ability>L2_Typo</ability>
      <abilityName>字词错误</abilityName>
      <candidateList>
        <item>巩固拓展脱贫攻坚成果</item>
      </candidateList>
      <explain/>
      <paraID>5B55156F</paraID>
      <start>177</start>
      <end>185</end>
      <status>unmodified</status>
      <modifiedWord/>
      <trackRevisions>false</trackRevisions>
    </reviewItem>
    <reviewItem>
      <errorID>69d0057c-a415-4d2c-88fc-dd940b9996a5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4316E36A</paraID>
      <start>0</start>
      <end>2</end>
      <status>unmodified</status>
      <modifiedWord/>
      <trackRevisions>false</trackRevisions>
    </reviewItem>
    <reviewItem>
      <errorID>60f8f4c4-526f-4e12-a12a-c4c2e986975d</errorID>
      <errorWord>[2022]2号</errorWord>
      <group>L1_Knowledge</group>
      <groupName>知识性问题</groupName>
      <ability>L2_Knowledge</ability>
      <abilityName>其他知识</abilityName>
      <candidateList>
        <item>〔2022〕2号</item>
      </candidateList>
      <explain>发文字号格式错误。</explain>
      <paraID>3A82D2F7</paraID>
      <start>32</start>
      <end>40</end>
      <status>unmodified</status>
      <modifiedWord/>
      <trackRevisions>false</trackRevisions>
    </reviewItem>
    <reviewItem>
      <errorID>264eaf41-b3fe-49f8-8766-e6b5b1f5b8a9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69B3080F</paraID>
      <start>0</start>
      <end>2</end>
      <status>unmodified</status>
      <modifiedWord/>
      <trackRevisions>false</trackRevisions>
    </reviewItem>
    <reviewItem>
      <errorID>e641f219-7b95-4b5d-8e65-4353dbe4f7cc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55D9058A</paraID>
      <start>0</start>
      <end>2</end>
      <status>unmodified</status>
      <modifiedWord/>
      <trackRevisions>false</trackRevisions>
    </reviewItem>
    <reviewItem>
      <errorID>2e63b586-1374-4196-83b7-da7e454ec915</errorID>
      <errorWord>上线</errorWord>
      <group>L1_Word</group>
      <groupName>字词问题</groupName>
      <ability>L2_Typo</ability>
      <abilityName>字词错误</abilityName>
      <candidateList>
        <item>上限</item>
      </candidateList>
      <explain/>
      <paraID>51284493</paraID>
      <start>15</start>
      <end>17</end>
      <status>unmodified</status>
      <modifiedWord/>
      <trackRevisions>false</trackRevisions>
    </reviewItem>
    <reviewItem>
      <errorID>52fec577-0864-4c0e-9a7a-f779f0b6d79a</errorID>
      <errorWord>上线</errorWord>
      <group>L1_Word</group>
      <groupName>字词问题</groupName>
      <ability>L2_Typo</ability>
      <abilityName>字词错误</abilityName>
      <candidateList>
        <item>上限</item>
      </candidateList>
      <explain/>
      <paraID>32717BB2</paraID>
      <start>115</start>
      <end>117</end>
      <status>unmodified</status>
      <modifiedWord/>
      <trackRevisions>false</trackRevisions>
    </reviewItem>
    <reviewItem>
      <errorID>a585a905-9172-48f1-bbb1-0a641478ee2c</errorID>
      <errorWord>-</errorWord>
      <group>L1_Format</group>
      <groupName>格式问题</groupName>
      <ability>L2_HalfPunc</ability>
      <abilityName>全半角检查</abilityName>
      <candidateList>
        <item>－</item>
      </candidateList>
      <explain>文本全半角错误。</explain>
      <paraID>218887A1</paraID>
      <start>80</start>
      <end>81</end>
      <status>unmodified</status>
      <modifiedWord/>
      <trackRevisions>false</trackRevisions>
    </reviewItem>
    <reviewItem>
      <errorID>94b4a606-fd03-474a-a00b-24c334443d40</errorID>
      <errorWord>-</errorWord>
      <group>L1_Format</group>
      <groupName>格式问题</groupName>
      <ability>L2_HalfPunc</ability>
      <abilityName>全半角检查</abilityName>
      <candidateList>
        <item>－</item>
      </candidateList>
      <explain>文本全半角错误。</explain>
      <paraID>218887A1</paraID>
      <start>100</start>
      <end>101</end>
      <status>unmodified</status>
      <modifiedWord/>
      <trackRevisions>false</trackRevisions>
    </reviewItem>
    <reviewItem>
      <errorID>936ad0ac-cd26-4f76-a7f5-a09d972c692d</errorID>
      <errorWord>，</errorWord>
      <group>L1_Word</group>
      <groupName>字词问题</groupName>
      <ability>L2_Typo</ability>
      <abilityName>字词错误</abilityName>
      <candidateList>
        <item>，对</item>
      </candidateList>
      <explain/>
      <paraID>1E04C14E</paraID>
      <start>259</start>
      <end>260</end>
      <status>unmodified</status>
      <modifiedWord/>
      <trackRevisions>false</trackRevisions>
    </reviewItem>
    <reviewItem>
      <errorID>6a664a1c-a07b-44f8-b411-767e5d3bcf85</errorID>
      <errorWord>[2016]150号</errorWord>
      <group>L1_Knowledge</group>
      <groupName>知识性问题</groupName>
      <ability>L2_Knowledge</ability>
      <abilityName>其他知识</abilityName>
      <candidateList>
        <item>〔2016〕150号</item>
      </candidateList>
      <explain>发文字号格式错误。</explain>
      <paraID>46DD4FFD</paraID>
      <start>39</start>
      <end>49</end>
      <status>unmodified</status>
      <modifiedWord/>
      <trackRevisions>false</trackRevisions>
    </reviewItem>
    <reviewItem>
      <errorID>39bc4901-b17f-44f4-8f01-8406e8bcc663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57D66BC9</paraID>
      <start>0</start>
      <end>2</end>
      <status>unmodified</status>
      <modifiedWord/>
      <trackRevisions>false</trackRevisions>
    </reviewItem>
    <reviewItem>
      <errorID>c8b602c1-5a56-4a59-a570-3a8831f3f711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58D88FF4</paraID>
      <start>0</start>
      <end>2</end>
      <status>unmodified</status>
      <modifiedWord/>
      <trackRevisions>false</trackRevisions>
    </reviewItem>
    <reviewItem>
      <errorID>150de224-5579-41c8-8ccc-adfa5968780f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4375009</paraID>
      <start>21</start>
      <end>22</end>
      <status>unmodified</status>
      <modifiedWord/>
      <trackRevisions>false</trackRevisions>
    </reviewItem>
    <reviewItem>
      <errorID>794589bd-fa5a-4ec3-98b2-61a87cf4aa96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318BC3D3</paraID>
      <start>0</start>
      <end>2</end>
      <status>unmodified</status>
      <modifiedWord/>
      <trackRevisions>false</trackRevisions>
    </reviewItem>
    <reviewItem>
      <errorID>fd9798e9-e2b5-472c-948d-a1ca0e92fe14</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376411B0</paraID>
      <start>0</start>
      <end>2</end>
      <status>unmodified</status>
      <modifiedWord/>
      <trackRevisions>false</trackRevisions>
    </reviewItem>
    <reviewItem>
      <errorID>c9a63f73-eb6f-404b-9982-c352ae3e386c</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756CC79A</paraID>
      <start>0</start>
      <end>2</end>
      <status>unmodified</status>
      <modifiedWord/>
      <trackRevisions>false</trackRevisions>
    </reviewItem>
    <reviewItem>
      <errorID>e1df1134-678f-47f6-8133-424d5be89158</errorID>
      <errorWord>“</errorWord>
      <group>L1_Punc</group>
      <groupName>标点问题</groupName>
      <ability>L2_Punc</ability>
      <abilityName>标点符号检查</abilityName>
      <candidateList/>
      <explain/>
      <paraID>58B841B7</paraID>
      <start>129</start>
      <end>130</end>
      <status>unmodified</status>
      <modifiedWord/>
      <trackRevisions>false</trackRevisions>
    </reviewItem>
    <reviewItem>
      <errorID>31ae08be-c8a7-4d83-8313-737328d12a9f</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12BF9E27</paraID>
      <start>0</start>
      <end>2</end>
      <status>unmodified</status>
      <modifiedWord/>
      <trackRevisions>false</trackRevisions>
    </reviewItem>
    <reviewItem>
      <errorID>48456064-40e1-49a1-8427-e01dbafd14e2</errorID>
      <errorWord>[2021]65号</errorWord>
      <group>L1_Knowledge</group>
      <groupName>知识性问题</groupName>
      <ability>L2_Knowledge</ability>
      <abilityName>其他知识</abilityName>
      <candidateList>
        <item>〔2021〕65号</item>
      </candidateList>
      <explain>发文字号格式错误。</explain>
      <paraID>3297FAE3</paraID>
      <start>29</start>
      <end>38</end>
      <status>unmodified</status>
      <modifiedWord/>
      <trackRevisions>false</trackRevisions>
    </reviewItem>
    <reviewItem>
      <errorID>48e4a93c-c53b-4d06-9ebd-c1facdeb028c</errorID>
      <errorWord>[2019]53号</errorWord>
      <group>L1_Knowledge</group>
      <groupName>知识性问题</groupName>
      <ability>L2_Knowledge</ability>
      <abilityName>其他知识</abilityName>
      <candidateList>
        <item>〔2019〕53号</item>
      </candidateList>
      <explain>发文字号格式错误。</explain>
      <paraID>399811F5</paraID>
      <start>22</start>
      <end>31</end>
      <status>unmodified</status>
      <modifiedWord/>
      <trackRevisions>false</trackRevisions>
    </reviewItem>
    <reviewItem>
      <errorID>4076b3f6-8c00-455f-952b-89938007dde7</errorID>
      <errorWord>[2021]</errorWord>
      <group>L1_Punc</group>
      <groupName>标点问题</groupName>
      <ability>L2_Punc</ability>
      <abilityName>标点符号检查</abilityName>
      <candidateList>
        <item>〔2021〕</item>
      </candidateList>
      <explain/>
      <paraID>225D80EC</paraID>
      <start>34</start>
      <end>40</end>
      <status>unmodified</status>
      <modifiedWord/>
      <trackRevisions>false</trackRevisions>
    </reviewItem>
    <reviewItem>
      <errorID>721039f2-b56d-4492-b75f-4053261cd58a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6613E75C</paraID>
      <start>0</start>
      <end>2</end>
      <status>unmodified</status>
      <modifiedWord/>
      <trackRevisions>false</trackRevisions>
    </reviewItem>
    <reviewItem>
      <errorID>1c61c3e7-e7f8-459b-b615-1e87a03dbd6a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278DB2FF</paraID>
      <start>0</start>
      <end>2</end>
      <status>unmodified</status>
      <modifiedWord/>
      <trackRevisions>false</trackRevisions>
    </reviewItem>
    <reviewItem>
      <errorID>79a7578e-5a4d-4a5b-ac74-4b0c200a7774</errorID>
      <errorWord>[2021]7号</errorWord>
      <group>L1_Knowledge</group>
      <groupName>知识性问题</groupName>
      <ability>L2_Knowledge</ability>
      <abilityName>其他知识</abilityName>
      <candidateList>
        <item>〔2021〕7号</item>
      </candidateList>
      <explain>发文字号格式错误。</explain>
      <paraID>4C12E7FD</paraID>
      <start>40</start>
      <end>48</end>
      <status>unmodified</status>
      <modifiedWord/>
      <trackRevisions>false</trackRevisions>
    </reviewItem>
    <reviewItem>
      <errorID>d3ce895f-b226-4e74-a28c-fd7d233fa8c7</errorID>
      <errorWord>里</errorWord>
      <group>L1_Word</group>
      <groupName>字词问题</groupName>
      <ability>L2_Typo</ability>
      <abilityName>字词错误</abilityName>
      <candidateList>
        <item>中</item>
      </candidateList>
      <explain>存在字形相近字词的误用。</explain>
      <paraID>4C12E7FD</paraID>
      <start>209</start>
      <end>210</end>
      <status>modified</status>
      <modifiedWord>中</modifiedWord>
      <trackRevisions>false</trackRevisions>
    </reviewItem>
    <reviewItem>
      <errorID>cbae95d1-bc79-45dd-a65a-611f4693b6d6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3AED6079</paraID>
      <start>0</start>
      <end>2</end>
      <status>unmodified</status>
      <modifiedWord/>
      <trackRevisions>false</trackRevisions>
    </reviewItem>
    <reviewItem>
      <errorID>61d7278d-b1ff-4df8-9d30-03daf4a5cbc1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E7A73BE</paraID>
      <start>3</start>
      <end>4</end>
      <status>unmodified</status>
      <modifiedWord/>
      <trackRevisions>false</trackRevisions>
    </reviewItem>
    <reviewItem>
      <errorID>e81c5d85-47d7-4292-a54e-87d2960f4994</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446F8A2F</paraID>
      <start>0</start>
      <end>2</end>
      <status>unmodified</status>
      <modifiedWord/>
      <trackRevisions>false</trackRevisions>
    </reviewItem>
    <reviewItem>
      <errorID>a7ef906a-5aa0-489e-bdb2-8a7efb316613</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4C538717</paraID>
      <start>0</start>
      <end>2</end>
      <status>unmodified</status>
      <modifiedWord/>
      <trackRevisions>false</trackRevisions>
    </reviewItem>
    <reviewItem>
      <errorID>91b2f74c-c73d-4681-aaae-5b7a224bed4b</errorID>
      <errorWord>~</errorWord>
      <group>L1_Format</group>
      <groupName>格式问题</groupName>
      <ability>L2_HalfPunc</ability>
      <abilityName>全半角检查</abilityName>
      <candidateList>
        <item>～</item>
      </candidateList>
      <explain>文本全半角错误。</explain>
      <paraID>59401B82</paraID>
      <start>52</start>
      <end>53</end>
      <status>unmodified</status>
      <modifiedWord/>
      <trackRevisions>false</trackRevisions>
    </reviewItem>
    <reviewItem>
      <errorID>d9090128-a2d1-4948-af27-95192a3f1760</errorID>
      <errorWord>8~15万</errorWord>
      <group>L1_Knowledge</group>
      <groupName>知识性问题</groupName>
      <ability>L2_Knowledge</ability>
      <abilityName>其他知识</abilityName>
      <candidateList>
        <item>8万～15万</item>
      </candidateList>
      <explain>1. “8~15万”中的单位“万”仅出现在后一个数字上，容易引起歧义；根据《现代汉语标点符号数字用法规范手册》，数字表示范围两边需要使用统一的格式。2. 根据标点国标 4.13 中的规则，数字、时间或地域连接符应使用（视觉上更长的）“—”或“～”。</explain>
      <paraID>59401B82</paraID>
      <start>109</start>
      <end>114</end>
      <status>unmodified</status>
      <modifiedWord/>
      <trackRevisions>false</trackRevisions>
    </reviewItem>
    <reviewItem>
      <errorID>00b1a5ca-c617-4d9d-9245-7ad6f97e7f75</errorID>
      <errorWord>融化</errorWord>
      <group>L1_Word</group>
      <groupName>字词问题</groupName>
      <ability>L2_Typo</ability>
      <abilityName>字词错误</abilityName>
      <candidateList>
        <item>熔化</item>
      </candidateList>
      <explain>存在发音相同字词的误用。</explain>
      <paraID>59401B82</paraID>
      <start>161</start>
      <end>163</end>
      <status>unmodified</status>
      <modifiedWord/>
      <trackRevisions>false</trackRevisions>
    </reviewItem>
    <reviewItem>
      <errorID>c1d81a8e-2dc6-43ef-b474-2794b80fb471</errorID>
      <errorWord>作各种</errorWord>
      <group>L1_Word</group>
      <groupName>字词问题</groupName>
      <ability>L2_Typo</ability>
      <abilityName>字词错误</abilityName>
      <candidateList>
        <item>做各种</item>
      </candidateList>
      <explain/>
      <paraID>59401B82</paraID>
      <start>281</start>
      <end>284</end>
      <status>modified</status>
      <modifiedWord>做各种</modifiedWord>
      <trackRevisions>false</trackRevisions>
    </reviewItem>
    <reviewItem>
      <errorID>e6b4779c-f7a3-4c49-a859-a47097507a62</errorID>
      <errorWord>他</errorWord>
      <group>L1_Word</group>
      <groupName>字词问题</groupName>
      <ability>L2_Typo</ability>
      <abilityName>字词错误</abilityName>
      <candidateList>
        <item>它</item>
      </candidateList>
      <explain>存在发音相同字词的误用。</explain>
      <paraID>4708DCA6</paraID>
      <start>178</start>
      <end>179</end>
      <status>modified</status>
      <modifiedWord>它</modifiedWord>
      <trackRevisions>false</trackRevisions>
    </reviewItem>
    <reviewItem>
      <errorID>99ed79d9-906c-45fe-82d5-3cf5b352e01e</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70069F4E</paraID>
      <start>0</start>
      <end>2</end>
      <status>unmodified</status>
      <modifiedWord/>
      <trackRevisions>false</trackRevisions>
    </reviewItem>
    <reviewItem>
      <errorID>bbb5c5ad-38cb-40be-baf9-be63c0dd336d</errorID>
      <errorWord>外拍</errorWord>
      <group>L1_Word</group>
      <groupName>字词问题</groupName>
      <ability>L2_Typo</ability>
      <abilityName>字词错误</abilityName>
      <candidateList>
        <item>外排</item>
      </candidateList>
      <explain/>
      <paraID>49881E70</paraID>
      <start>19</start>
      <end>21</end>
      <status>modified</status>
      <modifiedWord>外排</modifiedWord>
      <trackRevisions>false</trackRevisions>
    </reviewItem>
    <reviewItem>
      <errorID>1ad0af65-2d8f-43c5-8b44-cc1186402ef5</errorID>
      <errorWord>年</errorWord>
      <group>L1_Knowledge</group>
      <groupName>知识性问题</groupName>
      <ability>L2_Knowledge</ability>
      <abilityName>其他知识</abilityName>
      <candidateList>
        <item>日</item>
      </candidateList>
      <explain/>
      <paraID>3AC54B41</paraID>
      <start>162</start>
      <end>163</end>
      <status>modified</status>
      <modifiedWord>日</modifiedWord>
      <trackRevisions>false</trackRevisions>
    </reviewItem>
    <reviewItem>
      <errorID>42add90c-1fd3-4b13-8065-c47654d282df</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2891FDD8</paraID>
      <start>0</start>
      <end>2</end>
      <status>unmodified</status>
      <modifiedWord/>
      <trackRevisions>false</trackRevisions>
    </reviewItem>
    <reviewItem>
      <errorID>60d1c1b3-1ac2-4f9e-8088-49a9356be059</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370B6A3F</paraID>
      <start>0</start>
      <end>2</end>
      <status>unmodified</status>
      <modifiedWord/>
      <trackRevisions>false</trackRevisions>
    </reviewItem>
    <reviewItem>
      <errorID>8ee3d975-4f9b-49bf-8019-bda042e22bc2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3E5B34B1</paraID>
      <start>0</start>
      <end>2</end>
      <status>unmodified</status>
      <modifiedWord/>
      <trackRevisions>false</trackRevisions>
    </reviewItem>
    <reviewItem>
      <errorID>7e615766-c64f-4aa3-a9fd-ba5cb56fefa2</errorID>
      <errorWord>得</errorWord>
      <group>L1_Word</group>
      <groupName>字词问题</groupName>
      <ability>L2_DDD</ability>
      <abilityName>的地得用法</abilityName>
      <candidateList>
        <item>的</item>
      </candidateList>
      <explain>“的”常用于连接修饰语与名词性中心语，表示属性、所属或描述。</explain>
      <paraID>70DD1D85</paraID>
      <start>101</start>
      <end>102</end>
      <status>modified</status>
      <modifiedWord>的</modifiedWord>
      <trackRevisions>false</trackRevisions>
    </reviewItem>
    <reviewItem>
      <errorID>24ab49db-96da-44f3-a1af-927422e03f1a</errorID>
      <errorWord>；；</errorWord>
      <group>L1_Punc</group>
      <groupName>标点问题</groupName>
      <ability>L2_Punc</ability>
      <abilityName>标点符号检查</abilityName>
      <candidateList>
        <item>；</item>
      </candidateList>
      <explain/>
      <paraID>7FAC32D7</paraID>
      <start>54</start>
      <end>56</end>
      <status>unmodified</status>
      <modifiedWord/>
      <trackRevisions>false</trackRevisions>
    </reviewItem>
    <reviewItem>
      <errorID>ccb0e8f1-6863-4c6d-8e60-cd2a2f8c91e4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78CD0EB1</paraID>
      <start>0</start>
      <end>2</end>
      <status>unmodified</status>
      <modifiedWord/>
      <trackRevisions>false</trackRevisions>
    </reviewItem>
    <reviewItem>
      <errorID>255dab35-0f03-454e-9193-2e87af88cac5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42258E06</paraID>
      <start>0</start>
      <end>2</end>
      <status>unmodified</status>
      <modifiedWord/>
      <trackRevisions>false</trackRevisions>
    </reviewItem>
    <reviewItem>
      <errorID>2bd0673f-106d-42dc-81a3-f4ee040ad096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3C5C0769</paraID>
      <start>0</start>
      <end>2</end>
      <status>unmodified</status>
      <modifiedWord/>
      <trackRevisions>false</trackRevisions>
    </reviewItem>
    <reviewItem>
      <errorID>567a7724-fd95-4384-862b-d20bf8f7c90e</errorID>
      <errorWord>2025年1月09日</errorWord>
      <group>L1_Knowledge</group>
      <groupName>知识性问题</groupName>
      <ability>L2_Time</ability>
      <abilityName>日期时间</abilityName>
      <candidateList>
        <item>2025年1月9日</item>
      </candidateList>
      <explain>根据日常书写习惯，日期一般会省略前导零。</explain>
      <paraID>442D0565</paraID>
      <start>10</start>
      <end>20</end>
      <status>unmodified</status>
      <modifiedWord/>
      <trackRevisions>false</trackRevisions>
    </reviewItem>
    <reviewItem>
      <errorID>d5132221-6f9d-4714-b042-70cab8067cde</errorID>
      <errorWord>检测点位</errorWord>
      <group>L1_Knowledge</group>
      <groupName>知识性问题</groupName>
      <ability>L2_Term</ability>
      <abilityName>专业术语</abilityName>
      <candidateList>
        <item>监测点位</item>
      </candidateList>
      <explain/>
      <paraID>16B3F579</paraID>
      <start>83</start>
      <end>87</end>
      <status>modified</status>
      <modifiedWord>监测点位</modifiedWord>
      <trackRevisions>false</trackRevisions>
    </reviewItem>
    <reviewItem>
      <errorID>90e12cb4-252c-4c6b-8f6b-fe69f7695885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16B3F579</paraID>
      <start>133</start>
      <end>134</end>
      <status>unmodified</status>
      <modifiedWord/>
      <trackRevisions>false</trackRevisions>
    </reviewItem>
    <reviewItem>
      <errorID>f6367660-ae35-4adb-a208-c8744c059584</errorID>
      <errorWord>~</errorWord>
      <group>L1_Format</group>
      <groupName>格式问题</groupName>
      <ability>L2_HalfPunc</ability>
      <abilityName>全半角检查</abilityName>
      <candidateList>
        <item>～</item>
      </candidateList>
      <explain>文本全半角错误。</explain>
      <paraID>16B3F579</paraID>
      <start>145</start>
      <end>146</end>
      <status>unmodified</status>
      <modifiedWord/>
      <trackRevisions>false</trackRevisions>
    </reviewItem>
    <reviewItem>
      <errorID>92910d9e-7a64-4f94-b3a1-7fbf9ff599a7</errorID>
      <errorWord>(</errorWord>
      <group>L1_Format</group>
      <groupName>格式问题</groupName>
      <ability>L2_HalfPunc</ability>
      <abilityName>全半角检查</abilityName>
      <candidateList>
        <item>（</item>
      </candidateList>
      <explain>文本全半角错误。</explain>
      <paraID>7311BB67</paraID>
      <start>28</start>
      <end>29</end>
      <status>unmodified</status>
      <modifiedWord/>
      <trackRevisions>false</trackRevisions>
    </reviewItem>
    <reviewItem>
      <errorID>96435c70-fabe-4332-a9a9-14d877c5b028</errorID>
      <errorWord>)</errorWord>
      <group>L1_Format</group>
      <groupName>格式问题</groupName>
      <ability>L2_HalfPunc</ability>
      <abilityName>全半角检查</abilityName>
      <candidateList>
        <item>）</item>
      </candidateList>
      <explain>文本全半角错误。</explain>
      <paraID>7311BB67</paraID>
      <start>40</start>
      <end>41</end>
      <status>unmodified</status>
      <modifiedWord/>
      <trackRevisions>false</trackRevisions>
    </reviewItem>
    <reviewItem>
      <errorID>8debe1f1-518a-4fa6-abf5-793788dfe408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16E90627</paraID>
      <start>0</start>
      <end>2</end>
      <status>unmodified</status>
      <modifiedWord/>
      <trackRevisions>false</trackRevisions>
    </reviewItem>
    <reviewItem>
      <errorID>27c63f8b-1fa8-4f32-8f88-6f7687755e16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11F4E5EA</paraID>
      <start>0</start>
      <end>2</end>
      <status>unmodified</status>
      <modifiedWord/>
      <trackRevisions>false</trackRevisions>
    </reviewItem>
    <reviewItem>
      <errorID>1280fcf2-3c6f-4867-bd55-00620cd34314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2CA858FD</paraID>
      <start>0</start>
      <end>2</end>
      <status>unmodified</status>
      <modifiedWord/>
      <trackRevisions>false</trackRevisions>
    </reviewItem>
    <reviewItem>
      <errorID>d023fea3-eb3e-4f88-b0d8-76cc397f308f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31837F21</paraID>
      <start>0</start>
      <end>2</end>
      <status>unmodified</status>
      <modifiedWord/>
      <trackRevisions>false</trackRevisions>
    </reviewItem>
    <reviewItem>
      <errorID>e70de915-2b79-42ae-9ae8-9d1536ce1419</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2AE3C517</paraID>
      <start>0</start>
      <end>2</end>
      <status>unmodified</status>
      <modifiedWord/>
      <trackRevisions>false</trackRevisions>
    </reviewItem>
    <reviewItem>
      <errorID>3d9ae1cb-9065-4d5a-b913-4f831ac2413e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5DFEEE9F</paraID>
      <start>0</start>
      <end>2</end>
      <status>unmodified</status>
      <modifiedWord/>
      <trackRevisions>false</trackRevisions>
    </reviewItem>
    <reviewItem>
      <errorID>b3c90865-a6c5-4599-ad7e-0859d4c9237a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33C20E9E</paraID>
      <start>0</start>
      <end>2</end>
      <status>unmodified</status>
      <modifiedWord/>
      <trackRevisions>false</trackRevisions>
    </reviewItem>
    <reviewItem>
      <errorID>873cef1d-36e0-4cea-9693-9eb439bdcaee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48A03024</paraID>
      <start>0</start>
      <end>2</end>
      <status>unmodified</status>
      <modifiedWord/>
      <trackRevisions>false</trackRevisions>
    </reviewItem>
    <reviewItem>
      <errorID>430c4504-1380-41f0-a951-be2c705068ff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64126EC9</paraID>
      <start>0</start>
      <end>2</end>
      <status>unmodified</status>
      <modifiedWord/>
      <trackRevisions>false</trackRevisions>
    </reviewItem>
    <reviewItem>
      <errorID>0bd27709-8da2-40ad-a7bd-3552f3828bd8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3D7CB16D</paraID>
      <start>0</start>
      <end>2</end>
      <status>unmodified</status>
      <modifiedWord/>
      <trackRevisions>false</trackRevisions>
    </reviewItem>
    <reviewItem>
      <errorID>2ef79ae2-917d-4acf-859d-0b58e3203b37</errorID>
      <errorWord>(</errorWord>
      <group>L1_Format</group>
      <groupName>格式问题</groupName>
      <ability>L2_HalfPunc</ability>
      <abilityName>全半角检查</abilityName>
      <candidateList>
        <item>（</item>
      </candidateList>
      <explain>文本全半角错误。</explain>
      <paraID>6F779A7A</paraID>
      <start>112</start>
      <end>113</end>
      <status>unmodified</status>
      <modifiedWord/>
      <trackRevisions>false</trackRevisions>
    </reviewItem>
    <reviewItem>
      <errorID>02eb06a6-8c27-4133-a2b4-8474acbe604f</errorID>
      <errorWord>)</errorWord>
      <group>L1_Format</group>
      <groupName>格式问题</groupName>
      <ability>L2_HalfPunc</ability>
      <abilityName>全半角检查</abilityName>
      <candidateList>
        <item>）</item>
      </candidateList>
      <explain>文本全半角错误。</explain>
      <paraID>6F779A7A</paraID>
      <start>125</start>
      <end>126</end>
      <status>unmodified</status>
      <modifiedWord/>
      <trackRevisions>false</trackRevisions>
    </reviewItem>
    <reviewItem>
      <errorID>e8bc2bdc-342a-40d9-a9bd-15c3b9a4a86e</errorID>
      <errorWord>(</errorWord>
      <group>L1_Format</group>
      <groupName>格式问题</groupName>
      <ability>L2_HalfPunc</ability>
      <abilityName>全半角检查</abilityName>
      <candidateList>
        <item>（</item>
      </candidateList>
      <explain>文本全半角错误。</explain>
      <paraID>5845F4B5</paraID>
      <start>21</start>
      <end>22</end>
      <status>unmodified</status>
      <modifiedWord/>
      <trackRevisions>false</trackRevisions>
    </reviewItem>
    <reviewItem>
      <errorID>652f9555-7541-40b7-b387-6526bd76bdcc</errorID>
      <errorWord>)</errorWord>
      <group>L1_Format</group>
      <groupName>格式问题</groupName>
      <ability>L2_HalfPunc</ability>
      <abilityName>全半角检查</abilityName>
      <candidateList>
        <item>）</item>
      </candidateList>
      <explain>文本全半角错误。</explain>
      <paraID>5845F4B5</paraID>
      <start>34</start>
      <end>35</end>
      <status>unmodified</status>
      <modifiedWord/>
      <trackRevisions>false</trackRevisions>
    </reviewItem>
    <reviewItem>
      <errorID>0b461d7a-abeb-4348-a89f-1360b935f243</errorID>
      <errorWord>，</errorWord>
      <group>L1_Format</group>
      <groupName>格式问题</groupName>
      <ability>L2_HalfPunc</ability>
      <abilityName>全半角检查</abilityName>
      <candidateList>
        <item>,</item>
      </candidateList>
      <explain>文本全半角错误。</explain>
      <paraID> 1BC8535</paraID>
      <start>2</start>
      <end>3</end>
      <status>unmodified</status>
      <modifiedWord/>
      <trackRevisions>false</trackRevisions>
    </reviewItem>
    <reviewItem>
      <errorID>9ee914a5-86f8-4ee5-b772-ee44f425aac5</errorID>
      <errorWord>，</errorWord>
      <group>L1_Format</group>
      <groupName>格式问题</groupName>
      <ability>L2_HalfPunc</ability>
      <abilityName>全半角检查</abilityName>
      <candidateList>
        <item>,</item>
      </candidateList>
      <explain>文本全半角错误。</explain>
      <paraID>58B41E70</paraID>
      <start>2</start>
      <end>3</end>
      <status>unmodified</status>
      <modifiedWord/>
      <trackRevisions>false</trackRevisions>
    </reviewItem>
    <reviewItem>
      <errorID>d1086fd6-29f3-49a5-9783-0562065f4506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4C84AAE8</paraID>
      <start>0</start>
      <end>2</end>
      <status>unmodified</status>
      <modifiedWord/>
      <trackRevisions>false</trackRevisions>
    </reviewItem>
    <reviewItem>
      <errorID>69585878-7950-4dab-a7a4-99d43e659fd3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114C892E</paraID>
      <start>0</start>
      <end>2</end>
      <status>unmodified</status>
      <modifiedWord/>
      <trackRevisions>false</trackRevisions>
    </reviewItem>
    <reviewItem>
      <errorID>518a29fe-7c47-4dbe-8c3b-772e27a1d488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7EBBF1C7</paraID>
      <start>0</start>
      <end>2</end>
      <status>unmodified</status>
      <modifiedWord/>
      <trackRevisions>false</trackRevisions>
    </reviewItem>
    <reviewItem>
      <errorID>067e0526-0466-447f-9383-7d412fa5c189</errorID>
      <errorWord>&lt;</errorWord>
      <group>L1_Format</group>
      <groupName>格式问题</groupName>
      <ability>L2_HalfPunc</ability>
      <abilityName>全半角检查</abilityName>
      <candidateList>
        <item>〈</item>
      </candidateList>
      <explain>文本全半角错误。</explain>
      <paraID>33C1DD24</paraID>
      <start>10</start>
      <end>11</end>
      <status>unmodified</status>
      <modifiedWord/>
      <trackRevisions>false</trackRevisions>
    </reviewItem>
    <reviewItem>
      <errorID>b65fd73d-9099-43a3-b246-3c5bd5d24729</errorID>
      <errorWord>&gt;的通知》</errorWord>
      <group>L1_Punc</group>
      <groupName>标点问题</groupName>
      <ability>L2_Punc</ability>
      <abilityName>标点符号检查</abilityName>
      <candidateList>
        <item>〉的通知》</item>
      </candidateList>
      <explain/>
      <paraID>33C1DD24</paraID>
      <start>27</start>
      <end>32</end>
      <status>unmodified</status>
      <modifiedWord/>
      <trackRevisions>false</trackRevisions>
    </reviewItem>
    <reviewItem>
      <errorID>62fd9efb-3d93-4249-a46a-fc9772d6d9fe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74C21938</paraID>
      <start>0</start>
      <end>2</end>
      <status>unmodified</status>
      <modifiedWord/>
      <trackRevisions>false</trackRevisions>
    </reviewItem>
    <reviewItem>
      <errorID>bdf14a76-5979-4660-b5c6-b839476ff5e0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24A8BB8D</paraID>
      <start>81</start>
      <end>84</end>
      <status>unmodified</status>
      <modifiedWord/>
      <trackRevisions>false</trackRevisions>
    </reviewItem>
    <reviewItem>
      <errorID>42dce588-c05e-4c16-9337-d227fd123c54</errorID>
      <errorWord>[2013]37号</errorWord>
      <group>L1_Knowledge</group>
      <groupName>知识性问题</groupName>
      <ability>L2_Knowledge</ability>
      <abilityName>其他知识</abilityName>
      <candidateList>
        <item>〔2013〕37号</item>
      </candidateList>
      <explain>发文字号格式错误。</explain>
      <paraID>24A8BB8D</paraID>
      <start>118</start>
      <end>127</end>
      <status>unmodified</status>
      <modifiedWord/>
      <trackRevisions>false</trackRevisions>
    </reviewItem>
    <reviewItem>
      <errorID>0866b9ff-7ca8-405d-8921-3b931f12a741</errorID>
      <errorWord>工地</errorWord>
      <group>L1_Word</group>
      <groupName>字词问题</groupName>
      <ability>L2_Typo</ability>
      <abilityName>字词错误</abilityName>
      <candidateList>
        <item>场地</item>
      </candidateList>
      <explain/>
      <paraID>56D197CF</paraID>
      <start>5</start>
      <end>7</end>
      <status>unmodified</status>
      <modifiedWord/>
      <trackRevisions>false</trackRevisions>
    </reviewItem>
    <reviewItem>
      <errorID>4335e65b-e48b-4c10-9bad-daa792bb0069</errorID>
      <errorWord>，</errorWord>
      <group>L1_Word</group>
      <groupName>字词问题</groupName>
      <ability>L2_Typo</ability>
      <abilityName>字词错误</abilityName>
      <candidateList>
        <item>，将</item>
      </candidateList>
      <explain/>
      <paraID>5FEEB057</paraID>
      <start>131</start>
      <end>133</end>
      <status>modified</status>
      <modifiedWord>，将</modifiedWord>
      <trackRevisions>false</trackRevisions>
    </reviewItem>
    <reviewItem>
      <errorID>97b2a78b-b3ff-4e73-a366-919e810eea18</errorID>
      <errorWord>车</errorWord>
      <group>L1_Word</group>
      <groupName>字词问题</groupName>
      <ability>L2_Typo</ability>
      <abilityName>字词错误</abilityName>
      <candidateList>
        <item>车辆</item>
      </candidateList>
      <explain>〈名〉各种车的总称。</explain>
      <paraID>38F78626</paraID>
      <start>104</start>
      <end>106</end>
      <status>modified</status>
      <modifiedWord>车辆</modifiedWord>
      <trackRevisions>false</trackRevisions>
    </reviewItem>
    <reviewItem>
      <errorID>1d027a19-37a7-4ca2-b111-71297573d146</errorID>
      <errorWord>工地</errorWord>
      <group>L1_Word</group>
      <groupName>字词问题</groupName>
      <ability>L2_Typo</ability>
      <abilityName>字词错误</abilityName>
      <candidateList>
        <item>场地</item>
      </candidateList>
      <explain>存在字形相近字词的误用。</explain>
      <paraID>71AC9AA6</paraID>
      <start>49</start>
      <end>51</end>
      <status>unmodified</status>
      <modifiedWord/>
      <trackRevisions>false</trackRevisions>
    </reviewItem>
    <reviewItem>
      <errorID>49ac168d-cdb7-46c4-9192-611270bbbd08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79831FB</paraID>
      <start>0</start>
      <end>2</end>
      <status>unmodified</status>
      <modifiedWord/>
      <trackRevisions>false</trackRevisions>
    </reviewItem>
    <reviewItem>
      <errorID>1c90df11-66da-440d-aeb3-50b6b78baca3</errorID>
      <errorWord>属</errorWord>
      <group>L1_Word</group>
      <groupName>字词问题</groupName>
      <ability>L2_Typo</ability>
      <abilityName>字词错误</abilityName>
      <candidateList>
        <item>属于</item>
      </candidateList>
      <explain/>
      <paraID>65A7A26D</paraID>
      <start>16</start>
      <end>18</end>
      <status>modified</status>
      <modifiedWord>属于</modifiedWord>
      <trackRevisions>false</trackRevisions>
    </reviewItem>
    <reviewItem>
      <errorID>f6bebd4a-acaa-48c6-b422-bbf2df3e34f6</errorID>
      <errorWord>)</errorWord>
      <group>L1_Format</group>
      <groupName>格式问题</groupName>
      <ability>L2_HalfPunc</ability>
      <abilityName>全半角检查</abilityName>
      <candidateList>
        <item>）</item>
      </candidateList>
      <explain>文本全半角错误。</explain>
      <paraID>3BC490BC</paraID>
      <start>20</start>
      <end>21</end>
      <status>unmodified</status>
      <modifiedWord/>
      <trackRevisions>false</trackRevisions>
    </reviewItem>
    <reviewItem>
      <errorID>3b3a05c9-7edd-41ce-b626-3434050468e5</errorID>
      <errorWord>)</errorWord>
      <group>L1_Format</group>
      <groupName>格式问题</groupName>
      <ability>L2_HalfPunc</ability>
      <abilityName>全半角检查</abilityName>
      <candidateList>
        <item>）</item>
      </candidateList>
      <explain>文本全半角错误。</explain>
      <paraID>2C77E20E</paraID>
      <start>19</start>
      <end>20</end>
      <status>unmodified</status>
      <modifiedWord/>
      <trackRevisions>false</trackRevisions>
    </reviewItem>
    <reviewItem>
      <errorID>d3937fde-6c2e-4e7d-9582-f7be1107a7a9</errorID>
      <errorWord>)</errorWord>
      <group>L1_Format</group>
      <groupName>格式问题</groupName>
      <ability>L2_HalfPunc</ability>
      <abilityName>全半角检查</abilityName>
      <candidateList>
        <item>）</item>
      </candidateList>
      <explain>文本全半角错误。</explain>
      <paraID>4C9AE91C</paraID>
      <start>22</start>
      <end>23</end>
      <status>unmodified</status>
      <modifiedWord/>
      <trackRevisions>false</trackRevisions>
    </reviewItem>
    <reviewItem>
      <errorID>fbfb651f-29eb-4161-8a0e-32e1d0cd40ec</errorID>
      <errorWord>生源</errorWord>
      <group>L1_Word</group>
      <groupName>字词问题</groupName>
      <ability>L2_Typo</ability>
      <abilityName>字词错误</abilityName>
      <candidateList>
        <item>声源</item>
      </candidateList>
      <explain>存在发音相同字词的误用。</explain>
      <paraID>44068351</paraID>
      <start>9</start>
      <end>11</end>
      <status>modified</status>
      <modifiedWord>声源</modifiedWord>
      <trackRevisions>false</trackRevisions>
    </reviewItem>
    <reviewItem>
      <errorID>ff3ba911-0a62-490e-9999-233b8907783c</errorID>
      <errorWord>)</errorWord>
      <group>L1_Format</group>
      <groupName>格式问题</groupName>
      <ability>L2_HalfPunc</ability>
      <abilityName>全半角检查</abilityName>
      <candidateList>
        <item>）</item>
      </candidateList>
      <explain>文本全半角错误。</explain>
      <paraID>44068351</paraID>
      <start>26</start>
      <end>27</end>
      <status>unmodified</status>
      <modifiedWord/>
      <trackRevisions>false</trackRevisions>
    </reviewItem>
    <reviewItem>
      <errorID>bea4437c-014c-4ae6-a278-9d60e577dc6a</errorID>
      <errorWord>场界</errorWord>
      <group>L1_Word</group>
      <groupName>字词问题</groupName>
      <ability>L2_Typo</ability>
      <abilityName>字词错误</abilityName>
      <candidateList>
        <item>厂界</item>
      </candidateList>
      <explain/>
      <paraID>15F05E58</paraID>
      <start>59</start>
      <end>61</end>
      <status>unmodified</status>
      <modifiedWord/>
      <trackRevisions>false</trackRevisions>
    </reviewItem>
    <reviewItem>
      <errorID>2018f954-3a3c-49ce-a028-aed8c70b621e</errorID>
      <errorWord>)</errorWord>
      <group>L1_Format</group>
      <groupName>格式问题</groupName>
      <ability>L2_HalfPunc</ability>
      <abilityName>全半角检查</abilityName>
      <candidateList>
        <item>）</item>
      </candidateList>
      <explain>文本全半角错误。</explain>
      <paraID> EBB9F87</paraID>
      <start>58</start>
      <end>59</end>
      <status>unmodified</status>
      <modifiedWord/>
      <trackRevisions>false</trackRevisions>
    </reviewItem>
    <reviewItem>
      <errorID>ddd5ad45-0177-461f-8ebd-9e18e7757e7a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5B41DB2C</paraID>
      <start>0</start>
      <end>2</end>
      <status>unmodified</status>
      <modifiedWord/>
      <trackRevisions>false</trackRevisions>
    </reviewItem>
    <reviewItem>
      <errorID>80c0b584-de89-4bc1-9122-ea7b30b9d686</errorID>
      <errorWord>以前</errorWord>
      <group>L1_Word</group>
      <groupName>字词问题</groupName>
      <ability>L2_Typo</ability>
      <abilityName>字词错误</abilityName>
      <candidateList>
        <item>之前</item>
      </candidateList>
      <explain/>
      <paraID>560FCB08</paraID>
      <start>18</start>
      <end>20</end>
      <status>modified</status>
      <modifiedWord>之前</modifiedWord>
      <trackRevisions>false</trackRevisions>
    </reviewItem>
    <reviewItem>
      <errorID>2ed8412a-881a-4f3a-b8e3-7e7a649a8c60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506EA9F7</paraID>
      <start>0</start>
      <end>2</end>
      <status>unmodified</status>
      <modifiedWord/>
      <trackRevisions>false</trackRevisions>
    </reviewItem>
    <reviewItem>
      <errorID>4a9025d3-f598-4db5-9694-f1acfed532a1</errorID>
      <errorWord>粘合</errorWord>
      <group>L1_Word</group>
      <groupName>字词问题</groupName>
      <ability>L2_Alias</ability>
      <abilityName>也作/曾用词</abilityName>
      <candidateList>
        <item>黏合</item>
      </candidateList>
      <explain>词汇[粘合]为不规范表述或旧称，其规范书面表述为[黏合]。</explain>
      <paraID>21EA2252</paraID>
      <start>60</start>
      <end>62</end>
      <status>unmodified</status>
      <modifiedWord/>
      <trackRevisions>false</trackRevisions>
    </reviewItem>
    <reviewItem>
      <errorID>121c8dd5-da10-474a-95ec-794da8f1fd0c</errorID>
      <errorWord>《排放源统计调查产排污核算方法和系数手册》（2021年本）</errorWord>
      <group>L1_Knowledge</group>
      <groupName>知识性问题</groupName>
      <ability>L2_Knowledge</ability>
      <abilityName>其他知识</abilityName>
      <candidateList>
        <item>《排放源统计调查产排污核算方法和系数手册（2021年本）》</item>
      </candidateList>
      <explain>疑似政策文件、法律法规名称等书写不规范，请注意检查。</explain>
      <paraID>4172380F</paraID>
      <start>23</start>
      <end>52</end>
      <status>unmodified</status>
      <modifiedWord/>
      <trackRevisions>false</trackRevisions>
    </reviewItem>
    <reviewItem>
      <errorID>31f36f29-06d4-41c2-b2db-42e1570d2ec5</errorID>
      <errorWord>-</errorWord>
      <group>L1_Format</group>
      <groupName>格式问题</groupName>
      <ability>L2_HalfPunc</ability>
      <abilityName>全半角检查</abilityName>
      <candidateList>
        <item>－</item>
      </candidateList>
      <explain>文本全半角错误。</explain>
      <paraID>4172380F</paraID>
      <start>146</start>
      <end>147</end>
      <status>unmodified</status>
      <modifiedWord/>
      <trackRevisions>false</trackRevisions>
    </reviewItem>
    <reviewItem>
      <errorID>aac1c3c1-320f-496e-a6c2-4fa3205a7650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2DCDB005</paraID>
      <start>29</start>
      <end>30</end>
      <status>unmodified</status>
      <modifiedWord/>
      <trackRevisions>false</trackRevisions>
    </reviewItem>
    <reviewItem>
      <errorID>438174df-9463-4f7a-acc9-1926a2b5fd69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323CDE95</paraID>
      <start>51</start>
      <end>52</end>
      <status>unmodified</status>
      <modifiedWord/>
      <trackRevisions>false</trackRevisions>
    </reviewItem>
    <reviewItem>
      <errorID>a74a3289-df3f-49a6-8005-322c51e94e08</errorID>
      <errorWord>（</errorWord>
      <group>L1_Format</group>
      <groupName>格式问题</groupName>
      <ability>L2_HalfPunc</ability>
      <abilityName>全半角检查</abilityName>
      <candidateList>
        <item>(</item>
      </candidateList>
      <explain>文本全半角错误。</explain>
      <paraID>20863C3A</paraID>
      <start>0</start>
      <end>1</end>
      <status>unmodified</status>
      <modifiedWord/>
      <trackRevisions>false</trackRevisions>
    </reviewItem>
    <reviewItem>
      <errorID>44acab2e-6d76-4592-a966-aed019eecddd</errorID>
      <errorWord>）</errorWord>
      <group>L1_Format</group>
      <groupName>格式问题</groupName>
      <ability>L2_HalfPunc</ability>
      <abilityName>全半角检查</abilityName>
      <candidateList>
        <item>)</item>
      </candidateList>
      <explain>文本全半角错误。</explain>
      <paraID>20863C3A</paraID>
      <start>5</start>
      <end>6</end>
      <status>unmodified</status>
      <modifiedWord/>
      <trackRevisions>false</trackRevisions>
    </reviewItem>
    <reviewItem>
      <errorID>a35cd89f-b8f6-4232-b700-0994f73f99fc</errorID>
      <errorWord>(</errorWord>
      <group>L1_Format</group>
      <groupName>格式问题</groupName>
      <ability>L2_HalfPunc</ability>
      <abilityName>全半角检查</abilityName>
      <candidateList>
        <item>（</item>
      </candidateList>
      <explain>文本全半角错误。</explain>
      <paraID>789FB3D2</paraID>
      <start>8</start>
      <end>9</end>
      <status>unmodified</status>
      <modifiedWord/>
      <trackRevisions>false</trackRevisions>
    </reviewItem>
    <reviewItem>
      <errorID>8e3a88f7-90e5-4630-b8cb-f43cf3f1d457</errorID>
      <errorWord>)</errorWord>
      <group>L1_Format</group>
      <groupName>格式问题</groupName>
      <ability>L2_HalfPunc</ability>
      <abilityName>全半角检查</abilityName>
      <candidateList>
        <item>）</item>
      </candidateList>
      <explain>文本全半角错误。</explain>
      <paraID>789FB3D2</paraID>
      <start>14</start>
      <end>15</end>
      <status>unmodified</status>
      <modifiedWord/>
      <trackRevisions>false</trackRevisions>
    </reviewItem>
    <reviewItem>
      <errorID>213c8840-7f20-4523-8d68-4fba8a80d020</errorID>
      <errorWord>(</errorWord>
      <group>L1_Format</group>
      <groupName>格式问题</groupName>
      <ability>L2_HalfPunc</ability>
      <abilityName>全半角检查</abilityName>
      <candidateList>
        <item>（</item>
      </candidateList>
      <explain>文本全半角错误。</explain>
      <paraID>17AB4B68</paraID>
      <start>8</start>
      <end>9</end>
      <status>unmodified</status>
      <modifiedWord/>
      <trackRevisions>false</trackRevisions>
    </reviewItem>
    <reviewItem>
      <errorID>4356d95c-c52a-4734-8c3a-968b3521f869</errorID>
      <errorWord>)</errorWord>
      <group>L1_Format</group>
      <groupName>格式问题</groupName>
      <ability>L2_HalfPunc</ability>
      <abilityName>全半角检查</abilityName>
      <candidateList>
        <item>）</item>
      </candidateList>
      <explain>文本全半角错误。</explain>
      <paraID>17AB4B68</paraID>
      <start>13</start>
      <end>14</end>
      <status>unmodified</status>
      <modifiedWord/>
      <trackRevisions>false</trackRevisions>
    </reviewItem>
    <reviewItem>
      <errorID>1fa9db36-e70c-4b8e-a7b9-10e18fd9ad8a</errorID>
      <errorWord>(</errorWord>
      <group>L1_Format</group>
      <groupName>格式问题</groupName>
      <ability>L2_HalfPunc</ability>
      <abilityName>全半角检查</abilityName>
      <candidateList>
        <item>（</item>
      </candidateList>
      <explain>文本全半角错误。</explain>
      <paraID>3EDC2BF5</paraID>
      <start>9</start>
      <end>10</end>
      <status>unmodified</status>
      <modifiedWord/>
      <trackRevisions>false</trackRevisions>
    </reviewItem>
    <reviewItem>
      <errorID>55f17808-fc07-4de2-8729-e62ac5ada71d</errorID>
      <errorWord>)</errorWord>
      <group>L1_Format</group>
      <groupName>格式问题</groupName>
      <ability>L2_HalfPunc</ability>
      <abilityName>全半角检查</abilityName>
      <candidateList>
        <item>）</item>
      </candidateList>
      <explain>文本全半角错误。</explain>
      <paraID>3EDC2BF5</paraID>
      <start>15</start>
      <end>16</end>
      <status>unmodified</status>
      <modifiedWord/>
      <trackRevisions>false</trackRevisions>
    </reviewItem>
    <reviewItem>
      <errorID>7a076590-2091-4bfc-8927-d6a88e882492</errorID>
      <errorWord>设</errorWord>
      <group>L1_Word</group>
      <groupName>字词问题</groupName>
      <ability>L2_Typo</ability>
      <abilityName>字词错误</abilityName>
      <candidateList>
        <item>设立</item>
      </candidateList>
      <explain/>
      <paraID>79824D6E</paraID>
      <start>1</start>
      <end>2</end>
      <status>unmodified</status>
      <modifiedWord/>
      <trackRevisions>false</trackRevisions>
    </reviewItem>
    <reviewItem>
      <errorID>10c16036-ae1e-425f-b5e0-e95122867c2e</errorID>
      <errorWord>环境检测</errorWord>
      <group>L1_Word</group>
      <groupName>字词问题</groupName>
      <ability>L2_Typo</ability>
      <abilityName>字词错误</abilityName>
      <candidateList>
        <item>环境监测</item>
      </candidateList>
      <explain/>
      <paraID>79824D6E</paraID>
      <start>37</start>
      <end>41</end>
      <status>modified</status>
      <modifiedWord>环境监测</modifiedWord>
      <trackRevisions>false</trackRevisions>
    </reviewItem>
    <reviewItem>
      <errorID>45a3ed0c-5222-4b0c-844d-b1ea2c8fac1b</errorID>
      <errorWord>[2021]65号</errorWord>
      <group>L1_Knowledge</group>
      <groupName>知识性问题</groupName>
      <ability>L2_Knowledge</ability>
      <abilityName>其他知识</abilityName>
      <candidateList>
        <item>〔2021〕65号</item>
      </candidateList>
      <explain>发文字号格式错误。</explain>
      <paraID>7FC93342</paraID>
      <start>54</start>
      <end>63</end>
      <status>unmodified</status>
      <modifiedWord/>
      <trackRevisions>false</trackRevisions>
    </reviewItem>
    <reviewItem>
      <errorID>5951c695-5450-4a3b-8418-37585a697b2a</errorID>
      <errorWord>为为</errorWord>
      <group>L1_Word</group>
      <groupName>字词问题</groupName>
      <ability>L2_Typo</ability>
      <abilityName>字词错误</abilityName>
      <candidateList>
        <item>为</item>
      </candidateList>
      <explain>（爲、為）wèi❶〈书〉帮助；卫护：～吕氏者右袒，～刘氏者左袒。❷〈介〉表示行为的对象；替：～你庆幸｜～人民服务｜～这本书写一篇序。❸〈介〉表示原因、目的：大家都～这件事高兴｜～建设伟大祖国而奋斗。❹〈书〉〈介〉对；向：不足～外人道。</explain>
      <paraID>6F0E8C55</paraID>
      <start>127</start>
      <end>128</end>
      <status>modified</status>
      <modifiedWord>为</modifiedWord>
      <trackRevisions>false</trackRevisions>
    </reviewItem>
    <reviewItem>
      <errorID>3bc5a585-ccc1-4d8d-b22d-c2e30a5f5ce8</errorID>
      <errorWord>：</errorWord>
      <group>L1_Format</group>
      <groupName>格式问题</groupName>
      <ability>L2_HalfPunc</ability>
      <abilityName>全半角检查</abilityName>
      <candidateList>
        <item>:</item>
      </candidateList>
      <explain>文本全半角错误。</explain>
      <paraID>1E96925C</paraID>
      <start>27</start>
      <end>28</end>
      <status>unmodified</status>
      <modifiedWord/>
      <trackRevisions>false</trackRevisions>
    </reviewItem>
    <reviewItem>
      <errorID>a15b327c-422d-4261-8e93-e8c59d6250b9</errorID>
      <errorWord>~</errorWord>
      <group>L1_Format</group>
      <groupName>格式问题</groupName>
      <ability>L2_HalfPunc</ability>
      <abilityName>全半角检查</abilityName>
      <candidateList>
        <item>～</item>
      </candidateList>
      <explain>文本全半角错误。</explain>
      <paraID> 73B8E88</paraID>
      <start>3</start>
      <end>4</end>
      <status>unmodified</status>
      <modifiedWord/>
      <trackRevisions>false</trackRevisions>
    </reviewItem>
    <reviewItem>
      <errorID>40d5be37-aaee-47c4-9e17-e16d838a4448</errorID>
      <errorWord>~</errorWord>
      <group>L1_Format</group>
      <groupName>格式问题</groupName>
      <ability>L2_HalfPunc</ability>
      <abilityName>全半角检查</abilityName>
      <candidateList>
        <item>～</item>
      </candidateList>
      <explain>文本全半角错误。</explain>
      <paraID>3DCA4511</paraID>
      <start>3</start>
      <end>4</end>
      <status>unmodified</status>
      <modifiedWord/>
      <trackRevisions>false</trackRevisions>
    </reviewItem>
    <reviewItem>
      <errorID>a3e0d406-f0c9-449c-9ec4-48ff9761efdc</errorID>
      <errorWord>＜</errorWord>
      <group>L1_Format</group>
      <groupName>格式问题</groupName>
      <ability>L2_HalfPunc</ability>
      <abilityName>全半角检查</abilityName>
      <candidateList>
        <item>&lt;</item>
      </candidateList>
      <explain>文本全半角错误。</explain>
      <paraID>4DA44794</paraID>
      <start>0</start>
      <end>1</end>
      <status>unmodified</status>
      <modifiedWord/>
      <trackRevisions>false</trackRevisions>
    </reviewItem>
    <reviewItem>
      <errorID>f8f2b49b-35d0-4404-af19-864b88556923</errorID>
      <errorWord>＞</errorWord>
      <group>L1_Format</group>
      <groupName>格式问题</groupName>
      <ability>L2_HalfPunc</ability>
      <abilityName>全半角检查</abilityName>
      <candidateList>
        <item>&gt;</item>
      </candidateList>
      <explain>文本全半角错误。</explain>
      <paraID>754A9E5C</paraID>
      <start>0</start>
      <end>1</end>
      <status>unmodified</status>
      <modifiedWord/>
      <trackRevisions>false</trackRevisions>
    </reviewItem>
    <reviewItem>
      <errorID>a7661158-cb7c-4ffa-8df1-64a57293fa03</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6E474450</paraID>
      <start>0</start>
      <end>2</end>
      <status>unmodified</status>
      <modifiedWord/>
      <trackRevisions>false</trackRevisions>
    </reviewItem>
    <reviewItem>
      <errorID>99853d29-10d3-483a-bc34-29483f574d0a</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935F51B</paraID>
      <start>0</start>
      <end>2</end>
      <status>unmodified</status>
      <modifiedWord/>
      <trackRevisions>false</trackRevisions>
    </reviewItem>
    <reviewItem>
      <errorID>4dcc75d8-18c6-42e8-992f-a2b67de0e2c0</errorID>
      <errorWord>c、</errorWord>
      <group>L1_Format</group>
      <groupName>格式问题</groupName>
      <ability>L2_Ordinal</ability>
      <abilityName>序号格式</abilityName>
      <candidateList>
        <item>c.</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215EC80C</paraID>
      <start>0</start>
      <end>2</end>
      <status>unmodified</status>
      <modifiedWord/>
      <trackRevisions>false</trackRevisions>
    </reviewItem>
    <reviewItem>
      <errorID>71bb04de-5b0b-448b-9719-249f1282727f</errorID>
      <errorWord>d、</errorWord>
      <group>L1_Format</group>
      <groupName>格式问题</groupName>
      <ability>L2_Ordinal</ability>
      <abilityName>序号格式</abilityName>
      <candidateList>
        <item>d.</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666EE014</paraID>
      <start>0</start>
      <end>2</end>
      <status>unmodified</status>
      <modifiedWord/>
      <trackRevisions>false</trackRevisions>
    </reviewItem>
    <reviewItem>
      <errorID>539d4fe6-b4e0-486d-9a6e-6e8b4bc5967c</errorID>
      <errorWord>e、</errorWord>
      <group>L1_Format</group>
      <groupName>格式问题</groupName>
      <ability>L2_Ordinal</ability>
      <abilityName>序号格式</abilityName>
      <candidateList>
        <item>e.</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AF299ED</paraID>
      <start>0</start>
      <end>2</end>
      <status>unmodified</status>
      <modifiedWord/>
      <trackRevisions>false</trackRevisions>
    </reviewItem>
    <reviewItem>
      <errorID>06b276f7-5dca-457f-91d5-cadbea1827e9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61043D5C</paraID>
      <start>0</start>
      <end>2</end>
      <status>unmodified</status>
      <modifiedWord/>
      <trackRevisions>false</trackRevisions>
    </reviewItem>
    <reviewItem>
      <errorID>f32d7624-c183-49ce-ac52-6983baf2713c</errorID>
      <errorWord>：</errorWord>
      <group>L1_Format</group>
      <groupName>格式问题</groupName>
      <ability>L2_HalfPunc</ability>
      <abilityName>全半角检查</abilityName>
      <candidateList>
        <item>:</item>
      </candidateList>
      <explain>文本全半角错误。</explain>
      <paraID>55598C14</paraID>
      <start>103</start>
      <end>104</end>
      <status>unmodified</status>
      <modifiedWord/>
      <trackRevisions>false</trackRevisions>
    </reviewItem>
    <reviewItem>
      <errorID>30df2437-c5ec-4bcf-9b11-65f018acfea9</errorID>
      <errorWord>现场勘察</errorWord>
      <group>L1_Word</group>
      <groupName>字词问题</groupName>
      <ability>L2_Typo</ability>
      <abilityName>字词错误</abilityName>
      <candidateList>
        <item>现场勘查</item>
      </candidateList>
      <explain/>
      <paraID>7579683A</paraID>
      <start>1</start>
      <end>5</end>
      <status>modified</status>
      <modifiedWord>现场勘查</modifiedWord>
      <trackRevisions>false</trackRevisions>
    </reviewItem>
    <reviewItem>
      <errorID>3c58fa63-8159-453e-b628-14e2e28f773c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520C5DEE</paraID>
      <start>0</start>
      <end>2</end>
      <status>unmodified</status>
      <modifiedWord/>
      <trackRevisions>false</trackRevisions>
    </reviewItem>
    <reviewItem>
      <errorID>bc7b8176-ded8-4d59-b268-4824f52b5970</errorID>
      <errorWord>（</errorWord>
      <group>L1_Punc</group>
      <groupName>标点问题</groupName>
      <ability>L2_Punc</ability>
      <abilityName>标点符号检查</abilityName>
      <candidateList>
        <item/>
      </candidateList>
      <explain>同一形式括号套用。</explain>
      <paraID>43468928</paraID>
      <start>3</start>
      <end>4</end>
      <status>unmodified</status>
      <modifiedWord/>
      <trackRevisions>false</trackRevisions>
    </reviewItem>
    <reviewItem>
      <errorID>3a43a23c-5ab3-42f8-8c0d-d36ca190c2bf</errorID>
      <errorWord>(</errorWord>
      <group>L1_Punc</group>
      <groupName>标点问题</groupName>
      <ability>L2_Punc</ability>
      <abilityName>标点符号检查</abilityName>
      <candidateList/>
      <explain>同一形式括号套用。</explain>
      <paraID>43468928</paraID>
      <start>6</start>
      <end>7</end>
      <status>unmodified</status>
      <modifiedWord/>
      <trackRevisions>false</trackRevisions>
    </reviewItem>
    <reviewItem>
      <errorID>cdcae51a-b26f-4fae-9a0f-5a6b4b6655db</errorID>
      <errorWord>)</errorWord>
      <group>L1_Punc</group>
      <groupName>标点问题</groupName>
      <ability>L2_Punc</ability>
      <abilityName>标点符号检查</abilityName>
      <candidateList/>
      <explain>同一形式括号套用。</explain>
      <paraID>43468928</paraID>
      <start>8</start>
      <end>9</end>
      <status>unmodified</status>
      <modifiedWord/>
      <trackRevisions>false</trackRevisions>
    </reviewItem>
    <reviewItem>
      <errorID>a2b9ed33-d46a-4ed4-9853-771d56ea7500</errorID>
      <errorWord>）</errorWord>
      <group>L1_Punc</group>
      <groupName>标点问题</groupName>
      <ability>L2_Punc</ability>
      <abilityName>标点符号检查</abilityName>
      <candidateList/>
      <explain>同一形式括号套用。</explain>
      <paraID>43468928</paraID>
      <start>9</start>
      <end>10</end>
      <status>unmodified</status>
      <modifiedWord/>
      <trackRevisions>false</trackRevisions>
    </reviewItem>
    <reviewItem>
      <errorID>4968fd9b-39bb-4076-8d75-9a73c8abf4a3</errorID>
      <errorWord>（</errorWord>
      <group>L1_Punc</group>
      <groupName>标点问题</groupName>
      <ability>L2_Punc</ability>
      <abilityName>标点符号检查</abilityName>
      <candidateList>
        <item/>
      </candidateList>
      <explain>同一形式括号套用。</explain>
      <paraID>19CF8ED0</paraID>
      <start>12</start>
      <end>13</end>
      <status>unmodified</status>
      <modifiedWord/>
      <trackRevisions>false</trackRevisions>
    </reviewItem>
    <reviewItem>
      <errorID>847afa25-ba34-4d16-a858-779345743ed9</errorID>
      <errorWord>(</errorWord>
      <group>L1_Punc</group>
      <groupName>标点问题</groupName>
      <ability>L2_Punc</ability>
      <abilityName>标点符号检查</abilityName>
      <candidateList/>
      <explain>同一形式括号套用。</explain>
      <paraID>19CF8ED0</paraID>
      <start>15</start>
      <end>16</end>
      <status>unmodified</status>
      <modifiedWord/>
      <trackRevisions>false</trackRevisions>
    </reviewItem>
    <reviewItem>
      <errorID>4922056a-497e-454f-b575-b6a93623a197</errorID>
      <errorWord>)</errorWord>
      <group>L1_Punc</group>
      <groupName>标点问题</groupName>
      <ability>L2_Punc</ability>
      <abilityName>标点符号检查</abilityName>
      <candidateList/>
      <explain>同一形式括号套用。</explain>
      <paraID>19CF8ED0</paraID>
      <start>17</start>
      <end>18</end>
      <status>unmodified</status>
      <modifiedWord/>
      <trackRevisions>false</trackRevisions>
    </reviewItem>
    <reviewItem>
      <errorID>9857918a-e391-48b6-9ccf-d7efe4315d86</errorID>
      <errorWord>）</errorWord>
      <group>L1_Punc</group>
      <groupName>标点问题</groupName>
      <ability>L2_Punc</ability>
      <abilityName>标点符号检查</abilityName>
      <candidateList/>
      <explain>同一形式括号套用。</explain>
      <paraID>19CF8ED0</paraID>
      <start>20</start>
      <end>21</end>
      <status>unmodified</status>
      <modifiedWord/>
      <trackRevisions>false</trackRevisions>
    </reviewItem>
    <reviewItem>
      <errorID>0a4da680-329e-4861-b491-d1885db3d924</errorID>
      <errorWord>消音器</errorWord>
      <group>L1_Word</group>
      <groupName>字词问题</groupName>
      <ability>L2_Typo</ability>
      <abilityName>字词错误</abilityName>
      <candidateList>
        <item>消声器</item>
      </candidateList>
      <explain/>
      <paraID>5153FC8F</paraID>
      <start>51</start>
      <end>54</end>
      <status>unmodified</status>
      <modifiedWord/>
      <trackRevisions>false</trackRevisions>
    </reviewItem>
    <reviewItem>
      <errorID>12594884-2301-4c2a-baa5-9763397bf18f</errorID>
      <errorWord>同</errorWord>
      <group>L1_Word</group>
      <groupName>字词问题</groupName>
      <ability>L2_Typo</ability>
      <abilityName>字词错误</abilityName>
      <candidateList>
        <item>同一</item>
      </candidateList>
      <explain/>
      <paraID>15365AD0</paraID>
      <start>111</start>
      <end>113</end>
      <status>modified</status>
      <modifiedWord>同一</modifiedWord>
      <trackRevisions>false</trackRevisions>
    </reviewItem>
    <reviewItem>
      <errorID>ceb0ebd8-d23c-4536-8e86-9109beee92f9</errorID>
      <errorWord>个</errorWord>
      <group>L1_Knowledge</group>
      <groupName>知识性问题</groupName>
      <ability>L2_Knowledge</ability>
      <abilityName>其他知识</abilityName>
      <candidateList>
        <item>栋</item>
      </candidateList>
      <explain/>
      <paraID>15365AD0</paraID>
      <start>113</start>
      <end>114</end>
      <status>modified</status>
      <modifiedWord>栋</modifiedWord>
      <trackRevisions>false</trackRevisions>
    </reviewItem>
    <reviewItem>
      <errorID>ae3e57b3-121f-4e8f-9a04-24380bfe0323</errorID>
      <errorWord>(</errorWord>
      <group>L1_Format</group>
      <groupName>格式问题</groupName>
      <ability>L2_HalfPunc</ability>
      <abilityName>全半角检查</abilityName>
      <candidateList>
        <item>（</item>
      </candidateList>
      <explain>文本全半角错误。</explain>
      <paraID>6677B76F</paraID>
      <start>21</start>
      <end>22</end>
      <status>unmodified</status>
      <modifiedWord/>
      <trackRevisions>false</trackRevisions>
    </reviewItem>
    <reviewItem>
      <errorID>2e530ec0-6181-48f4-9f57-548c85dd0fba</errorID>
      <errorWord>)</errorWord>
      <group>L1_Format</group>
      <groupName>格式问题</groupName>
      <ability>L2_HalfPunc</ability>
      <abilityName>全半角检查</abilityName>
      <candidateList>
        <item>）</item>
      </candidateList>
      <explain>文本全半角错误。</explain>
      <paraID>6677B76F</paraID>
      <start>25</start>
      <end>26</end>
      <status>unmodified</status>
      <modifiedWord/>
      <trackRevisions>false</trackRevisions>
    </reviewItem>
    <reviewItem>
      <errorID>76962663-037b-42be-98fb-990b29b9d7e2</errorID>
      <errorWord>中</errorWord>
      <group>L1_Word</group>
      <groupName>字词问题</groupName>
      <ability>L2_Typo</ability>
      <abilityName>字词错误</abilityName>
      <candidateList>
        <item>中第</item>
      </candidateList>
      <explain/>
      <paraID>40501D6B</paraID>
      <start>38</start>
      <end>39</end>
      <status>unmodified</status>
      <modifiedWord/>
      <trackRevisions>false</trackRevisions>
    </reviewItem>
    <reviewItem>
      <errorID>68558ba5-bbb5-400c-841b-1321dd2e0d83</errorID>
      <errorWord>可</errorWord>
      <group>L1_Word</group>
      <groupName>字词问题</groupName>
      <ability>L2_Typo</ability>
      <abilityName>字词错误</abilityName>
      <candidateList>
        <item>可以</item>
      </candidateList>
      <explain>〈口〉〈形〉❶好；不坏；过得去：这篇文章写得还～。❷厉害：你这张嘴真～｜天气实在热得～。</explain>
      <paraID>71BD72C5</paraID>
      <start>5</start>
      <end>6</end>
      <status>unmodified</status>
      <modifiedWord/>
      <trackRevisions>false</trackRevisions>
    </reviewItem>
    <reviewItem>
      <errorID>f4444d6a-eb87-44ec-8d56-8124a1e44906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5089D3EF</paraID>
      <start>0</start>
      <end>2</end>
      <status>unmodified</status>
      <modifiedWord/>
      <trackRevisions>false</trackRevisions>
    </reviewItem>
    <reviewItem>
      <errorID>46bc3726-d31f-4c62-b8aa-1603560b804a</errorID>
      <errorWord>，</errorWord>
      <group>L1_Word</group>
      <groupName>字词问题</groupName>
      <ability>L2_Typo</ability>
      <abilityName>字词错误</abilityName>
      <candidateList>
        <item>，根</item>
      </candidateList>
      <explain/>
      <paraID>795EA589</paraID>
      <start>24</start>
      <end>26</end>
      <status>modified</status>
      <modifiedWord>，根</modifiedWord>
      <trackRevisions>false</trackRevisions>
    </reviewItem>
    <reviewItem>
      <errorID>5bf43aab-da1a-467c-bac6-8b3eeb7aeff8</errorID>
      <errorWord>-</errorWord>
      <group>L1_Format</group>
      <groupName>格式问题</groupName>
      <ability>L2_HalfPunc</ability>
      <abilityName>全半角检查</abilityName>
      <candidateList>
        <item>－</item>
      </candidateList>
      <explain>文本全半角错误。</explain>
      <paraID>1148FE8E</paraID>
      <start>128</start>
      <end>129</end>
      <status>unmodified</status>
      <modifiedWord/>
      <trackRevisions>false</trackRevisions>
    </reviewItem>
    <reviewItem>
      <errorID>832740b1-93c0-4ead-a315-8f313966cc39</errorID>
      <errorWord>，</errorWord>
      <group>L1_Format</group>
      <groupName>格式问题</groupName>
      <ability>L2_HalfPunc</ability>
      <abilityName>全半角检查</abilityName>
      <candidateList>
        <item>, </item>
      </candidateList>
      <explain>文本全半角错误。</explain>
      <paraID>5398CEE3</paraID>
      <start>1</start>
      <end>2</end>
      <status>unmodified</status>
      <modifiedWord/>
      <trackRevisions>false</trackRevisions>
    </reviewItem>
    <reviewItem>
      <errorID>c9888d6d-9ebf-4e24-b9de-7181527daa71</errorID>
      <errorWord>，</errorWord>
      <group>L1_Format</group>
      <groupName>格式问题</groupName>
      <ability>L2_HalfPunc</ability>
      <abilityName>全半角检查</abilityName>
      <candidateList>
        <item>, </item>
      </candidateList>
      <explain>文本全半角错误。</explain>
      <paraID>61642707</paraID>
      <start>1</start>
      <end>2</end>
      <status>unmodified</status>
      <modifiedWord/>
      <trackRevisions>false</trackRevisions>
    </reviewItem>
    <reviewItem>
      <errorID>8cada73f-3837-42a9-9a63-edddbfb47210</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4D8D8E90</paraID>
      <start>0</start>
      <end>2</end>
      <status>unmodified</status>
      <modifiedWord/>
      <trackRevisions>false</trackRevisions>
    </reviewItem>
    <reviewItem>
      <errorID>5dfb097c-4185-4c9f-ae83-e1d81526aafa</errorID>
      <errorWord>程</errorWord>
      <group>L1_Word</group>
      <groupName>字词问题</groupName>
      <ability>L2_Typo</ability>
      <abilityName>字词错误</abilityName>
      <candidateList>
        <item>程中</item>
      </candidateList>
      <explain/>
      <paraID>45230A20</paraID>
      <start>212</start>
      <end>214</end>
      <status>modified</status>
      <modifiedWord>程中</modifiedWord>
      <trackRevisions>false</trackRevisions>
    </reviewItem>
    <reviewItem>
      <errorID>ddc90166-6e0d-453f-b454-8ded2af591fa</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3B508901</paraID>
      <start>0</start>
      <end>2</end>
      <status>unmodified</status>
      <modifiedWord/>
      <trackRevisions>false</trackRevisions>
    </reviewItem>
    <reviewItem>
      <errorID>e11df790-1fdb-4d06-831f-41953a7f838c</errorID>
      <errorWord>裙脚</errorWord>
      <group>L1_Word</group>
      <groupName>字词问题</groupName>
      <ability>L2_Typo</ability>
      <abilityName>字词错误</abilityName>
      <candidateList>
        <item>裙角</item>
      </candidateList>
      <explain/>
      <paraID>514FC9C7</paraID>
      <start>16</start>
      <end>18</end>
      <status>unmodified</status>
      <modifiedWord/>
      <trackRevisions>false</trackRevisions>
    </reviewItem>
    <reviewItem>
      <errorID>2b0b567b-2c26-4d99-be02-4e275a990ec4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413A2F90</paraID>
      <start>126</start>
      <end>127</end>
      <status>unmodified</status>
      <modifiedWord/>
      <trackRevisions>false</trackRevisions>
    </reviewItem>
    <reviewItem>
      <errorID>d8212df9-af92-4ab9-8895-7aa988add88c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413A2F90</paraID>
      <start>165</start>
      <end>166</end>
      <status>unmodified</status>
      <modifiedWord/>
      <trackRevisions>false</trackRevisions>
    </reviewItem>
    <reviewItem>
      <errorID>409d1aa6-e181-499b-9ffc-3ad7267eca3f</errorID>
      <errorWord>作出</errorWord>
      <group>L1_Word</group>
      <groupName>字词问题</groupName>
      <ability>L2_Typo</ability>
      <abilityName>字词错误</abilityName>
      <candidateList>
        <item>做出</item>
      </candidateList>
      <explain/>
      <paraID>48D8F8F2</paraID>
      <start>19</start>
      <end>21</end>
      <status>unmodified</status>
      <modifiedWord/>
      <trackRevisions>false</trackRevisions>
    </reviewItem>
    <reviewItem>
      <errorID>d9f88a74-e53e-40c1-b5c8-c0514191ad49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8FE5054</paraID>
      <start>0</start>
      <end>2</end>
      <status>unmodified</status>
      <modifiedWord/>
      <trackRevisions>false</trackRevisions>
    </reviewItem>
    <reviewItem>
      <errorID>56c1d21d-262e-49d1-951d-413bacd6f745</errorID>
      <errorWord>泄露</errorWord>
      <group>L1_Word</group>
      <groupName>字词问题</groupName>
      <ability>L2_Typo</ability>
      <abilityName>字词错误</abilityName>
      <candidateList>
        <item>泄漏</item>
      </candidateList>
      <explain>存在发音相同字词的误用。</explain>
      <paraID>14E527D9</paraID>
      <start>68</start>
      <end>70</end>
      <status>modified</status>
      <modifiedWord>泄漏</modifiedWord>
      <trackRevisions>false</trackRevisions>
    </reviewItem>
    <reviewItem>
      <errorID>3d42ed05-791e-44cc-8938-3301f1e3feaf</errorID>
      <errorWord>泄露</errorWord>
      <group>L1_Word</group>
      <groupName>字词问题</groupName>
      <ability>L2_Typo</ability>
      <abilityName>字词错误</abilityName>
      <candidateList>
        <item>泄漏</item>
      </candidateList>
      <explain>存在发音相同字词的误用。</explain>
      <paraID>70341545</paraID>
      <start>2</start>
      <end>4</end>
      <status>modified</status>
      <modifiedWord>泄漏</modifiedWord>
      <trackRevisions>false</trackRevisions>
    </reviewItem>
    <reviewItem>
      <errorID>94a0c0c2-d818-4589-a5e5-89caa6806659</errorID>
      <errorWord>物质</errorWord>
      <group>L1_Word</group>
      <groupName>字词问题</groupName>
      <ability>L2_Typo</ability>
      <abilityName>字词错误</abilityName>
      <candidateList>
        <item>物</item>
      </candidateList>
      <explain/>
      <paraID> D051F70</paraID>
      <start>44</start>
      <end>46</end>
      <status>unmodified</status>
      <modifiedWord/>
      <trackRevisions>false</trackRevisions>
    </reviewItem>
    <reviewItem>
      <errorID>f56eb008-2f64-4096-9453-ddcfe03922c2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5EED99F7</paraID>
      <start>94</start>
      <end>95</end>
      <status>unmodified</status>
      <modifiedWord/>
      <trackRevisions>false</trackRevisions>
    </reviewItem>
    <reviewItem>
      <errorID>60a690f0-83c5-49f6-bd53-035baf552eda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64A665F7</paraID>
      <start>60</start>
      <end>61</end>
      <status>unmodified</status>
      <modifiedWord/>
      <trackRevisions>false</trackRevisions>
    </reviewItem>
    <reviewItem>
      <errorID>a7a6c2d3-5631-4b01-b9cb-919ee12ca77f</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674DD040</paraID>
      <start>0</start>
      <end>2</end>
      <status>unmodified</status>
      <modifiedWord/>
      <trackRevisions>false</trackRevisions>
    </reviewItem>
    <reviewItem>
      <errorID>737b0cec-bc81-43a3-975d-f4c4aa179d4b</errorID>
      <errorWord>泄露</errorWord>
      <group>L1_Word</group>
      <groupName>字词问题</groupName>
      <ability>L2_Typo</ability>
      <abilityName>字词错误</abilityName>
      <candidateList>
        <item>泄漏</item>
      </candidateList>
      <explain/>
      <paraID>3F6FE977</paraID>
      <start>77</start>
      <end>79</end>
      <status>modified</status>
      <modifiedWord>泄漏</modifiedWord>
      <trackRevisions>false</trackRevisions>
    </reviewItem>
    <reviewItem>
      <errorID>eac35b6c-ae3c-4616-84cf-912263cc5d1b</errorID>
      <errorWord>(</errorWord>
      <group>L1_Format</group>
      <groupName>格式问题</groupName>
      <ability>L2_HalfPunc</ability>
      <abilityName>全半角检查</abilityName>
      <candidateList>
        <item>（</item>
      </candidateList>
      <explain>文本全半角错误。</explain>
      <paraID>7570F075</paraID>
      <start>30</start>
      <end>31</end>
      <status>unmodified</status>
      <modifiedWord/>
      <trackRevisions>false</trackRevisions>
    </reviewItem>
    <reviewItem>
      <errorID>328961b0-49ab-4a0d-b30a-253620507c79</errorID>
      <errorWord>)</errorWord>
      <group>L1_Format</group>
      <groupName>格式问题</groupName>
      <ability>L2_HalfPunc</ability>
      <abilityName>全半角检查</abilityName>
      <candidateList>
        <item>）</item>
      </candidateList>
      <explain>文本全半角错误。</explain>
      <paraID>7570F075</paraID>
      <start>41</start>
      <end>42</end>
      <status>unmodified</status>
      <modifiedWord/>
      <trackRevisions>false</trackRevisions>
    </reviewItem>
    <reviewItem>
      <errorID>57bf47b2-ba9d-4a34-bfdd-686066fd4508</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619C7DA9</paraID>
      <start>0</start>
      <end>2</end>
      <status>unmodified</status>
      <modifiedWord/>
      <trackRevisions>false</trackRevisions>
    </reviewItem>
    <reviewItem>
      <errorID>23ef1689-6b5b-4182-997a-50d036a10e7e</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2C99A74B</paraID>
      <start>0</start>
      <end>2</end>
      <status>unmodified</status>
      <modifiedWord/>
      <trackRevisions>false</trackRevisions>
    </reviewItem>
    <reviewItem>
      <errorID>634c4c3a-fd7a-4f84-b2f1-6e57adc70d9a</errorID>
      <errorWord>穿戴穿</errorWord>
      <group>L1_Word</group>
      <groupName>字词问题</groupName>
      <ability>L2_Typo</ability>
      <abilityName>字词错误</abilityName>
      <candidateList>
        <item>穿戴</item>
      </candidateList>
      <explain>❶〈动〉穿和戴，泛指打扮：她～得很时髦。❷〈名〉指穿的和戴的衣帽、首饰等：一身好～。</explain>
      <paraID>7680D385</paraID>
      <start>22</start>
      <end>24</end>
      <status>modified</status>
      <modifiedWord>穿戴</modifiedWord>
      <trackRevisions>false</trackRevisions>
    </reviewItem>
    <reviewItem>
      <errorID>779254e8-d23a-4606-9ba4-afff61ff834c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75E51B84</paraID>
      <start>44</start>
      <end>45</end>
      <status>unmodified</status>
      <modifiedWord/>
      <trackRevisions>false</trackRevisions>
    </reviewItem>
    <reviewItem>
      <errorID>160817e1-2d0c-4a20-989c-6cebe12edfa8</errorID>
      <errorWord>其它</errorWord>
      <group>L1_Word</group>
      <groupName>字词问题</groupName>
      <ability>L2_Alias</ability>
      <abilityName>也作/曾用词</abilityName>
      <candidateList>
        <item>其他</item>
      </candidateList>
      <explain>词汇[其它]为不规范表述或旧称，其规范书面表述为[其他]。</explain>
      <paraID>5E5F9232</paraID>
      <start>17</start>
      <end>19</end>
      <status>unmodified</status>
      <modifiedWord/>
      <trackRevisions>false</trackRevisions>
    </reviewItem>
    <reviewItem>
      <errorID>4eacbf4b-c53f-4fd2-ae61-336136e04c93</errorID>
      <errorWord>，</errorWord>
      <group>L1_Word</group>
      <groupName>字词问题</groupName>
      <ability>L2_Typo</ability>
      <abilityName>字词错误</abilityName>
      <candidateList>
        <item>，在</item>
      </candidateList>
      <explain/>
      <paraID>49067B3A</paraID>
      <start>28</start>
      <end>29</end>
      <status>unmodified</status>
      <modifiedWord/>
      <trackRevisions>false</trackRevisions>
    </reviewItem>
    <reviewItem>
      <errorID>d82e5324-67d9-4408-9bca-4f8b49439e21</errorID>
      <errorWord>目</errorWord>
      <group>L1_Word</group>
      <groupName>字词问题</groupName>
      <ability>L2_Typo</ability>
      <abilityName>字词错误</abilityName>
      <candidateList>
        <item>目在</item>
      </candidateList>
      <explain/>
      <paraID>49067B3A</paraID>
      <start>30</start>
      <end>32</end>
      <status>modified</status>
      <modifiedWord>目在</modifiedWord>
      <trackRevisions>false</trackRevisions>
    </reviewItem>
    <reviewItem>
      <errorID>3bfaa813-3105-4881-a08b-d0a58cdfb1cd</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70543E99</paraID>
      <start>0</start>
      <end>2</end>
      <status>unmodified</status>
      <modifiedWord/>
      <trackRevisions>false</trackRevisions>
    </reviewItem>
    <reviewItem>
      <errorID>5ac0cf2f-7be5-451c-93cc-ff0e32db2f08</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637C9B69</paraID>
      <start>0</start>
      <end>2</end>
      <status>unmodified</status>
      <modifiedWord/>
      <trackRevisions>false</trackRevisions>
    </reviewItem>
    <reviewItem>
      <errorID>44bd91ec-4c45-449f-b0a0-6d41140726c7</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1250FE0D</paraID>
      <start>0</start>
      <end>2</end>
      <status>unmodified</status>
      <modifiedWord/>
      <trackRevisions>false</trackRevisions>
    </reviewItem>
    <reviewItem>
      <errorID>0fc6b7ea-7211-4945-a4b4-8dbc392a372d</errorID>
      <errorWord>消音器</errorWord>
      <group>L1_Word</group>
      <groupName>字词问题</groupName>
      <ability>L2_Typo</ability>
      <abilityName>字词错误</abilityName>
      <candidateList>
        <item>消声器</item>
      </candidateList>
      <explain/>
      <paraID>497E3656</paraID>
      <start>31</start>
      <end>34</end>
      <status>unmodified</status>
      <modifiedWord/>
      <trackRevisions>false</trackRevisions>
    </reviewItem>
    <reviewItem>
      <errorID>704878a2-abde-4b12-a4ed-85d643e82926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4BB80216</paraID>
      <start>56</start>
      <end>57</end>
      <status>unmodified</status>
      <modifiedWord/>
      <trackRevisions>false</trackRevisions>
    </reviewItem>
    <reviewItem>
      <errorID>b1f0e900-ced0-40b9-b5eb-0e50f5ed47e8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4BB80216</paraID>
      <start>132</start>
      <end>133</end>
      <status>unmodified</status>
      <modifiedWord/>
      <trackRevisions>false</trackRevisions>
    </reviewItem>
    <reviewItem>
      <errorID>c013eb79-b1b6-487c-b65e-8aae6d62911d</errorID>
      <errorWord>污染处理</errorWord>
      <group>L1_Knowledge</group>
      <groupName>知识性问题</groupName>
      <ability>L2_Term</ability>
      <abilityName>专业术语</abilityName>
      <candidateList>
        <item>污水处理</item>
      </candidateList>
      <explain/>
      <paraID>2052D0D1</paraID>
      <start>71</start>
      <end>75</end>
      <status>unmodified</status>
      <modifiedWord/>
      <trackRevisions>false</trackRevisions>
    </reviewItem>
    <reviewItem>
      <errorID>0b4ac100-5308-4f78-924a-48c560a97f9f</errorID>
      <errorWord>(</errorWord>
      <group>L1_Format</group>
      <groupName>格式问题</groupName>
      <ability>L2_HalfPunc</ability>
      <abilityName>全半角检查</abilityName>
      <candidateList>
        <item>（</item>
      </candidateList>
      <explain>文本全半角错误。</explain>
      <paraID>3D3191F9</paraID>
      <start>3</start>
      <end>4</end>
      <status>unmodified</status>
      <modifiedWord/>
      <trackRevisions>false</trackRevisions>
    </reviewItem>
    <reviewItem>
      <errorID>b3338d53-6ef4-4cfc-ac6e-29feb47e0b09</errorID>
      <errorWord>)</errorWord>
      <group>L1_Format</group>
      <groupName>格式问题</groupName>
      <ability>L2_HalfPunc</ability>
      <abilityName>全半角检查</abilityName>
      <candidateList>
        <item>）</item>
      </candidateList>
      <explain>文本全半角错误。</explain>
      <paraID>3D3191F9</paraID>
      <start>9</start>
      <end>10</end>
      <status>unmodified</status>
      <modifiedWord/>
      <trackRevisions>false</trackRevisions>
    </reviewItem>
    <reviewItem>
      <errorID>800820b1-054b-4ae7-b664-57ed3e419e9f</errorID>
      <errorWord>(</errorWord>
      <group>L1_Format</group>
      <groupName>格式问题</groupName>
      <ability>L2_HalfPunc</ability>
      <abilityName>全半角检查</abilityName>
      <candidateList>
        <item>（</item>
      </candidateList>
      <explain>文本全半角错误。</explain>
      <paraID>6F1952A1</paraID>
      <start>21</start>
      <end>22</end>
      <status>unmodified</status>
      <modifiedWord/>
      <trackRevisions>false</trackRevisions>
    </reviewItem>
    <reviewItem>
      <errorID>8f6a0783-a45f-4307-94cd-1edd800d8427</errorID>
      <errorWord>)</errorWord>
      <group>L1_Format</group>
      <groupName>格式问题</groupName>
      <ability>L2_HalfPunc</ability>
      <abilityName>全半角检查</abilityName>
      <candidateList>
        <item>）</item>
      </candidateList>
      <explain>文本全半角错误。</explain>
      <paraID>6F1952A1</paraID>
      <start>34</start>
      <end>35</end>
      <status>unmodified</status>
      <modifiedWord/>
      <trackRevisions>false</trackRevisions>
    </reviewItem>
    <reviewItem>
      <errorID>fe59eeff-ec09-4193-8ad8-ec462bbb8114</errorID>
      <errorWord>消音器</errorWord>
      <group>L1_Word</group>
      <groupName>字词问题</groupName>
      <ability>L2_Typo</ability>
      <abilityName>字词错误</abilityName>
      <candidateList>
        <item>消声器</item>
      </candidateList>
      <explain/>
      <paraID>4795215C</paraID>
      <start>31</start>
      <end>34</end>
      <status>unmodified</status>
      <modifiedWord/>
      <trackRevisions>false</trackRevisions>
    </reviewItem>
    <reviewItem>
      <errorID>deeb91e5-818c-4fd7-8f86-84cc5f4a25ab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34CC372C</paraID>
      <start>53</start>
      <end>54</end>
      <status>unmodified</status>
      <modifiedWord/>
      <trackRevisions>false</trackRevisions>
    </reviewItem>
    <reviewItem>
      <errorID>a76edff0-cc26-493f-8213-74391e473219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34CC372C</paraID>
      <start>128</start>
      <end>129</end>
      <status>unmodified</status>
      <modifiedWord/>
      <trackRevisions>false</trackRevisions>
    </reviewItem>
    <reviewItem>
      <errorID>6c7de56a-9b7e-4bdf-bc04-81adca790c60</errorID>
      <errorWord>污染处理</errorWord>
      <group>L1_Knowledge</group>
      <groupName>知识性问题</groupName>
      <ability>L2_Term</ability>
      <abilityName>专业术语</abilityName>
      <candidateList>
        <item>污水处理</item>
      </candidateList>
      <explain/>
      <paraID>56AB06A7</paraID>
      <start>71</start>
      <end>75</end>
      <status>unmodified</status>
      <modifiedWord/>
      <trackRevisions>false</trackRevisions>
    </reviewItem>
    <reviewItem>
      <errorID>08548ce7-a29b-4cb9-b158-e4b865a4e1b6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69B23B68</paraID>
      <start>0</start>
      <end>2</end>
      <status>unmodified</status>
      <modifiedWord/>
      <trackRevisions>false</trackRevisions>
    </reviewItem>
    <reviewItem>
      <errorID>df3849e7-8f0e-429e-95cc-866942fb3008</errorID>
      <errorWord>好</errorWord>
      <group>L1_Word</group>
      <groupName>字词问题</groupName>
      <ability>L2_Typo</ability>
      <abilityName>字词错误</abilityName>
      <candidateList>
        <item>好地</item>
      </candidateList>
      <explain/>
      <paraID>2EBADBF5</paraID>
      <start>3</start>
      <end>4</end>
      <status>unmodified</status>
      <modifiedWord/>
      <trackRevisions>false</trackRevisions>
    </reviewItem>
    <reviewItem>
      <errorID>8e0d5681-5b3b-4384-8800-67aa209e8f5d</errorID>
      <errorWord>法律、法规</errorWord>
      <group>L1_Word</group>
      <groupName>字词问题</groupName>
      <ability>L2_Typo</ability>
      <abilityName>字词错误</abilityName>
      <candidateList>
        <item>法律法规</item>
      </candidateList>
      <explain/>
      <paraID>2EBADBF5</paraID>
      <start>14</start>
      <end>19</end>
      <status>unmodified</status>
      <modifiedWord/>
      <trackRevisions>false</trackRevisions>
    </reviewItem>
    <reviewItem>
      <errorID>f3a6adb4-9bfb-4fd5-947d-e0e68aba49ca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38788950</paraID>
      <start>0</start>
      <end>2</end>
      <status>unmodified</status>
      <modifiedWord/>
      <trackRevisions>false</trackRevisions>
    </reviewItem>
    <reviewItem>
      <errorID>198d913d-7133-437c-ad9f-1603acb9e440</errorID>
      <errorWord>(</errorWord>
      <group>L1_Format</group>
      <groupName>格式问题</groupName>
      <ability>L2_HalfPunc</ability>
      <abilityName>全半角检查</abilityName>
      <candidateList>
        <item>（</item>
      </candidateList>
      <explain>文本全半角错误。</explain>
      <paraID>37E657C0</paraID>
      <start>65</start>
      <end>66</end>
      <status>unmodified</status>
      <modifiedWord/>
      <trackRevisions>false</trackRevisions>
    </reviewItem>
    <reviewItem>
      <errorID>7e066658-8fe4-4c9b-b517-4b3f6c838c11</errorID>
      <errorWord>)</errorWord>
      <group>L1_Format</group>
      <groupName>格式问题</groupName>
      <ability>L2_HalfPunc</ability>
      <abilityName>全半角检查</abilityName>
      <candidateList>
        <item>）</item>
      </candidateList>
      <explain>文本全半角错误。</explain>
      <paraID>37E657C0</paraID>
      <start>67</start>
      <end>68</end>
      <status>unmodified</status>
      <modifiedWord/>
      <trackRevisions>false</trackRevisions>
    </reviewItem>
    <reviewItem>
      <errorID>4e0922f8-725e-4820-85d7-6ee4d7de38dd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2ACF2712</paraID>
      <start>0</start>
      <end>2</end>
      <status>unmodified</status>
      <modifiedWord/>
      <trackRevisions>false</trackRevisions>
    </reviewItem>
    <reviewItem>
      <errorID>2494a1f5-4f0d-41cc-b686-31fd86cb8cd9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724895E3</paraID>
      <start>0</start>
      <end>2</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4a20a52-31e2-4287-aaee-899acb5d7b41}">
  <ds:schemaRefs/>
</ds:datastoreItem>
</file>

<file path=docProps/app.xml><?xml version="1.0" encoding="utf-8"?>
<Properties xmlns="http://schemas.openxmlformats.org/officeDocument/2006/extended-properties" xmlns:vt="http://schemas.openxmlformats.org/officeDocument/2006/docPropsVTypes">
  <Template>Normal.dotm</Template>
  <Pages>73</Pages>
  <Words>13349</Words>
  <Characters>14500</Characters>
  <Lines>0</Lines>
  <Paragraphs>0</Paragraphs>
  <TotalTime>1</TotalTime>
  <ScaleCrop>false</ScaleCrop>
  <LinksUpToDate>false</LinksUpToDate>
  <CharactersWithSpaces>14646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2021-03-23T13:31:00Z</dcterms:created>
  <dc:creator>Administrator</dc:creator>
  <cp:lastModifiedBy>一夢蘩華</cp:lastModifiedBy>
  <cp:lastPrinted>2025-10-21T10:15:00Z</cp:lastPrinted>
  <dcterms:modified xsi:type="dcterms:W3CDTF">2026-02-27T01:35:16Z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DC261FBBA3104C8DB46F636369037CF0_13</vt:lpwstr>
  </property>
  <property fmtid="{D5CDD505-2E9C-101B-9397-08002B2CF9AE}" pid="4" name="KSOTemplateDocerSaveRecord">
    <vt:lpwstr>eyJoZGlkIjoiZmJlZTRlZDMxM2YzNjdlZGY1NzQ4YWM0YzRlOGUwYmYiLCJ1c2VySWQiOiIzNzMxNjUyMzgifQ==</vt:lpwstr>
  </property>
</Properties>
</file>